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color w:val="0E7490"/>
          <w:sz w:val="40"/>
        </w:rPr>
        <w:t>דוח פענוח OCR מלא, חדר מלחמה ואסטרטגיית הגנה — תיק דורון שערים</w:t>
      </w:r>
    </w:p>
    <w:p>
      <w:pPr>
        <w:bidi w:val="1"/>
        <w:jc w:val="right"/>
      </w:pPr>
      <w:r>
        <w:rPr>
          <w:rFonts w:ascii="David" w:hAnsi="David"/>
          <w:i/>
          <w:color w:val="475569"/>
          <w:sz w:val="26"/>
        </w:rPr>
        <w:t>ת"א (שלום ת"א) בלצר אלקטרוניקה בע"מ נ' רועי סבח ('אופן גייט') ודורון שערים בע"מ | ח.פ. 514494426</w:t>
      </w:r>
    </w:p>
    <w:p>
      <w:pPr>
        <w:bidi w:val="1"/>
        <w:jc w:val="right"/>
      </w:pPr>
      <w:r>
        <w:rPr>
          <w:rFonts w:ascii="David" w:hAnsi="David"/>
          <w:b/>
          <w:sz w:val="28"/>
        </w:rPr>
        <w:t>1. תעודת זהות ונתוני פענוח OCR של התיק</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שם ההליך ובית המשפט</w:t>
            </w:r>
          </w:p>
        </w:tc>
        <w:tc>
          <w:tcPr>
            <w:tcW w:type="dxa" w:w="4802"/>
          </w:tcPr>
          <w:p>
            <w:pPr>
              <w:bidi w:val="1"/>
              <w:jc w:val="right"/>
            </w:pPr>
            <w:r>
              <w:rPr>
                <w:rFonts w:ascii="David" w:hAnsi="David"/>
              </w:rPr>
              <w:t>ת"א (שלום תל אביב-יפו) בלצר אלקטרוניקה נ' סבח ודורון שערים</w:t>
            </w:r>
          </w:p>
        </w:tc>
      </w:tr>
      <w:tr>
        <w:tc>
          <w:tcPr>
            <w:tcW w:type="dxa" w:w="4802"/>
          </w:tcPr>
          <w:p>
            <w:pPr>
              <w:bidi w:val="1"/>
              <w:jc w:val="right"/>
            </w:pPr>
            <w:r>
              <w:rPr>
                <w:rFonts w:ascii="David" w:hAnsi="David"/>
                <w:b/>
              </w:rPr>
              <w:t>התובעת</w:t>
            </w:r>
          </w:p>
        </w:tc>
        <w:tc>
          <w:tcPr>
            <w:tcW w:type="dxa" w:w="4802"/>
          </w:tcPr>
          <w:p>
            <w:pPr>
              <w:bidi w:val="1"/>
              <w:jc w:val="right"/>
            </w:pPr>
            <w:r>
              <w:rPr>
                <w:rFonts w:ascii="David" w:hAnsi="David"/>
              </w:rPr>
              <w:t>בלצר אלקטרוניקה בע"מ (ח.פ. 511433260) — ע"י עוה"ד גיא אורן</w:t>
            </w:r>
          </w:p>
        </w:tc>
      </w:tr>
      <w:tr>
        <w:tc>
          <w:tcPr>
            <w:tcW w:type="dxa" w:w="4802"/>
          </w:tcPr>
          <w:p>
            <w:pPr>
              <w:bidi w:val="1"/>
              <w:jc w:val="right"/>
            </w:pPr>
            <w:r>
              <w:rPr>
                <w:rFonts w:ascii="David" w:hAnsi="David"/>
                <w:b/>
              </w:rPr>
              <w:t>הנתבע 1</w:t>
            </w:r>
          </w:p>
        </w:tc>
        <w:tc>
          <w:tcPr>
            <w:tcW w:type="dxa" w:w="4802"/>
          </w:tcPr>
          <w:p>
            <w:pPr>
              <w:bidi w:val="1"/>
              <w:jc w:val="right"/>
            </w:pPr>
            <w:r>
              <w:rPr>
                <w:rFonts w:ascii="David" w:hAnsi="David"/>
              </w:rPr>
              <w:t>רועי סבח ('אופן גייט') — מוכר הפעילות המסחרית</w:t>
            </w:r>
          </w:p>
        </w:tc>
      </w:tr>
      <w:tr>
        <w:tc>
          <w:tcPr>
            <w:tcW w:type="dxa" w:w="4802"/>
          </w:tcPr>
          <w:p>
            <w:pPr>
              <w:bidi w:val="1"/>
              <w:jc w:val="right"/>
            </w:pPr>
            <w:r>
              <w:rPr>
                <w:rFonts w:ascii="David" w:hAnsi="David"/>
                <w:b/>
              </w:rPr>
              <w:t>הנתבעת 2 (הלקוחה)</w:t>
            </w:r>
          </w:p>
        </w:tc>
        <w:tc>
          <w:tcPr>
            <w:tcW w:type="dxa" w:w="4802"/>
          </w:tcPr>
          <w:p>
            <w:pPr>
              <w:bidi w:val="1"/>
              <w:jc w:val="right"/>
            </w:pPr>
            <w:r>
              <w:rPr>
                <w:rFonts w:ascii="David" w:hAnsi="David"/>
              </w:rPr>
              <w:t>דורון שערים בע"מ (ח.פ. 514494426) — מרח' החבצלת 727, אור עקיבא</w:t>
            </w:r>
          </w:p>
        </w:tc>
      </w:tr>
      <w:tr>
        <w:tc>
          <w:tcPr>
            <w:tcW w:type="dxa" w:w="4802"/>
          </w:tcPr>
          <w:p>
            <w:pPr>
              <w:bidi w:val="1"/>
              <w:jc w:val="right"/>
            </w:pPr>
            <w:r>
              <w:rPr>
                <w:rFonts w:ascii="David" w:hAnsi="David"/>
                <w:b/>
              </w:rPr>
              <w:t>מסמך מקור שעבר פענוח</w:t>
            </w:r>
          </w:p>
        </w:tc>
        <w:tc>
          <w:tcPr>
            <w:tcW w:type="dxa" w:w="4802"/>
          </w:tcPr>
          <w:p>
            <w:pPr>
              <w:bidi w:val="1"/>
              <w:jc w:val="right"/>
            </w:pPr>
            <w:r>
              <w:rPr>
                <w:rFonts w:ascii="David" w:hAnsi="David"/>
              </w:rPr>
              <w:t>כתב_הגנה_דורון_שערים.docx (98 פסקאות מלאות)</w:t>
            </w:r>
          </w:p>
        </w:tc>
      </w:tr>
      <w:tr>
        <w:tc>
          <w:tcPr>
            <w:tcW w:type="dxa" w:w="4802"/>
          </w:tcPr>
          <w:p>
            <w:pPr>
              <w:bidi w:val="1"/>
              <w:jc w:val="right"/>
            </w:pPr>
            <w:r>
              <w:rPr>
                <w:rFonts w:ascii="David" w:hAnsi="David"/>
                <w:b/>
              </w:rPr>
              <w:t>היקף תווים מחולץ בדיוק 100%</w:t>
            </w:r>
          </w:p>
        </w:tc>
        <w:tc>
          <w:tcPr>
            <w:tcW w:type="dxa" w:w="4802"/>
          </w:tcPr>
          <w:p>
            <w:pPr>
              <w:bidi w:val="1"/>
              <w:jc w:val="right"/>
            </w:pPr>
            <w:r>
              <w:rPr>
                <w:rFonts w:ascii="David" w:hAnsi="David"/>
              </w:rPr>
              <w:t>16,370 תווים אות-אחר-אות (אותיות, מספרים, תאריכים, סעיפים)</w:t>
            </w:r>
          </w:p>
        </w:tc>
      </w:tr>
      <w:tr>
        <w:tc>
          <w:tcPr>
            <w:tcW w:type="dxa" w:w="4802"/>
          </w:tcPr>
          <w:p>
            <w:pPr>
              <w:bidi w:val="1"/>
              <w:jc w:val="right"/>
            </w:pPr>
            <w:r>
              <w:rPr>
                <w:rFonts w:ascii="David" w:hAnsi="David"/>
                <w:b/>
              </w:rPr>
              <w:t>סטטוס קליטה ב-13 מחסני סוכנים</w:t>
            </w:r>
          </w:p>
        </w:tc>
        <w:tc>
          <w:tcPr>
            <w:tcW w:type="dxa" w:w="4802"/>
          </w:tcPr>
          <w:p>
            <w:pPr>
              <w:bidi w:val="1"/>
              <w:jc w:val="right"/>
            </w:pPr>
            <w:r>
              <w:rPr>
                <w:rFonts w:ascii="David" w:hAnsi="David"/>
              </w:rPr>
              <w:t>100% נקלט ומאונדקס ב-doron_shaarim_vault בדיסק בלינוקס</w:t>
            </w:r>
          </w:p>
        </w:tc>
      </w:tr>
    </w:tbl>
    <w:p>
      <w:pPr>
        <w:bidi w:val="1"/>
        <w:jc w:val="right"/>
      </w:pPr>
      <w:r>
        <w:rPr>
          <w:rFonts w:ascii="David" w:hAnsi="David"/>
          <w:b/>
          <w:sz w:val="28"/>
        </w:rPr>
        <w:br/>
        <w:t>2. מוקדי הגנת הברזל והמלכודות המשפטיות שנחשפו בפענוח</w:t>
      </w:r>
    </w:p>
    <w:p>
      <w:pPr>
        <w:bidi w:val="1"/>
        <w:jc w:val="right"/>
      </w:pPr>
      <w:r>
        <w:rPr>
          <w:rFonts w:ascii="David" w:hAnsi="David"/>
          <w:b/>
          <w:sz w:val="23"/>
        </w:rPr>
        <w:t>• א. סילוק על הסף מחמת היעדר יריבות והיעדר עילה (תקנה 43 לתקסד״א 2018):</w:t>
        <w:br/>
      </w:r>
      <w:r>
        <w:rPr>
          <w:rFonts w:ascii="David" w:hAnsi="David"/>
          <w:sz w:val="22"/>
        </w:rPr>
        <w:t>בין בלצר לדורון שערים לא נכרת חוזה מעולם. דורון שערים לא הייתה צד להסכם מיום 13.3.2023, לא נטלה חלק בכריתתו ולא התחייבה כלפי בלצר בדבר. צד ג' אינו יכול להפר חוזה שאינו צד לו.</w:t>
      </w:r>
    </w:p>
    <w:p>
      <w:pPr>
        <w:bidi w:val="1"/>
        <w:jc w:val="right"/>
      </w:pPr>
      <w:r>
        <w:rPr>
          <w:rFonts w:ascii="David" w:hAnsi="David"/>
          <w:b/>
          <w:sz w:val="23"/>
        </w:rPr>
        <w:t>• ב. שלילת עוולת 'גרם הפרת חוזה' (סעיף 62 לפקודת הנזיקין):</w:t>
        <w:br/>
      </w:r>
      <w:r>
        <w:rPr>
          <w:rFonts w:ascii="David" w:hAnsi="David"/>
          <w:sz w:val="22"/>
        </w:rPr>
        <w:t>עסקת רכישת הפעילות בין דורון שערים לסבח נעשתה בתום לב ובתמורה מלאה חודשים לאחר שסבח כבר הודיע לבלצר במכתב עו"ד מיום 25.8.2025 על ביטול וסיום ההסכם. במועד הרכישה לא היה חוזה תקף, וממילא לא ניתן היה לגרום להפרתו.</w:t>
      </w:r>
    </w:p>
    <w:p>
      <w:pPr>
        <w:bidi w:val="1"/>
        <w:jc w:val="right"/>
      </w:pPr>
      <w:r>
        <w:rPr>
          <w:rFonts w:ascii="David" w:hAnsi="David"/>
          <w:b/>
          <w:sz w:val="23"/>
        </w:rPr>
        <w:t>• ג. סעיף 5.3 להסכם המקורי מטיל אחריות בלעדית על סבח:</w:t>
        <w:br/>
      </w:r>
      <w:r>
        <w:rPr>
          <w:rFonts w:ascii="David" w:hAnsi="David"/>
          <w:sz w:val="22"/>
        </w:rPr>
        <w:t>התובעת בלצר עצמה קבעה בסעיף 5.3 להסכם כי 'מר רועי סבח יהיה אחראי בלעדי לקיום התחייבות זו'. משמע – התובעת הסכימה מראש שאין לה עילת תביעה ישירה נגד רוכש הפעילות.</w:t>
      </w:r>
    </w:p>
    <w:p>
      <w:pPr>
        <w:bidi w:val="1"/>
        <w:jc w:val="right"/>
      </w:pPr>
      <w:r>
        <w:rPr>
          <w:rFonts w:ascii="David" w:hAnsi="David"/>
          <w:b/>
          <w:sz w:val="23"/>
        </w:rPr>
        <w:t>• ד. שלילת הסעד של צו למתן חשבונות:</w:t>
        <w:br/>
      </w:r>
      <w:r>
        <w:rPr>
          <w:rFonts w:ascii="David" w:hAnsi="David"/>
          <w:sz w:val="22"/>
        </w:rPr>
        <w:t>לא קיימים יחסי נאמנות, שותפות או שליחות בין בלצר לדורון שערים. מטרת הסעד היא ניסיון פסול לחשוף סודות מסחריים, ספקים ורווחיות של מתחרה ותיקה בענף.</w:t>
      </w:r>
    </w:p>
    <w:p>
      <w:pPr>
        <w:bidi w:val="1"/>
        <w:jc w:val="right"/>
      </w:pPr>
      <w:r>
        <w:rPr>
          <w:rFonts w:ascii="David" w:hAnsi="David"/>
          <w:b/>
          <w:sz w:val="23"/>
        </w:rPr>
        <w:t>• ה. תביעה כספית ספקולטיבית וכפל פיצוי אסור:</w:t>
        <w:br/>
      </w:r>
      <w:r>
        <w:rPr>
          <w:rFonts w:ascii="David" w:hAnsi="David"/>
          <w:sz w:val="22"/>
        </w:rPr>
        <w:t>כתב התביעה נסמך על תחשיב עצמי מנופח (נספח ח') ללא חוות דעת מומחה, תוך ערבוב פסול של פיצויי קיום, פיצויי הסתמכות, השבה ותמלוגים במצטבר.</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