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right"/>
      </w:pPr>
      <w:r>
        <w:rPr>
          <w:rFonts w:ascii="David" w:hAnsi="David"/>
          <w:b/>
          <w:color w:val="0E7490"/>
          <w:sz w:val="34"/>
        </w:rPr>
        <w:t>סיכום אסטרטגי מלא, מיפוי חולשות וחוזקות, ותוכנית פעולה לניצחון</w:t>
        <w:br/>
        <w:t>תיק שומרוני נ' משרד הביטחון</w:t>
      </w:r>
    </w:p>
    <w:p>
      <w:pPr>
        <w:bidi w:val="1"/>
        <w:jc w:val="right"/>
      </w:pPr>
      <w:r>
        <w:rPr>
          <w:rFonts w:ascii="David" w:hAnsi="David"/>
          <w:i/>
          <w:color w:val="475569"/>
          <w:sz w:val="24"/>
        </w:rPr>
        <w:t>ת"א 48220-09-23 י. שומרוני חברה להשקעות ובניה בע"מ נ' מדינת ישראל — משרד הביטחון (תביעה 10M ₪ מול תביעה שכנגד 9M ₪)</w:t>
      </w:r>
    </w:p>
    <w:p>
      <w:pPr>
        <w:bidi w:val="1"/>
        <w:jc w:val="right"/>
      </w:pPr>
      <w:r>
        <w:rPr>
          <w:rFonts w:ascii="David" w:hAnsi="David"/>
          <w:b/>
          <w:sz w:val="28"/>
        </w:rPr>
        <w:t>1. תעודת זהות של התיק, המסגרת הכספית והרקע העובדתי</w:t>
      </w:r>
    </w:p>
    <w:tbl>
      <w:tblPr>
        <w:tblW w:type="auto" w:w="0"/>
        <w:jc w:val="center"/>
        <w:tblLook w:firstColumn="1" w:firstRow="1" w:lastColumn="0" w:lastRow="0" w:noHBand="0" w:noVBand="1" w:val="04A0"/>
        <w:bidiVisual w:val="1"/>
      </w:tblPr>
      <w:tblGrid>
        <w:gridCol w:w="4802"/>
        <w:gridCol w:w="4802"/>
      </w:tblGrid>
      <w:tr>
        <w:tc>
          <w:tcPr>
            <w:tcW w:type="dxa" w:w="4802"/>
          </w:tcPr>
          <w:p>
            <w:pPr>
              <w:bidi w:val="1"/>
              <w:jc w:val="right"/>
            </w:pPr>
            <w:r>
              <w:rPr>
                <w:rFonts w:ascii="David" w:hAnsi="David"/>
                <w:b/>
              </w:rPr>
              <w:t>שם ההליך ובית המשפט</w:t>
            </w:r>
          </w:p>
        </w:tc>
        <w:tc>
          <w:tcPr>
            <w:tcW w:type="dxa" w:w="4802"/>
          </w:tcPr>
          <w:p>
            <w:pPr>
              <w:bidi w:val="1"/>
              <w:jc w:val="right"/>
            </w:pPr>
            <w:r>
              <w:rPr>
                <w:rFonts w:ascii="David" w:hAnsi="David"/>
              </w:rPr>
              <w:t>ת"א 48220-09-23 י. שומרוני נ' מדינת ישראל — משרד הביטחון (בימ"ש מחוזי)</w:t>
            </w:r>
          </w:p>
        </w:tc>
      </w:tr>
      <w:tr>
        <w:tc>
          <w:tcPr>
            <w:tcW w:type="dxa" w:w="4802"/>
          </w:tcPr>
          <w:p>
            <w:pPr>
              <w:bidi w:val="1"/>
              <w:jc w:val="right"/>
            </w:pPr>
            <w:r>
              <w:rPr>
                <w:rFonts w:ascii="David" w:hAnsi="David"/>
                <w:b/>
              </w:rPr>
              <w:t>התובעת / נתבעת שכנגד (הלקוחה)</w:t>
            </w:r>
          </w:p>
        </w:tc>
        <w:tc>
          <w:tcPr>
            <w:tcW w:type="dxa" w:w="4802"/>
          </w:tcPr>
          <w:p>
            <w:pPr>
              <w:bidi w:val="1"/>
              <w:jc w:val="right"/>
            </w:pPr>
            <w:r>
              <w:rPr>
                <w:rFonts w:ascii="David" w:hAnsi="David"/>
              </w:rPr>
              <w:t>י. שומרוני חברה להשקעות ובניה בע"מ (סיווג ג'5 כוכבית, תשתיות 200, בנייה 100, ביוב 260)</w:t>
            </w:r>
          </w:p>
        </w:tc>
      </w:tr>
      <w:tr>
        <w:tc>
          <w:tcPr>
            <w:tcW w:type="dxa" w:w="4802"/>
          </w:tcPr>
          <w:p>
            <w:pPr>
              <w:bidi w:val="1"/>
              <w:jc w:val="right"/>
            </w:pPr>
            <w:r>
              <w:rPr>
                <w:rFonts w:ascii="David" w:hAnsi="David"/>
                <w:b/>
              </w:rPr>
              <w:t>הנתבעת / תובעת שכנגד</w:t>
            </w:r>
          </w:p>
        </w:tc>
        <w:tc>
          <w:tcPr>
            <w:tcW w:type="dxa" w:w="4802"/>
          </w:tcPr>
          <w:p>
            <w:pPr>
              <w:bidi w:val="1"/>
              <w:jc w:val="right"/>
            </w:pPr>
            <w:r>
              <w:rPr>
                <w:rFonts w:ascii="David" w:hAnsi="David"/>
              </w:rPr>
              <w:t>מדינת ישראל — משרד הביטחון (ע"י פרקליטות מחוז ת"א אזרחי)</w:t>
            </w:r>
          </w:p>
        </w:tc>
      </w:tr>
      <w:tr>
        <w:tc>
          <w:tcPr>
            <w:tcW w:type="dxa" w:w="4802"/>
          </w:tcPr>
          <w:p>
            <w:pPr>
              <w:bidi w:val="1"/>
              <w:jc w:val="right"/>
            </w:pPr>
            <w:r>
              <w:rPr>
                <w:rFonts w:ascii="David" w:hAnsi="David"/>
                <w:b/>
              </w:rPr>
              <w:t>סכום התביעה העיקרית</w:t>
            </w:r>
          </w:p>
        </w:tc>
        <w:tc>
          <w:tcPr>
            <w:tcW w:type="dxa" w:w="4802"/>
          </w:tcPr>
          <w:p>
            <w:pPr>
              <w:bidi w:val="1"/>
              <w:jc w:val="right"/>
            </w:pPr>
            <w:r>
              <w:rPr>
                <w:rFonts w:ascii="David" w:hAnsi="David"/>
              </w:rPr>
              <w:t>15,000,000 ₪ (הועמדה ע"ס 10,000,000 ₪ משיקולי אגרה: 3M חוזי שלא שולם + 7M חריגים ושינויים)</w:t>
            </w:r>
          </w:p>
        </w:tc>
      </w:tr>
      <w:tr>
        <w:tc>
          <w:tcPr>
            <w:tcW w:type="dxa" w:w="4802"/>
          </w:tcPr>
          <w:p>
            <w:pPr>
              <w:bidi w:val="1"/>
              <w:jc w:val="right"/>
            </w:pPr>
            <w:r>
              <w:rPr>
                <w:rFonts w:ascii="David" w:hAnsi="David"/>
                <w:b/>
              </w:rPr>
              <w:t>סכום התביעה שכנגד (משהב"ט)</w:t>
            </w:r>
          </w:p>
        </w:tc>
        <w:tc>
          <w:tcPr>
            <w:tcW w:type="dxa" w:w="4802"/>
          </w:tcPr>
          <w:p>
            <w:pPr>
              <w:bidi w:val="1"/>
              <w:jc w:val="right"/>
            </w:pPr>
            <w:r>
              <w:rPr>
                <w:rFonts w:ascii="David" w:hAnsi="David"/>
              </w:rPr>
              <w:t>כ-9,000,000 ₪ (קנסות פיגורים ופיצויים מוסכמים בגין איחור במסירה)</w:t>
            </w:r>
          </w:p>
        </w:tc>
      </w:tr>
      <w:tr>
        <w:tc>
          <w:tcPr>
            <w:tcW w:type="dxa" w:w="4802"/>
          </w:tcPr>
          <w:p>
            <w:pPr>
              <w:bidi w:val="1"/>
              <w:jc w:val="right"/>
            </w:pPr>
            <w:r>
              <w:rPr>
                <w:rFonts w:ascii="David" w:hAnsi="David"/>
                <w:b/>
              </w:rPr>
              <w:t>אי-תשלום מתמשך</w:t>
            </w:r>
          </w:p>
        </w:tc>
        <w:tc>
          <w:tcPr>
            <w:tcW w:type="dxa" w:w="4802"/>
          </w:tcPr>
          <w:p>
            <w:pPr>
              <w:bidi w:val="1"/>
              <w:jc w:val="right"/>
            </w:pPr>
            <w:r>
              <w:rPr>
                <w:rFonts w:ascii="David" w:hAnsi="David"/>
              </w:rPr>
              <w:t>משרד הביטחון עצר תשלומים שוטפים למשך 14 חודשים רצופים, ושומרוני מימן את השלמת הפרויקט מכספו!</w:t>
            </w:r>
          </w:p>
        </w:tc>
      </w:tr>
      <w:tr>
        <w:tc>
          <w:tcPr>
            <w:tcW w:type="dxa" w:w="4802"/>
          </w:tcPr>
          <w:p>
            <w:pPr>
              <w:bidi w:val="1"/>
              <w:jc w:val="right"/>
            </w:pPr>
            <w:r>
              <w:rPr>
                <w:rFonts w:ascii="David" w:hAnsi="David"/>
                <w:b/>
              </w:rPr>
              <w:t>שלב דיוני נוכחי</w:t>
            </w:r>
          </w:p>
        </w:tc>
        <w:tc>
          <w:tcPr>
            <w:tcW w:type="dxa" w:w="4802"/>
          </w:tcPr>
          <w:p>
            <w:pPr>
              <w:bidi w:val="1"/>
              <w:jc w:val="right"/>
            </w:pPr>
            <w:r>
              <w:rPr>
                <w:rFonts w:ascii="David" w:hAnsi="David"/>
              </w:rPr>
              <w:t>הוגשו תצהירי שומרוני; משהב"ט באיחור בהגשת תצהירי נגד; לקראת קדם משפט מסכם למינוי מומחה הנדסי</w:t>
            </w:r>
          </w:p>
        </w:tc>
      </w:tr>
    </w:tbl>
    <w:p>
      <w:pPr>
        <w:bidi w:val="1"/>
        <w:jc w:val="right"/>
      </w:pPr>
      <w:r>
        <w:rPr>
          <w:rFonts w:ascii="David" w:hAnsi="David"/>
          <w:b/>
          <w:sz w:val="28"/>
        </w:rPr>
        <w:br/>
        <w:t>2. מיפוי כירורגי של 5 נקודות התורפה והחולשה של שומרוני בתיק</w:t>
      </w:r>
    </w:p>
    <w:p>
      <w:pPr>
        <w:bidi w:val="1"/>
        <w:jc w:val="right"/>
      </w:pPr>
      <w:r>
        <w:rPr>
          <w:rFonts w:ascii="David" w:hAnsi="David"/>
          <w:b/>
          <w:sz w:val="23"/>
        </w:rPr>
        <w:t>• חולשה 1: היעדר אישורים תקציביים בכתב מראש לעבודות החריגות (תנאי החוזה הממשלתי):</w:t>
        <w:br/>
      </w:r>
      <w:r>
        <w:rPr>
          <w:rFonts w:ascii="David" w:hAnsi="David"/>
          <w:sz w:val="22"/>
        </w:rPr>
        <w:t>בחוזי משרד הביטחון קיים תנאי סף דרקוני הקובע כי אין לבצע עבודה חריגה, תוספת או שינוי ללא הוראת שינויים חתומה ומאושרת מראש ע"י מורשה חתימה של משהב"ט. שומרוני ביצע חלק ניכר מהחריגים על סמך דרישות והבטחות בעל-פה של מפקחים ומהנדסי שטח, ללא הזמנת עבודה תקציבית חתומה מראש. משהב"ט יטען לחוסר סמכות של המפקחים ולהיעדר אישור תקציבי.</w:t>
      </w:r>
    </w:p>
    <w:p>
      <w:pPr>
        <w:bidi w:val="1"/>
        <w:jc w:val="right"/>
      </w:pPr>
      <w:r>
        <w:rPr>
          <w:rFonts w:ascii="David" w:hAnsi="David"/>
          <w:b/>
          <w:sz w:val="23"/>
        </w:rPr>
        <w:t>• חולשה 2: היעדר חשבון סופי מאושר ושתיקה מול קיזוזי קנסות בחשבונות החלקיים:</w:t>
        <w:br/>
      </w:r>
      <w:r>
        <w:rPr>
          <w:rFonts w:ascii="David" w:hAnsi="David"/>
          <w:sz w:val="22"/>
        </w:rPr>
        <w:t>משרד הביטחון קיזז קנסות איחורים כבר בחשבונות החלקיים לאורך חיי הפרויקט (קנסות שצמחו מ-200k ל-800k, ל-3M ולבסוף ל-9M). משהב"ט יטען ששומרוני ידע על טענות הפיגורים לאורך כל הפרויקט ולא עצר את העבודה בזמן אמת, ובכך 'הודה בהתנהגותו' בקיומם של פיגורים.</w:t>
      </w:r>
    </w:p>
    <w:p>
      <w:pPr>
        <w:bidi w:val="1"/>
        <w:jc w:val="right"/>
      </w:pPr>
      <w:r>
        <w:rPr>
          <w:rFonts w:ascii="David" w:hAnsi="David"/>
          <w:b/>
          <w:sz w:val="23"/>
        </w:rPr>
        <w:t>• חולשה 3: קושי בהוכחה הנדסית של 'נתיב קריטי' (Critical Path Analysis):</w:t>
        <w:br/>
      </w:r>
      <w:r>
        <w:rPr>
          <w:rFonts w:ascii="David" w:hAnsi="David"/>
          <w:sz w:val="22"/>
        </w:rPr>
        <w:t>בתביעות הארכת משך ביצוע ותקורות (Prolongation), הפסיקה דורשת חוות דעת מומחה לוחות זמנים מבוססת ניתוח נתיב קריטי. טענה כללית ש'משהב"ט התעכב 4 ימים בבחירת צבע או אישור שולחנות' לא תזכה בפיצויי תקורה אם העיכוב לא ישב על הנתיב הקריטי של הפרויקט.</w:t>
      </w:r>
    </w:p>
    <w:p>
      <w:pPr>
        <w:bidi w:val="1"/>
        <w:jc w:val="right"/>
      </w:pPr>
      <w:r>
        <w:rPr>
          <w:rFonts w:ascii="David" w:hAnsi="David"/>
          <w:b/>
          <w:sz w:val="23"/>
        </w:rPr>
        <w:t>• חולשה 4: ביצוע באמצעות קבלני משנה מול תנאי המכרז וסיווג ג'5:</w:t>
        <w:br/>
      </w:r>
      <w:r>
        <w:rPr>
          <w:rFonts w:ascii="David" w:hAnsi="David"/>
          <w:sz w:val="22"/>
        </w:rPr>
        <w:t>שומרוני זכה במכרז בזכות סיווגו הגבוה (ג'5 כוכבית), אך ביצע את מרבית העבודות באמצעות קבלני משנה קטנים יותר, חלקם ללא סיווג מתאים. משהב"ט ינסה לטעון להפרת תנאי המכרז האישיים, או לזמן קבלני משנה שיעידו על קשיי תזרים או עיכובים מצד שומרוני.</w:t>
      </w:r>
    </w:p>
    <w:p>
      <w:pPr>
        <w:bidi w:val="1"/>
        <w:jc w:val="right"/>
      </w:pPr>
      <w:r>
        <w:rPr>
          <w:rFonts w:ascii="David" w:hAnsi="David"/>
          <w:b/>
          <w:sz w:val="23"/>
        </w:rPr>
        <w:t>• חולשה 5: שאיפת הלקוח (יוסי שומרוני) לנהל את החקירות הנגדיות בעצמו באולם:</w:t>
        <w:br/>
      </w:r>
      <w:r>
        <w:rPr>
          <w:rFonts w:ascii="David" w:hAnsi="David"/>
          <w:sz w:val="22"/>
        </w:rPr>
        <w:t>יוסי שומרוני הוא איש שטח חריף, אך בעל דין שמנהל חקירה נגדית עלול להיראות אמוציונלי, לגלוש להתנצחות אישית, ולהחמיץ מלכודות סדרי דין ודיני ראיות שהשופט מקפיד עליהן.</w:t>
      </w:r>
    </w:p>
    <w:p>
      <w:pPr>
        <w:bidi w:val="1"/>
        <w:jc w:val="right"/>
      </w:pPr>
      <w:r>
        <w:rPr>
          <w:rFonts w:ascii="David" w:hAnsi="David"/>
          <w:b/>
          <w:sz w:val="28"/>
        </w:rPr>
        <w:br/>
        <w:t>3. מיפוי 5 נקודות החוזקה המוחצות של שומרוני בתיק</w:t>
      </w:r>
    </w:p>
    <w:p>
      <w:pPr>
        <w:bidi w:val="1"/>
        <w:jc w:val="right"/>
      </w:pPr>
      <w:r>
        <w:rPr>
          <w:rFonts w:ascii="David" w:hAnsi="David"/>
          <w:b/>
          <w:sz w:val="23"/>
        </w:rPr>
        <w:t>• חוזקה 1: אי-תשלום מצד משרד הביטחון במשך 14 חודשים רצופים (הפרה יסודית וסיכול):</w:t>
        <w:br/>
      </w:r>
      <w:r>
        <w:rPr>
          <w:rFonts w:ascii="David" w:hAnsi="David"/>
          <w:sz w:val="22"/>
        </w:rPr>
        <w:t>משרד הביטחון עצר תשלומים מאושרים במשך 14 חודשים תמימים! למרות זאת, שומרוני מימן את המשך העבודה מהונו העצמי והביא את הפרויקט לידי גמר ומסירה מלאה. ההלכה הפסוקה (ע"א 4999/06 מילאנו נ' מושב חרות; ע"א 368/83 מפי נ' אשכנזי) קובעת כי מזמין שלא משלם לקבלן בזמן מושתק מלטעון לקנסות פיגורים.</w:t>
      </w:r>
    </w:p>
    <w:p>
      <w:pPr>
        <w:bidi w:val="1"/>
        <w:jc w:val="right"/>
      </w:pPr>
      <w:r>
        <w:rPr>
          <w:rFonts w:ascii="David" w:hAnsi="David"/>
          <w:b/>
          <w:sz w:val="23"/>
        </w:rPr>
        <w:t>• חוזקה 2: מכתבי מנהל האתר של משהב"ט המאשרים במפורש דחיית מועד סיום:</w:t>
        <w:br/>
      </w:r>
      <w:r>
        <w:rPr>
          <w:rFonts w:ascii="David" w:hAnsi="David"/>
          <w:sz w:val="22"/>
        </w:rPr>
        <w:t>בתוך 17 הקלסרים אותרו מכתבים רשמיים של מנהל האתר מטעם משהב"ט המאשרים דחיית מועד סיום הפרויקט ל-20 באוגוסט עקב דרישות ושינויים של משהב"ט — מסמך זה מרסק לחלוטין את טענת האיחורים של משהב"ט!</w:t>
      </w:r>
    </w:p>
    <w:p>
      <w:pPr>
        <w:bidi w:val="1"/>
        <w:jc w:val="right"/>
      </w:pPr>
      <w:r>
        <w:rPr>
          <w:rFonts w:ascii="David" w:hAnsi="David"/>
          <w:b/>
          <w:sz w:val="23"/>
        </w:rPr>
        <w:t>• חוזקה 3: תביעה שכנגד 'מנופחת ומלאכותית' שנולדה רק כתגובת נקם:</w:t>
        <w:br/>
      </w:r>
      <w:r>
        <w:rPr>
          <w:rFonts w:ascii="David" w:hAnsi="David"/>
          <w:sz w:val="22"/>
        </w:rPr>
        <w:t>ניתן להוכיח לבית המשפט כיצד הקנסות תפחו באופן שרירותי ומופרך מ-200 אלף ₪ ל-800 אלף ₪, ל-3 מיליון ₪ ולבסוף קפצו ל-9 מיליון ₪ — רק לאחר ששומרוני דרש את המגיע לו והגיש תביעה.</w:t>
      </w:r>
    </w:p>
    <w:p>
      <w:pPr>
        <w:bidi w:val="1"/>
        <w:jc w:val="right"/>
      </w:pPr>
      <w:r>
        <w:rPr>
          <w:rFonts w:ascii="David" w:hAnsi="David"/>
          <w:b/>
          <w:sz w:val="23"/>
        </w:rPr>
        <w:t>• חוזקה 4: חשיפת היריבות והמניע האישי של המהנדס נימי (ערך חו"ד נגדית):</w:t>
        <w:br/>
      </w:r>
      <w:r>
        <w:rPr>
          <w:rFonts w:ascii="David" w:hAnsi="David"/>
          <w:sz w:val="22"/>
        </w:rPr>
        <w:t>המהנדס נימי, שערך את תחשיב הקנסות הנגדי עבור משהב"ט, עבד מול שומרוני בעבר בפרויקטים ברכבת ויש ביניהם משקעי עבר עמוקים — עובדה שתיחשף בחקירה נגדית ותשמוט את הקרקע תחת אובייקטיביות חוות דעתו.</w:t>
      </w:r>
    </w:p>
    <w:p>
      <w:pPr>
        <w:bidi w:val="1"/>
        <w:jc w:val="right"/>
      </w:pPr>
      <w:r>
        <w:rPr>
          <w:rFonts w:ascii="David" w:hAnsi="David"/>
          <w:b/>
          <w:sz w:val="23"/>
        </w:rPr>
        <w:t>• חוזקה 5: עבודה שבוצעה בפועל ונמסרה לשביעות רצון המדינה:</w:t>
        <w:br/>
      </w:r>
      <w:r>
        <w:rPr>
          <w:rFonts w:ascii="David" w:hAnsi="David"/>
          <w:sz w:val="22"/>
        </w:rPr>
        <w:t>הפרויקט עומד, מתפקד, נמסר ומשמש את משרד הביטחון. משהב"ט נהנה ממתקן מושלם מבלי לשלם עבור מלוא החריגים ועבודות הבנייה שבוצעו בפועל.</w:t>
      </w:r>
    </w:p>
    <w:p>
      <w:pPr>
        <w:bidi w:val="1"/>
        <w:jc w:val="right"/>
      </w:pPr>
      <w:r>
        <w:rPr>
          <w:rFonts w:ascii="David" w:hAnsi="David"/>
          <w:b/>
          <w:sz w:val="28"/>
        </w:rPr>
        <w:br/>
        <w:t>4. תוכנית הפעולה והאסטרטגיה המנצחת (איך מנצחים את התיק בפועל)</w:t>
      </w:r>
    </w:p>
    <w:p>
      <w:pPr>
        <w:bidi w:val="1"/>
        <w:jc w:val="right"/>
      </w:pPr>
      <w:r>
        <w:rPr>
          <w:rFonts w:ascii="David" w:hAnsi="David"/>
          <w:b/>
          <w:sz w:val="23"/>
        </w:rPr>
        <w:t>• מהלך 1: הבאת התיק למינוי מומחה הנדסי מטעם בית המשפט (מהלך שובר שוויון):</w:t>
        <w:br/>
      </w:r>
      <w:r>
        <w:rPr>
          <w:rFonts w:ascii="David" w:hAnsi="David"/>
          <w:sz w:val="22"/>
        </w:rPr>
        <w:t>השופטת אינה מהנדסת וטובעת ב-1,540 עמודים. המטרה המרכזית בקדם המשפט היא להביא את השופטת למנות מומחה הנדסי מטעם ביהמ"ש. מומחה הנדסי ימדוד את כמויות החריגים בפועל, ויבין שהפסקת תשלומים ל-14 חודשים היא שעיכבה את הפרויקט.</w:t>
      </w:r>
    </w:p>
    <w:p>
      <w:pPr>
        <w:bidi w:val="1"/>
        <w:jc w:val="right"/>
      </w:pPr>
      <w:r>
        <w:rPr>
          <w:rFonts w:ascii="David" w:hAnsi="David"/>
          <w:b/>
          <w:sz w:val="23"/>
        </w:rPr>
        <w:t>• מהלך 2: הגשת חוות דעת מומחה לוחות זמנים מטעמנו (ניתוח נתיב קריטי):</w:t>
        <w:br/>
      </w:r>
      <w:r>
        <w:rPr>
          <w:rFonts w:ascii="David" w:hAnsi="David"/>
          <w:sz w:val="22"/>
        </w:rPr>
        <w:t>להגיש חוות דעת הנדסית מסודרת שתוכיח שכל שרשרת האיחורים נבעה משינויי תכנון של משהב"ט ועיכובי תשלומים, ובכך לאיין את התביעה שכנגד של 9 מיליון ₪.</w:t>
      </w:r>
    </w:p>
    <w:p>
      <w:pPr>
        <w:bidi w:val="1"/>
        <w:jc w:val="right"/>
      </w:pPr>
      <w:r>
        <w:rPr>
          <w:rFonts w:ascii="David" w:hAnsi="David"/>
          <w:b/>
          <w:sz w:val="23"/>
        </w:rPr>
        <w:t>• מהלך 3: שילוב כוחות מושלם בדיון ההוכחות:</w:t>
        <w:br/>
      </w:r>
      <w:r>
        <w:rPr>
          <w:rFonts w:ascii="David" w:hAnsi="David"/>
          <w:sz w:val="22"/>
        </w:rPr>
        <w:t>עו"ד אלי עמר מוביל את החזית המשפטית מול השופטת, נועל את דיני הראיות וההלכות הפסוקות, בעוד שיוסי שומרוני מכין את התשתית ההנדסית והעובדתית ומלווה את החקירות בתיאום מלא!</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