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David" w:hAnsi="David"/>
          <w:b/>
          <w:sz w:val="28"/>
        </w:rPr>
        <w:t>בבית המשפט המחוזי בחיפה</w:t>
        <w:br/>
        <w:t>בשבתו כבית משפט לערעורים אזרחיים</w:t>
      </w:r>
    </w:p>
    <w:p>
      <w:pPr>
        <w:bidi w:val="1"/>
        <w:jc w:val="right"/>
      </w:pPr>
      <w:r>
        <w:rPr>
          <w:rFonts w:ascii="David" w:hAnsi="David"/>
          <w:b/>
          <w:sz w:val="26"/>
        </w:rPr>
        <w:t>רע"א 63905-08-26</w:t>
        <w:br/>
        <w:t>(בתיק קמא: ת"א 25362-07-25 שלום חדרה)</w:t>
      </w:r>
    </w:p>
    <w:p>
      <w:pPr>
        <w:bidi w:val="1"/>
        <w:jc w:val="right"/>
      </w:pPr>
      <w:r>
        <w:rPr>
          <w:rFonts w:ascii="David" w:hAnsi="David"/>
          <w:b/>
          <w:sz w:val="24"/>
        </w:rPr>
        <w:t>לפני כבוד השופט אחסאן כנעאן</w:t>
      </w:r>
    </w:p>
    <w:tbl>
      <w:tblPr>
        <w:tblW w:type="auto" w:w="0"/>
        <w:jc w:val="center"/>
        <w:tblLook w:firstColumn="1" w:firstRow="1" w:lastColumn="0" w:lastRow="0" w:noHBand="0" w:noVBand="1" w:val="04A0"/>
        <w:bidiVisual w:val="1"/>
      </w:tblPr>
      <w:tblGrid>
        <w:gridCol w:w="4802"/>
        <w:gridCol w:w="4802"/>
      </w:tblGrid>
      <w:tr>
        <w:tc>
          <w:tcPr>
            <w:tcW w:type="dxa" w:w="4802"/>
          </w:tcPr>
          <w:p>
            <w:pPr>
              <w:bidi w:val="1"/>
              <w:jc w:val="right"/>
            </w:pPr>
            <w:r>
              <w:rPr>
                <w:rFonts w:ascii="David" w:hAnsi="David"/>
                <w:b/>
              </w:rPr>
              <w:t>המבקשים:</w:t>
            </w:r>
          </w:p>
        </w:tc>
        <w:tc>
          <w:tcPr>
            <w:tcW w:type="dxa" w:w="4802"/>
          </w:tcPr>
          <w:p>
            <w:pPr>
              <w:bidi w:val="1"/>
              <w:jc w:val="right"/>
            </w:pPr>
            <w:r>
              <w:rPr>
                <w:rFonts w:ascii="David" w:hAnsi="David"/>
              </w:rPr>
              <w:t>1. יצחק רומנוב (ת.ז. 034177576)</w:t>
              <w:br/>
              <w:t>2. איריס רומנוב (ת.ז. 024483869)</w:t>
              <w:br/>
              <w:t>ע"י ב"כ עוה"ד לירון לוזון</w:t>
            </w:r>
          </w:p>
        </w:tc>
      </w:tr>
      <w:tr>
        <w:tc>
          <w:tcPr>
            <w:tcW w:type="dxa" w:w="4802"/>
          </w:tcPr>
          <w:p>
            <w:pPr>
              <w:bidi w:val="1"/>
              <w:jc w:val="right"/>
            </w:pPr>
            <w:r>
              <w:rPr>
                <w:rFonts w:ascii="David" w:hAnsi="David"/>
                <w:b/>
              </w:rPr>
              <w:t>נגד</w:t>
            </w:r>
          </w:p>
        </w:tc>
        <w:tc>
          <w:tcPr>
            <w:tcW w:type="dxa" w:w="4802"/>
          </w:tcPr>
          <w:p>
            <w:pPr>
              <w:bidi w:val="1"/>
              <w:jc w:val="right"/>
            </w:pPr>
            <w:r>
              <w:rPr>
                <w:rFonts w:ascii="David" w:hAnsi="David"/>
              </w:rPr>
            </w:r>
          </w:p>
        </w:tc>
      </w:tr>
      <w:tr>
        <w:tc>
          <w:tcPr>
            <w:tcW w:type="dxa" w:w="4802"/>
          </w:tcPr>
          <w:p>
            <w:pPr>
              <w:bidi w:val="1"/>
              <w:jc w:val="right"/>
            </w:pPr>
            <w:r>
              <w:rPr>
                <w:rFonts w:ascii="David" w:hAnsi="David"/>
                <w:b/>
              </w:rPr>
              <w:t>המשיבה:</w:t>
            </w:r>
          </w:p>
        </w:tc>
        <w:tc>
          <w:tcPr>
            <w:tcW w:type="dxa" w:w="4802"/>
          </w:tcPr>
          <w:p>
            <w:pPr>
              <w:bidi w:val="1"/>
              <w:jc w:val="right"/>
            </w:pPr>
            <w:r>
              <w:rPr>
                <w:rFonts w:ascii="David" w:hAnsi="David"/>
              </w:rPr>
              <w:t>טכניקה י. בוקשטיין אחזקות וניהול בע"מ (ח.פ. 514687391)</w:t>
              <w:br/>
              <w:t>ע"י ב"כ עוה"ד אליהו עמר ו/או מירב אהרון-חי</w:t>
              <w:br/>
              <w:t>מרח' הלל יפה 11, חדרה; טל': 04-6228899; פקס: 04-6228898</w:t>
            </w:r>
          </w:p>
        </w:tc>
      </w:tr>
      <w:tr>
        <w:tc>
          <w:tcPr>
            <w:tcW w:type="dxa" w:w="4802"/>
          </w:tcPr>
          <w:p>
            <w:pPr>
              <w:bidi w:val="1"/>
              <w:jc w:val="right"/>
            </w:pPr>
            <w:r>
              <w:rPr>
                <w:rFonts w:ascii="David" w:hAnsi="David"/>
                <w:b/>
              </w:rPr>
            </w:r>
          </w:p>
        </w:tc>
        <w:tc>
          <w:tcPr>
            <w:tcW w:type="dxa" w:w="4802"/>
          </w:tcPr>
          <w:p>
            <w:pPr>
              <w:bidi w:val="1"/>
              <w:jc w:val="right"/>
            </w:pPr>
            <w:r>
              <w:rPr>
                <w:rFonts w:ascii="David" w:hAnsi="David"/>
              </w:rPr>
            </w:r>
          </w:p>
        </w:tc>
      </w:tr>
      <w:tr>
        <w:tc>
          <w:tcPr>
            <w:tcW w:type="dxa" w:w="4802"/>
          </w:tcPr>
          <w:p>
            <w:pPr>
              <w:bidi w:val="1"/>
              <w:jc w:val="right"/>
            </w:pPr>
            <w:r>
              <w:rPr>
                <w:rFonts w:ascii="David" w:hAnsi="David"/>
                <w:b/>
              </w:rPr>
              <w:t>עניין:</w:t>
            </w:r>
          </w:p>
        </w:tc>
        <w:tc>
          <w:tcPr>
            <w:tcW w:type="dxa" w:w="4802"/>
          </w:tcPr>
          <w:p>
            <w:pPr>
              <w:bidi w:val="1"/>
              <w:jc w:val="right"/>
            </w:pPr>
            <w:r>
              <w:rPr>
                <w:rFonts w:ascii="David" w:hAnsi="David"/>
              </w:rPr>
              <w:t>תשובה לבקשת רשות ערעור (בסוגיית הפקדת ערובה להוצאות) בהתאם להחלטה מיום 10.9.2026</w:t>
            </w:r>
          </w:p>
        </w:tc>
      </w:tr>
    </w:tbl>
    <w:p/>
    <w:p>
      <w:pPr>
        <w:bidi w:val="1"/>
        <w:jc w:val="right"/>
      </w:pPr>
      <w:r>
        <w:rPr>
          <w:rFonts w:ascii="David" w:hAnsi="David"/>
          <w:b/>
          <w:color w:val="0E7490"/>
          <w:sz w:val="32"/>
        </w:rPr>
        <w:t>תשובה מטעם המשיבה לבקשת רשות ערעור</w:t>
        <w:br/>
        <w:t>(בסוגיית הפקדת ערובה לפי סעיף 353א לחוק החברות)</w:t>
      </w:r>
    </w:p>
    <w:p>
      <w:pPr>
        <w:bidi w:val="1"/>
        <w:jc w:val="right"/>
      </w:pPr>
      <w:r>
        <w:rPr>
          <w:rFonts w:ascii="David" w:hAnsi="David"/>
          <w:b/>
          <w:color w:val="1E293B"/>
          <w:sz w:val="26"/>
        </w:rPr>
        <w:t>מבוא ותמצית התשובה</w:t>
      </w:r>
    </w:p>
    <w:p>
      <w:pPr>
        <w:bidi w:val="1"/>
        <w:jc w:val="right"/>
      </w:pPr>
      <w:r>
        <w:rPr>
          <w:rFonts w:ascii="David" w:hAnsi="David"/>
          <w:sz w:val="23"/>
        </w:rPr>
        <w:t>1. המשיבה מתכבדת להגיש בזאת את תשובתה לבקשת רשות הערעור, בהתאם להחלטת כב' השופט אחסאן כנעאן מיום 10.9.2026, ולבקש כי כב' בית המשפט יורה על דחיית בקשת רשות הערעור על הסף ולגופה, ולחייב את המבקשים בהוצאות משפט ושכ"ט עו"ד הולמים.</w:t>
      </w:r>
    </w:p>
    <w:p>
      <w:pPr>
        <w:bidi w:val="1"/>
        <w:jc w:val="right"/>
      </w:pPr>
      <w:r>
        <w:rPr>
          <w:rFonts w:ascii="David" w:hAnsi="David"/>
          <w:sz w:val="23"/>
        </w:rPr>
        <w:t>2. טענה מקדמית — מחיקת ההליך מחוסר מעש: בהחלטת כב' בית המשפט מיום 10.9.2026 נקבע מפורשות כי המבקשים ימציאו אישור מסירה כדין של הבקשה וההחלטה לבא כוח המשיבה לא יאוחר מיום 16.9.2026, 'אחרת אורה על מחיקת ההליך מחוסר מעש'. ככל שלא הומצא אישור מסירה כדין עד למועד האמור, מתבקש כב' בית המשפט להורות על מחיקת ההליך על אתר.</w:t>
      </w:r>
    </w:p>
    <w:p>
      <w:pPr>
        <w:bidi w:val="1"/>
        <w:jc w:val="right"/>
      </w:pPr>
      <w:r>
        <w:rPr>
          <w:rFonts w:ascii="David" w:hAnsi="David"/>
          <w:sz w:val="23"/>
        </w:rPr>
        <w:t>3. לגופו של עניין — החלטת בית משפט השלום בחדרה מיום 19.1.2026 ניתנה כדין, במסגרת שיקול הדעת המובהק המסור לערכאה הדיונית, ואינה מצדיקה כל התערבות ערעורית:</w:t>
      </w:r>
    </w:p>
    <w:p>
      <w:pPr>
        <w:bidi w:val="1"/>
        <w:jc w:val="right"/>
      </w:pPr>
      <w:r>
        <w:rPr>
          <w:rFonts w:ascii="David" w:hAnsi="David"/>
          <w:sz w:val="23"/>
        </w:rPr>
        <w:t xml:space="preserve">   א. המשיבה הוכיחה איתנות פיננסית ונזילות ממשית באמצעות אישור רו"ח מורד, לאחם ושות' רואי חשבון, המאשר כי בדוחות המבוקרים לא נכללה הערת עסק חי, וכי ברשות החברה מזומנים ושווי מזומנים בסך 476,017 ₪ וסה"כ נכסים שוטפים בהיקף של כ-1.38 מיליון ₪ (נספח 1 לתגובה בקמא).</w:t>
      </w:r>
    </w:p>
    <w:p>
      <w:pPr>
        <w:bidi w:val="1"/>
        <w:jc w:val="right"/>
      </w:pPr>
      <w:r>
        <w:rPr>
          <w:rFonts w:ascii="David" w:hAnsi="David"/>
          <w:sz w:val="23"/>
        </w:rPr>
        <w:t xml:space="preserve">   ב. מאזן הבוחן של המשיבה לשנת 2025 (נכון ליום 19.1.2026) מצביע על יתרת חוב לקוחות פעילה וגבוהה בסך 1,415,142.75 ₪ (נספח 2 לתגובה בקמא).</w:t>
      </w:r>
    </w:p>
    <w:p>
      <w:pPr>
        <w:bidi w:val="1"/>
        <w:jc w:val="right"/>
      </w:pPr>
      <w:r>
        <w:rPr>
          <w:rFonts w:ascii="David" w:hAnsi="David"/>
          <w:sz w:val="23"/>
        </w:rPr>
        <w:t xml:space="preserve">   ג. תדפיסי חשבונות הבנק של המשיבה (בבנק לאומי סניף 783 ח-ן 316300/55 ובבנק הפועלים) מלמדים על פעילות עסקית רציפה, תשלום משכורות כדין ומחזורים שוטפים (נספח 3 לתגובה בקמא).</w:t>
      </w:r>
    </w:p>
    <w:p>
      <w:pPr>
        <w:bidi w:val="1"/>
        <w:jc w:val="right"/>
      </w:pPr>
      <w:r>
        <w:rPr>
          <w:rFonts w:ascii="David" w:hAnsi="David"/>
          <w:sz w:val="23"/>
        </w:rPr>
        <w:t>4. יתרה מכך, סיכויי התביעה של המשיבה מובהקים ומבוססים על ראיות חפציות של לקוחות צד ג' (אלביט מערכות/סאיקלון הזמנה PO24000301, קבוצת סקופ מתכות, גרין פט מיחזור ומי שמש בע"מ), המעידות על מעשי מעילה והסטת פרויקטים שביצע המבקש 1 בתקופת היותו מנכ"ל המשיבה.</w:t>
      </w:r>
    </w:p>
    <w:p>
      <w:pPr>
        <w:bidi w:val="1"/>
        <w:jc w:val="right"/>
      </w:pPr>
      <w:r>
        <w:rPr>
          <w:rFonts w:ascii="David" w:hAnsi="David"/>
          <w:sz w:val="23"/>
        </w:rPr>
        <w:t>5. בהתייחס להוראת כב' בית המשפט לעניין תקנה 149(2) לתקנות סדר הדין האזרחי, התשע"ט-2018 — המשיבה מסכימה כי בית המשפט ידון בבקשה כבערעור, ובלבד שהערעור יידחה לגופו תוך חיוב המבקשים בהוצאות.</w:t>
      </w:r>
    </w:p>
    <w:p>
      <w:pPr>
        <w:bidi w:val="1"/>
        <w:jc w:val="right"/>
      </w:pPr>
      <w:r>
        <w:rPr>
          <w:rFonts w:ascii="David" w:hAnsi="David"/>
          <w:b/>
          <w:color w:val="1E293B"/>
          <w:sz w:val="26"/>
        </w:rPr>
        <w:t>פרק א': איתנות פיננסית מוכחת של המשיבה (סעיף 353א לחוק החברות והלכת ל.נ הנדסה)</w:t>
      </w:r>
    </w:p>
    <w:p>
      <w:pPr>
        <w:bidi w:val="1"/>
        <w:jc w:val="right"/>
      </w:pPr>
      <w:r>
        <w:rPr>
          <w:rFonts w:ascii="David" w:hAnsi="David"/>
          <w:sz w:val="23"/>
        </w:rPr>
        <w:t>6. סעיף 353א לחוק החברות, התשנ"ט-1999 והלכת רע"א 10376/07 ל.נ הנדסה ממוחשבת בע"מ נ' בנק הפועלים בע"מ (11.2.2009) קובעים כי החזקה להפקדת ערובה נסתרת אם הוכיחה החברה כי יהיה לאל ידה לשלם את הוצאות הנתבע אם יזכה בדין.</w:t>
      </w:r>
    </w:p>
    <w:p>
      <w:pPr>
        <w:bidi w:val="1"/>
        <w:jc w:val="right"/>
      </w:pPr>
      <w:r>
        <w:rPr>
          <w:rFonts w:ascii="David" w:hAnsi="David"/>
          <w:sz w:val="23"/>
        </w:rPr>
        <w:t>7. בענייננו, המשיבה הרימה נטל זה כדבעי והציגה בפני בית משפט קמא תשתית חשבונאית מלאה ומדויקת:</w:t>
      </w:r>
    </w:p>
    <w:p>
      <w:pPr>
        <w:bidi w:val="1"/>
        <w:jc w:val="right"/>
      </w:pPr>
      <w:r>
        <w:rPr>
          <w:rFonts w:ascii="David" w:hAnsi="David"/>
          <w:sz w:val="23"/>
        </w:rPr>
        <w:t xml:space="preserve">   • אישור רואה חשבון רשמי (רו"ח מורד, לאחם ושות'): מאשר כי בדוחות המבוקרים לא נכללה הערת עסק חי, וכי לחברה מזומנים ושווי מזומנים בסך 476,017 ₪ וסה"כ נכסים שוטפים של 1,382,462 ₪ (נספח 1).</w:t>
      </w:r>
    </w:p>
    <w:p>
      <w:pPr>
        <w:bidi w:val="1"/>
        <w:jc w:val="right"/>
      </w:pPr>
      <w:r>
        <w:rPr>
          <w:rFonts w:ascii="David" w:hAnsi="David"/>
          <w:sz w:val="23"/>
        </w:rPr>
        <w:t xml:space="preserve">   • מאזן בוחן מבוקר לשנת 2025 (נכון ל-19.1.2026): מלמד על מחזור פעילות רחב ויתרת לקוחות בסך 1,415,142.75 ₪ (נספח 2).</w:t>
      </w:r>
    </w:p>
    <w:p>
      <w:pPr>
        <w:bidi w:val="1"/>
        <w:jc w:val="right"/>
      </w:pPr>
      <w:r>
        <w:rPr>
          <w:rFonts w:ascii="David" w:hAnsi="David"/>
          <w:sz w:val="23"/>
        </w:rPr>
        <w:t xml:space="preserve">   • תדפיסי בנק (בנק לאומי ובנק הפועלים): משקפים פעילות עסקית שוטפת, גביית תקבולים שוטפת ותשלומי משכורות שוטפים (נספח 3).</w:t>
      </w:r>
    </w:p>
    <w:p>
      <w:pPr>
        <w:bidi w:val="1"/>
        <w:jc w:val="right"/>
      </w:pPr>
      <w:r>
        <w:rPr>
          <w:rFonts w:ascii="David" w:hAnsi="David"/>
          <w:sz w:val="23"/>
        </w:rPr>
        <w:t>8. על פי ההלכה הפסוקה (רע"א 10905/07 נאות אואזיס מלונות בע"מ נ' מרדכי), די בהצגת נתונים חשבונאיים אלו כדי לעמוד בנטל ההוכחה הנדרש. המבקשים לא הציגו כל ראיה לסתור נתונים אלו, וכל טענותיהם נטענו בעלמא.</w:t>
      </w:r>
    </w:p>
    <w:p>
      <w:pPr>
        <w:bidi w:val="1"/>
        <w:jc w:val="right"/>
      </w:pPr>
      <w:r>
        <w:rPr>
          <w:rFonts w:ascii="David" w:hAnsi="David"/>
          <w:b/>
          <w:color w:val="1E293B"/>
          <w:sz w:val="26"/>
        </w:rPr>
        <w:t>פרק ב': סיכויי תביעה מובהקים — תשתית ראייתית חפצית של לקוחות צד ג'</w:t>
      </w:r>
    </w:p>
    <w:p>
      <w:pPr>
        <w:bidi w:val="1"/>
        <w:jc w:val="right"/>
      </w:pPr>
      <w:r>
        <w:rPr>
          <w:rFonts w:ascii="David" w:hAnsi="David"/>
          <w:sz w:val="23"/>
        </w:rPr>
        <w:t>9. הלכה פסוקה היא כי בשלב הבדיקה השני לפי הלכת ל.נ הנדסה, נסיבות העניין וסיכויי התביעה מהווים שיקול מרכזי המטה את הכף כנגד חסימת דרכו של תובע לערכאות.</w:t>
      </w:r>
    </w:p>
    <w:p>
      <w:pPr>
        <w:bidi w:val="1"/>
        <w:jc w:val="right"/>
      </w:pPr>
      <w:r>
        <w:rPr>
          <w:rFonts w:ascii="David" w:hAnsi="David"/>
          <w:sz w:val="23"/>
        </w:rPr>
        <w:t>10. תביעת המשיבה נשענת על מסכת ראיות חפציות אובייקטיביות שאינן ניתנות להפרכה:</w:t>
      </w:r>
    </w:p>
    <w:p>
      <w:pPr>
        <w:bidi w:val="1"/>
        <w:jc w:val="right"/>
      </w:pPr>
      <w:r>
        <w:rPr>
          <w:rFonts w:ascii="David" w:hAnsi="David"/>
          <w:sz w:val="23"/>
        </w:rPr>
        <w:t xml:space="preserve">   • דוחות שירות וחשבוניות מס ממוספרות 16576 עד 16758 ו-17991.</w:t>
      </w:r>
    </w:p>
    <w:p>
      <w:pPr>
        <w:bidi w:val="1"/>
        <w:jc w:val="right"/>
      </w:pPr>
      <w:r>
        <w:rPr>
          <w:rFonts w:ascii="David" w:hAnsi="David"/>
          <w:sz w:val="23"/>
        </w:rPr>
        <w:t xml:space="preserve">   • כרטסות הנהלת חשבונות חיצוניות של חברת סקופ ושל חברת גרין פט אצל המשיבה.</w:t>
      </w:r>
    </w:p>
    <w:p>
      <w:pPr>
        <w:bidi w:val="1"/>
        <w:jc w:val="right"/>
      </w:pPr>
      <w:r>
        <w:rPr>
          <w:rFonts w:ascii="David" w:hAnsi="David"/>
          <w:sz w:val="23"/>
        </w:rPr>
        <w:t xml:space="preserve">   • חשבונית עסקה ע"ס 397,003 ₪ והזמנות רכש מאלביט מערכות / סאיקלון (הזמנה PO24000301).</w:t>
      </w:r>
    </w:p>
    <w:p>
      <w:pPr>
        <w:bidi w:val="1"/>
        <w:jc w:val="right"/>
      </w:pPr>
      <w:r>
        <w:rPr>
          <w:rFonts w:ascii="David" w:hAnsi="David"/>
          <w:sz w:val="23"/>
        </w:rPr>
        <w:t xml:space="preserve">   • תעודות משלוח, דוחות TBM ותכתובות דוא"ל המעידות על הסטת עבודות ופרויקטים שביצע רומנוב לכיסו הפרטי ולעסקה של רעייתו.</w:t>
      </w:r>
    </w:p>
    <w:p>
      <w:pPr>
        <w:bidi w:val="1"/>
        <w:jc w:val="right"/>
      </w:pPr>
      <w:r>
        <w:rPr>
          <w:rFonts w:ascii="David" w:hAnsi="David"/>
          <w:sz w:val="23"/>
        </w:rPr>
        <w:t>11. מנגד, כתב הגנתם של המבקשים הינו בבחינת 'הגנת בדים' דלה ולקונית, שאינה מתמודדת כלל עם הראיות החיצוניות ואינה מציגה כל מסמך המפריך את גזילת הפרויקטים.</w:t>
      </w:r>
    </w:p>
    <w:p>
      <w:pPr>
        <w:bidi w:val="1"/>
        <w:jc w:val="right"/>
      </w:pPr>
      <w:r>
        <w:rPr>
          <w:rFonts w:ascii="David" w:hAnsi="David"/>
          <w:sz w:val="23"/>
        </w:rPr>
        <w:t>12. בנסיבות אלו, בהן המשיבה הציגה ראיות מוצקות למעשי תרמית וגזל שביצע מנכ"ל לשעבר, אין לחסום את דרכה לבירור התביעה באמצעות הטלת ערובה כספית מכבידה.</w:t>
      </w:r>
    </w:p>
    <w:p>
      <w:pPr>
        <w:bidi w:val="1"/>
        <w:jc w:val="right"/>
      </w:pPr>
      <w:r>
        <w:rPr>
          <w:rFonts w:ascii="David" w:hAnsi="David"/>
          <w:b/>
          <w:color w:val="1E293B"/>
          <w:sz w:val="26"/>
        </w:rPr>
        <w:t>פרק ג': הלכת אי-התערבות ערכאת הערעור בהחלטות ביניים ושיקול דעת הערכאה הדיונית</w:t>
      </w:r>
    </w:p>
    <w:p>
      <w:pPr>
        <w:bidi w:val="1"/>
        <w:jc w:val="right"/>
      </w:pPr>
      <w:r>
        <w:rPr>
          <w:rFonts w:ascii="David" w:hAnsi="David"/>
          <w:sz w:val="23"/>
        </w:rPr>
        <w:t>13. הלכה מושרשת היא כי ערכאת הערעור אינה נוהגת להתערב בשיקול דעתה של הערכאה הדיונית בסוגיות של סעדים זמניים והפקדת ערובה להוצאות, אלא במקרים חריגים ויוצאי דופן שבהם נפלה טעות משפטית מהותית (רע"א 759/20 בנק לאומי לישראל בע"מ נ' פלוני (2020)).</w:t>
      </w:r>
    </w:p>
    <w:p>
      <w:pPr>
        <w:bidi w:val="1"/>
        <w:jc w:val="right"/>
      </w:pPr>
      <w:r>
        <w:rPr>
          <w:rFonts w:ascii="David" w:hAnsi="David"/>
          <w:sz w:val="23"/>
        </w:rPr>
        <w:t>14. במקרה דנן, החלטת בית משפט השלום בחדרה סבירה, מאוזנת ומושתתת על שיקול דעת שיפוטי זהיר ומבוסס. המבקשים לא הצביעו על כל שגגה המצדיקה התערבות ערעורית.</w:t>
      </w:r>
    </w:p>
    <w:p>
      <w:pPr>
        <w:bidi w:val="1"/>
        <w:jc w:val="right"/>
      </w:pPr>
      <w:r>
        <w:rPr>
          <w:rFonts w:ascii="David" w:hAnsi="David"/>
          <w:b/>
          <w:color w:val="1E293B"/>
          <w:sz w:val="26"/>
        </w:rPr>
        <w:t>פרק ד': עמדת המשיבה לעניין תקנה 149(2)</w:t>
      </w:r>
    </w:p>
    <w:p>
      <w:pPr>
        <w:bidi w:val="1"/>
        <w:jc w:val="right"/>
      </w:pPr>
      <w:r>
        <w:rPr>
          <w:rFonts w:ascii="David" w:hAnsi="David"/>
          <w:sz w:val="23"/>
        </w:rPr>
        <w:t>15. בהתאם להחלטת כב' בית המשפט מיום 10.9.2026, המשיבה מביעה את הסכמתה כי כב' בית המשפט ידון בבקשת רשות הערעור כאילו ניתנה רשות והוגש ערעור לפי הרשות שניתנה, בהתאם לסמכותו לפי תקנה 149(2) לתקנות סדר הדין האזרחי, התשע"ט-2018.</w:t>
      </w:r>
    </w:p>
    <w:p>
      <w:pPr>
        <w:bidi w:val="1"/>
        <w:jc w:val="right"/>
      </w:pPr>
      <w:r>
        <w:rPr>
          <w:rFonts w:ascii="David" w:hAnsi="David"/>
          <w:sz w:val="23"/>
        </w:rPr>
        <w:t>16. לגופו של הערעור – מתבקש כב' בית המשפט להורות על דחיית הערעור במלואו, מכל הנימוקים שפורטו לעיל, תוך חיוב המבקשים בהוצאות משפט ושכ"ט עו"ד הולמים לטובת המשיבה.</w:t>
      </w:r>
    </w:p>
    <w:p>
      <w:pPr>
        <w:bidi w:val="1"/>
        <w:jc w:val="right"/>
      </w:pPr>
      <w:r>
        <w:rPr>
          <w:rFonts w:ascii="David" w:hAnsi="David"/>
          <w:b/>
          <w:color w:val="1E293B"/>
          <w:sz w:val="26"/>
        </w:rPr>
        <w:t>סוף דבר</w:t>
      </w:r>
    </w:p>
    <w:p>
      <w:pPr>
        <w:bidi w:val="1"/>
        <w:jc w:val="right"/>
      </w:pPr>
      <w:r>
        <w:rPr>
          <w:rFonts w:ascii="David" w:hAnsi="David"/>
          <w:sz w:val="23"/>
        </w:rPr>
        <w:t>17. אשר על כן, מתבקש בית המשפט המחוזי הנכבד:</w:t>
      </w:r>
    </w:p>
    <w:p>
      <w:pPr>
        <w:bidi w:val="1"/>
        <w:jc w:val="right"/>
      </w:pPr>
      <w:r>
        <w:rPr>
          <w:rFonts w:ascii="David" w:hAnsi="David"/>
          <w:sz w:val="23"/>
        </w:rPr>
        <w:t xml:space="preserve">   א. להורות על מחיקת ההליך ככל שלא הומצא אישור מסירה כדין עד ליום 16.9.2026, ולחילופין לדחות את בקשת רשות הערעור על הסף ולגופה (או לדחות את הערעור לגופו ככל שיידון לפי תקנה 149(2)).</w:t>
      </w:r>
    </w:p>
    <w:p>
      <w:pPr>
        <w:bidi w:val="1"/>
        <w:jc w:val="right"/>
      </w:pPr>
      <w:r>
        <w:rPr>
          <w:rFonts w:ascii="David" w:hAnsi="David"/>
          <w:sz w:val="23"/>
        </w:rPr>
        <w:t xml:space="preserve">   ב. להותיר את החלטת בית משפט השלום בחדרה מיום 19.1.2026 על כנה.</w:t>
      </w:r>
    </w:p>
    <w:p>
      <w:pPr>
        <w:bidi w:val="1"/>
        <w:jc w:val="right"/>
      </w:pPr>
      <w:r>
        <w:rPr>
          <w:rFonts w:ascii="David" w:hAnsi="David"/>
          <w:sz w:val="23"/>
        </w:rPr>
        <w:t xml:space="preserve">   ג. לחייב את המבקשים, ביחד ולחוד, בהוצאות המשיבה ובשכ"ט עו"ד בצירוף מע"מ כדין.</w:t>
      </w:r>
    </w:p>
    <w:p>
      <w:pPr>
        <w:bidi w:val="1"/>
        <w:jc w:val="right"/>
      </w:pPr>
      <w:r>
        <w:rPr>
          <w:rFonts w:ascii="David" w:hAnsi="David"/>
          <w:b/>
          <w:sz w:val="24"/>
        </w:rPr>
        <w:br/>
        <w:br/>
        <w:t>_________________________</w:t>
        <w:br/>
        <w:t>אליהו עמר, משרד עורכי דין</w:t>
        <w:br/>
        <w:t>ב"כ המשיבה</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