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word_kb/知识产权-软件著作权保护</w:t>
      </w:r>
    </w:p>
    <w:p>
      <w:r>
        <w:t>关于软件著作权保护的法律意见：软件著作权自开发完成之日起产生，受《中华人民共和国著作权法》保护。建议及时进行软件著作权登记，以确权并作为维权的初步证据。侵犯软件著作权的行为包括未经许可复制、发行、出租等。</w:t>
      </w:r>
    </w:p>
    <w:p>
      <w:r>
        <w:br/>
        <w:t>文档类型: 法律意见书</w:t>
      </w:r>
    </w:p>
    <w:p>
      <w:r>
        <w:t>创建日期: 2024-03-01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