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21_知到（智慧树）《艺术概论》第十一章单元测试_截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（ ）是艺术品的生产者和创造者。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美学家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批评家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欣赏者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2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诗歌是最具形散神不散特点的文学体裁。（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3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6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艺术创作的最终成果是（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3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8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艺术鉴赏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4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艺术形象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4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2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艺术作品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4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4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9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艺术创作是一种十分复杂的高级形态的审美创造活动。（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4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7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4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9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8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0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艺术构思是艺术创作过程的最后一个阶段。（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2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4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7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5" descr="IMG_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郑板桥画竹的过程分为眼中之竹、胸中之竹、手中之竹。（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5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7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9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3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0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艺术生产的创造者是艺术家。（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" name="图片 6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2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2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3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文学是一次性生产的艺术。（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4" name="图片 6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9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0" descr="IMG_2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艺术才能是艺术家先天禀赋和后天训练融合而成的艺术创造力。（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0" name="图片 7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2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4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6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5" descr="IMG_2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艺术风格具有民族性和时代性。（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7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7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9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8" name="图片 80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0" descr="IMG_2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4D750FF4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2022-03-08T10:02:22Z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