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21_知到（智慧树）《艺术概论》第四章单元测试_截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尽管艺术有各种各样的功能，创造价值却是艺术最主要和最基本的特性。（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7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孔子以“礼乐相济”的思想创立了我国古代最早的教育体系，他以{六艺}教授弟子。（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5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艺术作品之所以受人欢迎，在于它能给人以物质上的享受。（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4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6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7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艺术之所以具有审美教育作用，是因为艺术作品不仅可以展示生活的外观，而且能表现生活的本质特征和规律。（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9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5" name="图片 4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对于山水诗、花鸟画、小夜曲、古典舞等艺术体裁来说，很有必要去寻找思想深度和历史高度。（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4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4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6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4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7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审美教育作用的三个特点。以情感人、潜移默化、寓教于乐。(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4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9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7" name="图片 5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2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蔡元培先生倡导用艺术替代宗教。(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5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4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5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6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3" name="图片 5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7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尼采在《美育书简》中首次提出了美育。（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9" name="图片 59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9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61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1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5" name="图片 6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2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艺术教育区别于其他教育的的显著特征是审美价值。（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6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4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6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6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“艺术与科学是一枚硬币的两面，谁也离不开谁。”（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6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9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7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1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7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2" descr="IMG_2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46020704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