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Итоговый технический отчёт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 Задача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Проект посвящён маршрутизации обращений в Service Desk. Для каждого тикета требуется выбрать подходящего сотрудника с учётом линии поддержки, навыков, канала связи, доступного рабочего времени, стоимости и SLA. Результат сравнивается с последовательной эвристикой, которая назначает обращения по одному и не пересматривает уже принятые решения.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Финальная версия объединяет математическое ядро, REST API, расчёт экономических и сервисных метрик, Streamlit-дашборд и нагрузочное тестирование. Все компоненты используют один набор сценариев и один формат результата.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 Архитектура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Обработка проходит по следующей цепочке: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 xml:space="preserve">JSON-сценарий поступает в </w:t>
      </w:r>
      <w:r>
        <w:rPr>
          <w:rFonts w:ascii="Times New Roman" w:hAnsi="Times New Roman" w:eastAsia="Times New Roman"/>
          <w:sz w:val="28"/>
        </w:rPr>
        <w:t>POST /route</w:t>
      </w:r>
      <w:r>
        <w:rPr>
          <w:rFonts w:ascii="Times New Roman" w:hAnsi="Times New Roman" w:eastAsia="Times New Roman"/>
          <w:sz w:val="28"/>
        </w:rPr>
        <w:t xml:space="preserve"> либо передаётся напрямую в LP-ядро.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 xml:space="preserve">Внешний формат </w:t>
      </w:r>
      <w:r>
        <w:rPr>
          <w:rFonts w:ascii="Times New Roman" w:hAnsi="Times New Roman" w:eastAsia="Times New Roman"/>
          <w:sz w:val="28"/>
        </w:rPr>
        <w:t>agents/tickets/handle_time_minutes</w:t>
      </w:r>
      <w:r>
        <w:rPr>
          <w:rFonts w:ascii="Times New Roman" w:hAnsi="Times New Roman" w:eastAsia="Times New Roman"/>
          <w:sz w:val="28"/>
        </w:rPr>
        <w:t xml:space="preserve"> при необходимости преобразуется во внутренний формат </w:t>
      </w:r>
      <w:r>
        <w:rPr>
          <w:rFonts w:ascii="Times New Roman" w:hAnsi="Times New Roman" w:eastAsia="Times New Roman"/>
          <w:sz w:val="28"/>
        </w:rPr>
        <w:t>operators/tickets/config</w:t>
      </w:r>
      <w:r>
        <w:rPr>
          <w:rFonts w:ascii="Times New Roman" w:hAnsi="Times New Roman" w:eastAsia="Times New Roman"/>
          <w:sz w:val="28"/>
        </w:rPr>
        <w:t>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LP-ядро строит задачу целочисленного назначения и минимизирует стоимость обработки и штрафы.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Аналитический конвейер отдельно запускает baseline-эвристику и LP-модель.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Результаты приводятся к общей структуре и сохраняются в CSV и JSON.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Streamlit читает готовые таблицы и показывает стоимость, экономию, SLA, загрузку и детализацию по тикетам.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Нагрузочный тест отправляет запросы в реальный API без промежуточной заглушки.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 LP-модель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каждой пары «тикет — сотрудник» используется бинарная переменная назначения. Ещё одна бинарная переменная показывает, остался ли тикет в очереди. Целевая функция включает стоимость рабочего времени и штраф за неназначенный тикет. При мягком SLA в неё также может входить штраф за превышение нормативного времени обработки.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Модель проверяет: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минимальный уровень линии поддержки;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наличие нужного навыка;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поддержку канала обращения;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допустимый приоритет для сотрудника;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доступный фонд времени;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лимит чат-слотов;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возможность оставить обращение в очереди.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 xml:space="preserve">Основной backend финальной сборки — </w:t>
      </w:r>
      <w:r>
        <w:rPr>
          <w:rFonts w:ascii="Times New Roman" w:hAnsi="Times New Roman" w:eastAsia="Times New Roman"/>
          <w:sz w:val="28"/>
        </w:rPr>
        <w:t>scipy.optimize.milp</w:t>
      </w:r>
      <w:r>
        <w:rPr>
          <w:rFonts w:ascii="Times New Roman" w:hAnsi="Times New Roman" w:eastAsia="Times New Roman"/>
          <w:sz w:val="28"/>
        </w:rPr>
        <w:t xml:space="preserve">. Он решает ту же задачу целочисленного назначения, которая была подготовлена группой 1. Реализация на PuLP сохранена как дополнительный backend и включается через переменную </w:t>
      </w:r>
      <w:r>
        <w:rPr>
          <w:rFonts w:ascii="Times New Roman" w:hAnsi="Times New Roman" w:eastAsia="Times New Roman"/>
          <w:sz w:val="28"/>
        </w:rPr>
        <w:t>LP_BACKEND=pulp</w:t>
      </w:r>
      <w:r>
        <w:rPr>
          <w:rFonts w:ascii="Times New Roman" w:hAnsi="Times New Roman" w:eastAsia="Times New Roman"/>
          <w:sz w:val="28"/>
        </w:rPr>
        <w:t>, если PuLP установлен.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 API и адаптер форматов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 xml:space="preserve">Сервис принимает два варианта запроса. Внутренний контракт совпадает с форматом LP-ядра. Внешний контракт использует сотрудников </w:t>
      </w:r>
      <w:r>
        <w:rPr>
          <w:rFonts w:ascii="Times New Roman" w:hAnsi="Times New Roman" w:eastAsia="Times New Roman"/>
          <w:sz w:val="28"/>
        </w:rPr>
        <w:t>agents</w:t>
      </w:r>
      <w:r>
        <w:rPr>
          <w:rFonts w:ascii="Times New Roman" w:hAnsi="Times New Roman" w:eastAsia="Times New Roman"/>
          <w:sz w:val="28"/>
        </w:rPr>
        <w:t xml:space="preserve">, линии </w:t>
      </w:r>
      <w:r>
        <w:rPr>
          <w:rFonts w:ascii="Times New Roman" w:hAnsi="Times New Roman" w:eastAsia="Times New Roman"/>
          <w:sz w:val="28"/>
        </w:rPr>
        <w:t>L1/L2/L3</w:t>
      </w:r>
      <w:r>
        <w:rPr>
          <w:rFonts w:ascii="Times New Roman" w:hAnsi="Times New Roman" w:eastAsia="Times New Roman"/>
          <w:sz w:val="28"/>
        </w:rPr>
        <w:t xml:space="preserve"> и таблицу времени обработки по типам тикетов и линиям. Адаптер переводит линии в уровни 1–3, приводит названия capacity и чат-лимитов, сохраняет ограничения по навыкам и каналам.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 xml:space="preserve">Ответ </w:t>
      </w:r>
      <w:r>
        <w:rPr>
          <w:rFonts w:ascii="Times New Roman" w:hAnsi="Times New Roman" w:eastAsia="Times New Roman"/>
          <w:sz w:val="28"/>
        </w:rPr>
        <w:t>POST /route</w:t>
      </w:r>
      <w:r>
        <w:rPr>
          <w:rFonts w:ascii="Times New Roman" w:hAnsi="Times New Roman" w:eastAsia="Times New Roman"/>
          <w:sz w:val="28"/>
        </w:rPr>
        <w:t xml:space="preserve"> содержит: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статус и backend решателя;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общую стоимость;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стоимость обработки;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штрафы очереди и SLA;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назначения по сотрудникам;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список неназначенных тикетов;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время решения;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потикетную детализацию с моделируемым временем первого ответа и решения.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Прямой вызов LP и вызов через API проверены на одном сценарии. Стоимость, назначения и неназначенные тикеты совпали.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 Аналитика и метрики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расчёте используются одинаковые входные данные для baseline и LP. Итоговые показатели: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Total Cost</w:t>
      </w:r>
      <w:r>
        <w:rPr>
          <w:rFonts w:ascii="Times New Roman" w:hAnsi="Times New Roman" w:eastAsia="Times New Roman"/>
          <w:sz w:val="28"/>
        </w:rPr>
        <w:t xml:space="preserve"> — стоимость обработки и штрафы;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Savings</w:t>
      </w:r>
      <w:r>
        <w:rPr>
          <w:rFonts w:ascii="Times New Roman" w:hAnsi="Times New Roman" w:eastAsia="Times New Roman"/>
          <w:sz w:val="28"/>
        </w:rPr>
        <w:t xml:space="preserve"> и </w:t>
      </w:r>
      <w:r>
        <w:rPr>
          <w:rFonts w:ascii="Times New Roman" w:hAnsi="Times New Roman" w:eastAsia="Times New Roman"/>
          <w:sz w:val="28"/>
        </w:rPr>
        <w:t>Savings %</w:t>
      </w:r>
      <w:r>
        <w:rPr>
          <w:rFonts w:ascii="Times New Roman" w:hAnsi="Times New Roman" w:eastAsia="Times New Roman"/>
          <w:sz w:val="28"/>
        </w:rPr>
        <w:t xml:space="preserve"> — разница между baseline и LP;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Service Level</w:t>
      </w:r>
      <w:r>
        <w:rPr>
          <w:rFonts w:ascii="Times New Roman" w:hAnsi="Times New Roman" w:eastAsia="Times New Roman"/>
          <w:sz w:val="28"/>
        </w:rPr>
        <w:t xml:space="preserve"> — доля назначенных тикетов, завершённых в рамках SLA по моделируемому расписанию;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L3 Escalation Rate</w:t>
      </w:r>
      <w:r>
        <w:rPr>
          <w:rFonts w:ascii="Times New Roman" w:hAnsi="Times New Roman" w:eastAsia="Times New Roman"/>
          <w:sz w:val="28"/>
        </w:rPr>
        <w:t xml:space="preserve"> — доля назначений на третью линию;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Utilization</w:t>
      </w:r>
      <w:r>
        <w:rPr>
          <w:rFonts w:ascii="Times New Roman" w:hAnsi="Times New Roman" w:eastAsia="Times New Roman"/>
          <w:sz w:val="28"/>
        </w:rPr>
        <w:t xml:space="preserve"> — использованная часть доступного времени сотрудников;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Throughput</w:t>
      </w:r>
      <w:r>
        <w:rPr>
          <w:rFonts w:ascii="Times New Roman" w:hAnsi="Times New Roman" w:eastAsia="Times New Roman"/>
          <w:sz w:val="28"/>
        </w:rPr>
        <w:t xml:space="preserve"> — число обработанных тикетов в час;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Computation Time</w:t>
      </w:r>
      <w:r>
        <w:rPr>
          <w:rFonts w:ascii="Times New Roman" w:hAnsi="Times New Roman" w:eastAsia="Times New Roman"/>
          <w:sz w:val="28"/>
        </w:rPr>
        <w:t xml:space="preserve"> — время работы алгоритма;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 xml:space="preserve">моделируемые </w:t>
      </w:r>
      <w:r>
        <w:rPr>
          <w:rFonts w:ascii="Times New Roman" w:hAnsi="Times New Roman" w:eastAsia="Times New Roman"/>
          <w:sz w:val="28"/>
        </w:rPr>
        <w:t>AFRT</w:t>
      </w:r>
      <w:r>
        <w:rPr>
          <w:rFonts w:ascii="Times New Roman" w:hAnsi="Times New Roman" w:eastAsia="Times New Roman"/>
          <w:sz w:val="28"/>
        </w:rPr>
        <w:t xml:space="preserve"> и </w:t>
      </w:r>
      <w:r>
        <w:rPr>
          <w:rFonts w:ascii="Times New Roman" w:hAnsi="Times New Roman" w:eastAsia="Times New Roman"/>
          <w:sz w:val="28"/>
        </w:rPr>
        <w:t>ART</w:t>
      </w:r>
      <w:r>
        <w:rPr>
          <w:rFonts w:ascii="Times New Roman" w:hAnsi="Times New Roman" w:eastAsia="Times New Roman"/>
          <w:sz w:val="28"/>
        </w:rPr>
        <w:t xml:space="preserve"> — среднее ожидание первого ответа и среднее время решения.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AFRT и ART не являются фактическими показателями промышленного Service Desk. В сценариях нет реальных отметок создания, первого ответа и закрытия, поэтому значения рассчитаны по последовательному расписанию назначений.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 Сценарии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контрольный набор входят пять сценариев: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normal_load</w:t>
      </w:r>
      <w:r>
        <w:rPr>
          <w:rFonts w:ascii="Times New Roman" w:hAnsi="Times New Roman" w:eastAsia="Times New Roman"/>
          <w:sz w:val="28"/>
        </w:rPr>
        <w:t xml:space="preserve"> — обычная нагрузка;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peak_hours</w:t>
      </w:r>
      <w:r>
        <w:rPr>
          <w:rFonts w:ascii="Times New Roman" w:hAnsi="Times New Roman" w:eastAsia="Times New Roman"/>
          <w:sz w:val="28"/>
        </w:rPr>
        <w:t xml:space="preserve"> — пиковый поток;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l2_shortage</w:t>
      </w:r>
      <w:r>
        <w:rPr>
          <w:rFonts w:ascii="Times New Roman" w:hAnsi="Times New Roman" w:eastAsia="Times New Roman"/>
          <w:sz w:val="28"/>
        </w:rPr>
        <w:t xml:space="preserve"> — дефицит второй линии;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many_critical</w:t>
      </w:r>
      <w:r>
        <w:rPr>
          <w:rFonts w:ascii="Times New Roman" w:hAnsi="Times New Roman" w:eastAsia="Times New Roman"/>
          <w:sz w:val="28"/>
        </w:rPr>
        <w:t xml:space="preserve"> — большое число критичных обращений;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chat_overload</w:t>
      </w:r>
      <w:r>
        <w:rPr>
          <w:rFonts w:ascii="Times New Roman" w:hAnsi="Times New Roman" w:eastAsia="Times New Roman"/>
          <w:sz w:val="28"/>
        </w:rPr>
        <w:t xml:space="preserve"> — перегрузка чат-канала.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Каждый сценарий содержит сотрудников, тикеты, SLA, стоимость минуты, capacity и штраф очереди.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 Экономический результат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 xml:space="preserve">Суммарная стоимость baseline на пяти сценариях составила </w:t>
      </w:r>
      <w:r>
        <w:rPr>
          <w:rFonts w:ascii="Times New Roman" w:hAnsi="Times New Roman" w:eastAsia="Times New Roman"/>
          <w:b/>
          <w:sz w:val="28"/>
        </w:rPr>
        <w:t>12625.00</w:t>
      </w:r>
      <w:r>
        <w:rPr>
          <w:rFonts w:ascii="Times New Roman" w:hAnsi="Times New Roman" w:eastAsia="Times New Roman"/>
          <w:sz w:val="28"/>
        </w:rPr>
        <w:t xml:space="preserve"> условных единиц. LP-модель дала </w:t>
      </w:r>
      <w:r>
        <w:rPr>
          <w:rFonts w:ascii="Times New Roman" w:hAnsi="Times New Roman" w:eastAsia="Times New Roman"/>
          <w:b/>
          <w:sz w:val="28"/>
        </w:rPr>
        <w:t>9596.00</w:t>
      </w:r>
      <w:r>
        <w:rPr>
          <w:rFonts w:ascii="Times New Roman" w:hAnsi="Times New Roman" w:eastAsia="Times New Roman"/>
          <w:sz w:val="28"/>
        </w:rPr>
        <w:t xml:space="preserve">. Разница составила </w:t>
      </w:r>
      <w:r>
        <w:rPr>
          <w:rFonts w:ascii="Times New Roman" w:hAnsi="Times New Roman" w:eastAsia="Times New Roman"/>
          <w:b/>
          <w:sz w:val="28"/>
        </w:rPr>
        <w:t>3029.00</w:t>
      </w:r>
      <w:r>
        <w:rPr>
          <w:rFonts w:ascii="Times New Roman" w:hAnsi="Times New Roman" w:eastAsia="Times New Roman"/>
          <w:sz w:val="28"/>
        </w:rPr>
        <w:t xml:space="preserve">, или </w:t>
      </w:r>
      <w:r>
        <w:rPr>
          <w:rFonts w:ascii="Times New Roman" w:hAnsi="Times New Roman" w:eastAsia="Times New Roman"/>
          <w:b/>
          <w:sz w:val="28"/>
        </w:rPr>
        <w:t>23.99%</w:t>
      </w:r>
      <w:r>
        <w:rPr>
          <w:rFonts w:ascii="Times New Roman" w:hAnsi="Times New Roman" w:eastAsia="Times New Roman"/>
          <w:sz w:val="28"/>
        </w:rPr>
        <w:t xml:space="preserve"> от стоимости baseline.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Плановый ориентир экономии 7% достигнут на подготовленном наборе сценариев. Среднее арифметическое экономии по отдельным сценариям равно 24.43%, однако для итогового вывода использован более устойчивый показатель: отношение общей экономии к суммарной стоимости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Сценарий</w:t>
            </w:r>
          </w:p>
        </w:tc>
        <w:tc>
          <w:tcPr>
            <w:tcW w:type="dxa" w:w="2422"/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Baseline</w:t>
            </w:r>
          </w:p>
        </w:tc>
        <w:tc>
          <w:tcPr>
            <w:tcW w:type="dxa" w:w="2422"/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LP</w:t>
            </w:r>
          </w:p>
        </w:tc>
        <w:tc>
          <w:tcPr>
            <w:tcW w:type="dxa" w:w="2422"/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Экономия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chat_overload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1750.00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1175.00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32.86%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l2_shortage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2830.00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2350.00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16.96%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many_critical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3060.00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2610.00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14.71%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normal_load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1470.00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1110.00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24.49%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peak_hours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3515.00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2351.00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33.12%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Экономия возникает за счёт выбора более дешёвых подходящих исполнителей и сохранения дорогих ресурсов для тикетов, которые нельзя обработать на нижних линиях.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 Нагрузочное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 xml:space="preserve">Контрольный прогон выполнен на локально запущенном реальном </w:t>
      </w:r>
      <w:r>
        <w:rPr>
          <w:rFonts w:ascii="Times New Roman" w:hAnsi="Times New Roman" w:eastAsia="Times New Roman"/>
          <w:sz w:val="28"/>
        </w:rPr>
        <w:t>POST /route</w:t>
      </w:r>
      <w:r>
        <w:rPr>
          <w:rFonts w:ascii="Times New Roman" w:hAnsi="Times New Roman" w:eastAsia="Times New Roman"/>
          <w:sz w:val="28"/>
        </w:rPr>
        <w:t>. За 5 секунд отправлено 500 запросов с целевой интенсивностью 100 RPS.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Получены следующие результаты: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успешных запросов — 500;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ошибок — 0;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фактическая интенсивность — 100.13 RPS;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среднее время ответа — 3.45 мс;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p95 — 4.95 мс;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p99 — 13.04 мс.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Эти значения относятся к текущему вычислительному окружению и небольшим учебным сценариям. При увеличении числа тикетов время решения MILP будет расти, поэтому производительность необходимо повторно измерить на целевой машине и с финальным Docker-образом.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9. Результаты и файлы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После запуска аналитики формируются: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metrics_summary.csv</w:t>
      </w:r>
      <w:r>
        <w:rPr>
          <w:rFonts w:ascii="Times New Roman" w:hAnsi="Times New Roman" w:eastAsia="Times New Roman"/>
          <w:sz w:val="28"/>
        </w:rPr>
        <w:t xml:space="preserve"> — сводные показатели по каждому методу и сценарию;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ticket_results.csv</w:t>
      </w:r>
      <w:r>
        <w:rPr>
          <w:rFonts w:ascii="Times New Roman" w:hAnsi="Times New Roman" w:eastAsia="Times New Roman"/>
          <w:sz w:val="28"/>
        </w:rPr>
        <w:t xml:space="preserve"> — назначения и показатели по тикетам;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raw_results.json</w:t>
      </w:r>
      <w:r>
        <w:rPr>
          <w:rFonts w:ascii="Times New Roman" w:hAnsi="Times New Roman" w:eastAsia="Times New Roman"/>
          <w:sz w:val="28"/>
        </w:rPr>
        <w:t xml:space="preserve"> — полные ответы baseline и LP;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economy_summary.json</w:t>
      </w:r>
      <w:r>
        <w:rPr>
          <w:rFonts w:ascii="Times New Roman" w:hAnsi="Times New Roman" w:eastAsia="Times New Roman"/>
          <w:sz w:val="28"/>
        </w:rPr>
        <w:t xml:space="preserve"> — итоговая стоимость и экономия;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load_test_summary.json</w:t>
      </w:r>
      <w:r>
        <w:rPr>
          <w:rFonts w:ascii="Times New Roman" w:hAnsi="Times New Roman" w:eastAsia="Times New Roman"/>
          <w:sz w:val="28"/>
        </w:rPr>
        <w:t xml:space="preserve"> — сводка нагрузки;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load_test_results.csv</w:t>
      </w:r>
      <w:r>
        <w:rPr>
          <w:rFonts w:ascii="Times New Roman" w:hAnsi="Times New Roman" w:eastAsia="Times New Roman"/>
          <w:sz w:val="28"/>
        </w:rPr>
        <w:t xml:space="preserve"> — результаты отдельных запросов;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sz w:val="28"/>
        </w:rPr>
        <w:t>load_test_report.md</w:t>
      </w:r>
      <w:r>
        <w:rPr>
          <w:rFonts w:ascii="Times New Roman" w:hAnsi="Times New Roman" w:eastAsia="Times New Roman"/>
          <w:sz w:val="28"/>
        </w:rPr>
        <w:t xml:space="preserve"> — текстовый отчёт нагрузочного прогона.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Код покрыт unit- и integration-тестами. Проверяются API, оба формата входных данных, математическая модель, согласованность прямого и API-вызова и формирование аналитических файлов.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10. Ограничения и риски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 xml:space="preserve">Ключевые ограничения перечислены в </w:t>
      </w:r>
      <w:r>
        <w:rPr>
          <w:rFonts w:ascii="Times New Roman" w:hAnsi="Times New Roman" w:eastAsia="Times New Roman"/>
          <w:sz w:val="28"/>
        </w:rPr>
        <w:t>docs/limitations.md</w:t>
      </w:r>
      <w:r>
        <w:rPr>
          <w:rFonts w:ascii="Times New Roman" w:hAnsi="Times New Roman" w:eastAsia="Times New Roman"/>
          <w:sz w:val="28"/>
        </w:rPr>
        <w:t>. Для запуска в Docker требуется отдельная проверка на машине, где установлен Docker. В текущем окружении команда сборки недоступна, поэтому Dockerfile и compose проверены по структуре, но сам образ здесь не собирался.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расчёта фактических AFRT и ART нужна выгрузка с временными отметками. Для полноценной модели одновременных чатов нужна временная сетка или отдельная задача расписания. Эти ограничения не мешают демонстрации распределения и экономической оценки, но должны учитываться при переносе решения в промышленную среду.</w:t>
      </w:r>
    </w:p>
    <w:p>
      <w:pPr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11.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Проект приведён к единой рабочей структуре. LP-ядро вызывается напрямую и через REST API, аналитика использует реальный ответ модели, дашборд читает итоговые файлы, а нагрузочный тест обращается к тому же сервису. На пяти согласованных сценариях получена суммарная экономия 23.99% при целевом ориентире 7%.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