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4E78"/>
          <w:sz w:val="36"/>
          <w:szCs w:val="36"/>
        </w:rPr>
        <w:t xml:space="preserve">CARIBBEAN METADATA STANDARD</w:t>
      </w:r>
    </w:p>
    <w:p>
      <w:pPr>
        <w:spacing w:after="240"/>
        <w:jc w:val="center"/>
      </w:pPr>
      <w:r>
        <w:rPr>
          <w:b/>
          <w:bCs/>
          <w:color w:val="1F4E78"/>
          <w:sz w:val="28"/>
          <w:szCs w:val="28"/>
        </w:rPr>
        <w:t xml:space="preserve">(CMS)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Reclaiming Digital Visibility for Caribbean Creative Industries</w:t>
      </w:r>
    </w:p>
    <w:p>
      <w:pPr>
        <w:spacing w:after="120" w:before="400"/>
        <w:jc w:val="center"/>
      </w:pPr>
      <w:r>
        <w:rPr>
          <w:b/>
          <w:bCs/>
          <w:sz w:val="22"/>
          <w:szCs w:val="22"/>
        </w:rPr>
        <w:t xml:space="preserve">White Paper – Version 2.0 (Revised)</w:t>
      </w:r>
    </w:p>
    <w:p>
      <w:pPr>
        <w:spacing w:after="600"/>
        <w:jc w:val="center"/>
      </w:pPr>
      <w:r>
        <w:rPr>
          <w:sz w:val="22"/>
          <w:szCs w:val="22"/>
        </w:rPr>
        <w:t xml:space="preserve">May 2026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Caribbean Metadata Standard (CMS) is the first unified framework designed to classify, describe, and index Caribbean audiovisual content in a way that aligns with global digital platforms while preserving cultural authenticity.</w:t>
      </w:r>
    </w:p>
    <w:p>
      <w:pPr>
        <w:spacing w:after="200"/>
      </w:pPr>
      <w:r>
        <w:t xml:space="preserve">It addresses a critical challenge: the digital invisibility of Caribbean creators caused by the absence of standardized metadata that reflects the region's linguistic, cultural, and narrative richness.</w:t>
      </w:r>
    </w:p>
    <w:p>
      <w:pPr>
        <w:spacing w:after="200"/>
      </w:pPr>
      <w:r>
        <w:t xml:space="preserve">The CMS is both a cultural and technological innovation. It is a tool of discoverability, sovereignty, and exportation.</w:t>
      </w:r>
    </w:p>
    <w:p>
      <w:pPr>
        <w:spacing w:after="240"/>
      </w:pPr>
      <w:r>
        <w:t xml:space="preserve">The CMS does not replace existing metadata standards. It enriches them – adding a Caribbean semantic layer to </w:t>
      </w:r>
      <w:r>
        <w:rPr>
          <w:i/>
          <w:iCs/>
        </w:rPr>
        <w:t xml:space="preserve">Dublin Core</w:t>
      </w:r>
      <w:r>
        <w:t xml:space="preserve">, </w:t>
      </w:r>
      <w:r>
        <w:rPr>
          <w:i/>
          <w:iCs/>
        </w:rPr>
        <w:t xml:space="preserve">schema.org</w:t>
      </w:r>
      <w:r>
        <w:t xml:space="preserve">, and </w:t>
      </w:r>
      <w:r>
        <w:rPr>
          <w:i/>
          <w:iCs/>
        </w:rPr>
        <w:t xml:space="preserve">EBUCore</w:t>
      </w:r>
      <w:r>
        <w:t xml:space="preserve">.</w:t>
      </w:r>
    </w:p>
    <w:r>
      <w:br w:type="page"/>
    </w:r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The global content economy is driven by metadata. Algorithms determine what audiences see, recommend, and value. Yet Caribbean content remains poorly indexed, misclassified, or invisible.</w:t>
      </w:r>
    </w:p>
    <w:p>
      <w:pPr>
        <w:spacing w:after="240"/>
      </w:pPr>
      <w:r>
        <w:t xml:space="preserve">Why? Because existing metadata systems do not understand: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languages (creoles, patois, code-switching)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rhythms (syncopated dialogues, urban vs island tempo)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cultural markers (carnival, spiritualities, diaspora)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hybrid identities (postcolonial, creolized, multi-insular)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Our narrative traditions (magical realism, social drama, family saga)</w:t>
      </w:r>
    </w:p>
    <w:p>
      <w:pPr>
        <w:spacing w:after="240"/>
      </w:pPr>
      <w:r>
        <w:t xml:space="preserve">The CMS provides the missing infrastructure.</w:t>
      </w:r>
    </w:p>
    <w:p>
      <w:pPr>
        <w:pStyle w:val="Heading1"/>
      </w:pPr>
      <w:r>
        <w:t xml:space="preserve">2. The Problem: Digital Invisibility</w:t>
      </w:r>
    </w:p>
    <w:p>
      <w:pPr>
        <w:spacing w:after="240"/>
      </w:pPr>
      <w:r>
        <w:t xml:space="preserve">Caribbean creators face three systemic barriers:</w:t>
      </w:r>
    </w:p>
    <w:p>
      <w:pPr>
        <w:pStyle w:val="Heading2"/>
      </w:pPr>
      <w:r>
        <w:t xml:space="preserve">A. Misclassification</w:t>
      </w:r>
    </w:p>
    <w:p>
      <w:pPr>
        <w:spacing w:after="200"/>
      </w:pPr>
      <w:r>
        <w:t xml:space="preserve">Platforms lack categories for Caribbean genres, dialects, and cultural nuances.</w:t>
      </w:r>
    </w:p>
    <w:p>
      <w:pPr>
        <w:pStyle w:val="Heading2"/>
      </w:pPr>
      <w:r>
        <w:t xml:space="preserve">B. Algorithmic Blindness</w:t>
      </w:r>
    </w:p>
    <w:p>
      <w:pPr>
        <w:spacing w:after="200"/>
      </w:pPr>
      <w:r>
        <w:t xml:space="preserve">Recommendation systems cannot promote what they cannot interpret.</w:t>
      </w:r>
    </w:p>
    <w:p>
      <w:pPr>
        <w:pStyle w:val="Heading2"/>
      </w:pPr>
      <w:r>
        <w:t xml:space="preserve">C. Cultural Dilution</w:t>
      </w:r>
    </w:p>
    <w:p>
      <w:pPr>
        <w:spacing w:after="240"/>
      </w:pPr>
      <w:r>
        <w:t xml:space="preserve">Without proper metadata, Caribbean content is forced into generic or inaccurate categories.</w:t>
      </w:r>
    </w:p>
    <w:p>
      <w:pPr>
        <w:spacing w:after="240"/>
      </w:pPr>
      <w:r>
        <w:rPr>
          <w:b/>
          <w:bCs/>
        </w:rPr>
        <w:t xml:space="preserve">The result: low visibility, low exportability, low economic impact.</w:t>
      </w:r>
    </w:p>
    <w:p>
      <w:pPr>
        <w:pStyle w:val="Heading1"/>
      </w:pPr>
      <w:r>
        <w:t xml:space="preserve">3. The Solution: Caribbean Metadata Standard (CMS)</w:t>
      </w:r>
    </w:p>
    <w:p>
      <w:pPr>
        <w:spacing w:after="240"/>
      </w:pPr>
      <w:r>
        <w:t xml:space="preserve">The CMS is a structured taxonomy composed of six metadata families: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Family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Tags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Linguistic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Languages, dialects, code-switching patterns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Creole (Guadeloupe, Martinique, Haiti), Jamaican Patois, FR/Kreyol code-switching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Cultural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Traditions, spiritualities, heritage markers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Afro-Caribbean spirituality, Carnival, Diaspora identity, Culinary heritage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Narrative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Genres, story structures, Caribbean tropes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Magical realism, Tropical thriller, Social drama, Family saga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Rhythmic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Tempo, musicality of dialogue, pacing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Syncopated dialogue, Fast-paced urban, Slow contemplative island tempo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Geographic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Territory, environment, insular specificity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Guadeloupe, Martinique, Haiti, Jamaica, Rural/Urban/Coastal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Socio-historical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Postcolonial markers, memory, migration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Postcolonial identity, Creolization, Memory of slavery, Intergenerational tensions</w:t>
            </w:r>
          </w:p>
        </w:tc>
      </w:tr>
    </w:tbl>
    <w:p>
      <w:pPr>
        <w:spacing w:after="240" w:before="240"/>
      </w:pPr>
      <w:r>
        <w:t xml:space="preserve">Each family contains standardized tags that describe the unique identity of Caribbean content. Tags are not imposed from above – they are proposed, discussed, and validated through an open governance process (see Section 8).</w:t>
      </w:r>
    </w:p>
    <w:p>
      <w:pPr>
        <w:pStyle w:val="Heading1"/>
      </w:pPr>
      <w:r>
        <w:t xml:space="preserve">4. Relation to Existing Metadata Standards</w:t>
      </w:r>
    </w:p>
    <w:p>
      <w:pPr>
        <w:spacing w:after="240"/>
      </w:pPr>
      <w:r>
        <w:t xml:space="preserve">The CMS does not reinvent the wheel. It builds upon existing international standards, adding a Caribbean semantic layer where none existed.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Existing Standard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 to CMS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Dublin 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CMS tags can be expressed in </w:t>
            </w:r>
            <w:r>
              <w:rPr>
                <w:i/>
                <w:iCs/>
              </w:rPr>
              <w:t xml:space="preserve">dc:subject</w:t>
            </w:r>
            <w:r>
              <w:t xml:space="preserve">, </w:t>
            </w:r>
            <w:r>
              <w:rPr>
                <w:i/>
                <w:iCs/>
              </w:rPr>
              <w:t xml:space="preserve">dc:language</w:t>
            </w:r>
            <w:r>
              <w:t xml:space="preserve">, </w:t>
            </w:r>
            <w:r>
              <w:rPr>
                <w:i/>
                <w:iCs/>
              </w:rPr>
              <w:t xml:space="preserve">dc:coverage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schema.org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CMS tags can be expressed in </w:t>
            </w:r>
            <w:r>
              <w:rPr>
                <w:i/>
                <w:iCs/>
              </w:rPr>
              <w:t xml:space="preserve">schema:keywords</w:t>
            </w:r>
            <w:r>
              <w:t xml:space="preserve">, </w:t>
            </w:r>
            <w:r>
              <w:rPr>
                <w:i/>
                <w:iCs/>
              </w:rPr>
              <w:t xml:space="preserve">schema:inLanguage</w:t>
            </w:r>
            <w:r>
              <w:t xml:space="preserve">, </w:t>
            </w:r>
            <w:r>
              <w:rPr>
                <w:i/>
                <w:iCs/>
              </w:rPr>
              <w:t xml:space="preserve">schema:additionalProperty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EBUCore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CMS tags can be expressed in </w:t>
            </w:r>
            <w:r>
              <w:rPr>
                <w:i/>
                <w:iCs/>
              </w:rPr>
              <w:t xml:space="preserve">ebucore:keyword</w:t>
            </w:r>
            <w:r>
              <w:t xml:space="preserve">, </w:t>
            </w:r>
            <w:r>
              <w:rPr>
                <w:i/>
                <w:iCs/>
              </w:rPr>
              <w:t xml:space="preserve">ebucore:subject</w:t>
            </w:r>
            <w:r>
              <w:t xml:space="preserve">, </w:t>
            </w:r>
            <w:r>
              <w:rPr>
                <w:i/>
                <w:iCs/>
              </w:rPr>
              <w:t xml:space="preserve">ebucore:genre</w:t>
            </w:r>
          </w:p>
        </w:tc>
      </w:tr>
    </w:tbl>
    <w:p>
      <w:pPr>
        <w:spacing w:after="240" w:before="240"/>
      </w:pPr>
      <w:r>
        <w:t xml:space="preserve">The CMS is an extension, not a replacement. This design choice guarantees interoperability with existing platforms.</w:t>
      </w:r>
    </w:p>
    <w:p>
      <w:pPr>
        <w:pStyle w:val="Heading2"/>
      </w:pPr>
      <w:r>
        <w:t xml:space="preserve">Example: CMS tag expressed in schema.org (JSON-LD – Corrected)</w:t>
      </w:r>
    </w:p>
    <w:p>
      <w:pPr>
        <w:spacing w:after="120" w:before="120"/>
      </w:pPr>
      <w:r>
        <w:rPr>
          <w:b/>
          <w:bCs/>
        </w:rPr>
        <w:t xml:space="preserve">CORRECTED JSON-LD Example (Technical Implementation):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"@context": 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"@vocab": "https://schema.org/",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"cms": "https://caribbeanmetadata.org/ns/"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"@type": "CreativeWork",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"Anba Dlo",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"inLanguage": "ht",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"keywords": ["konpa", "haiti", "musique-carib"],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"cms:territory": "Haiti",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"cms:cultural_markers": ["konpa"],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"cms:domain": "music",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"cms:certification": "Gold"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before="120"/>
      </w:pPr>
      <w:r>
        <w:rPr>
          <w:b/>
          <w:bCs/>
          <w:i/>
          <w:iCs/>
        </w:rPr>
        <w:t xml:space="preserve">Key Technical Corrections Applied: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@context</w:t>
      </w:r>
      <w:r>
        <w:t xml:space="preserve"> now declares the CMS namespace (</w:t>
      </w:r>
      <w:r>
        <w:rPr>
          <w:i/>
          <w:iCs/>
        </w:rPr>
        <w:t xml:space="preserve">https://caribbeanmetadata.org/ns/</w:t>
      </w:r>
      <w:r>
        <w:t xml:space="preserve">) – making </w:t>
      </w:r>
      <w:r>
        <w:rPr>
          <w:i/>
          <w:iCs/>
        </w:rPr>
        <w:t xml:space="preserve">cms:*</w:t>
      </w:r>
      <w:r>
        <w:t xml:space="preserve"> prefixes resolvable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inLanguage</w:t>
      </w:r>
      <w:r>
        <w:t xml:space="preserve"> uses BCP 47 code ("ht" = Haitian Creole), not ISO 639-3, for Google compatibility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Keywords now reference actual Caribbean cultural markers (e.g., "konpa") instead of ambiguous terms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cms:*</w:t>
      </w:r>
      <w:r>
        <w:t xml:space="preserve"> properties are properly namespaced and extensible</w:t>
      </w:r>
    </w:p>
    <w:r>
      <w:br w:type="page"/>
    </w:r>
    <w:p>
      <w:pPr>
        <w:pStyle w:val="Heading1"/>
      </w:pPr>
      <w:r>
        <w:t xml:space="preserve">5. Technical Interoperability</w:t>
      </w:r>
    </w:p>
    <w:p>
      <w:pPr>
        <w:spacing w:after="240"/>
      </w:pPr>
      <w:r>
        <w:t xml:space="preserve">Platforms adopting the CMS can integrate it through three levels of commitment: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Technical Effort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Level 1 – Basic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Accept CMS tags as additional keywords in existing fields (e.g., </w:t>
            </w:r>
            <w:r>
              <w:rPr>
                <w:i/>
                <w:iCs/>
              </w:rPr>
              <w:t xml:space="preserve">dc:subject</w:t>
            </w:r>
            <w:r>
              <w:t xml:space="preserve">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Very low (hours)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Level 2 – Structured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Map CMS families to dedicated fields or to </w:t>
            </w:r>
            <w:r>
              <w:rPr>
                <w:i/>
                <w:iCs/>
              </w:rPr>
              <w:t xml:space="preserve">schema:additionalProperty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(days)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Level 3 – Native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Fully integrate the six CMS families as first-class metadata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Moderate (weeks)</w:t>
            </w:r>
          </w:p>
        </w:tc>
      </w:tr>
    </w:tbl>
    <w:p>
      <w:pPr>
        <w:spacing w:after="240" w:before="240"/>
      </w:pPr>
      <w:r>
        <w:t xml:space="preserve">The CMS provides ready-to-use conversion tables (CMS ↔ Dublin Core, schema.org, EBUCore) as part of its technical documentation.</w:t>
      </w:r>
    </w:p>
    <w:p>
      <w:pPr>
        <w:pStyle w:val="Heading1"/>
      </w:pPr>
      <w:r>
        <w:t xml:space="preserve">6. Economic Impact (Why Platforms and Institutions Should Care)</w:t>
      </w:r>
    </w:p>
    <w:p>
      <w:pPr>
        <w:pStyle w:val="Heading2"/>
      </w:pPr>
      <w:r>
        <w:t xml:space="preserve">For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Better recommendations → higher engagement → increased watch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to an underserved market → first-mover advantage in the Caribbean region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Cultural authenticity → differentiation from generic global platforms</w:t>
      </w:r>
    </w:p>
    <w:p>
      <w:pPr>
        <w:pStyle w:val="Heading2"/>
      </w:pPr>
      <w:r>
        <w:t xml:space="preserve">For Institutions and Governments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Cultural sovereignty → Caribbean content is classified by Caribbean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Exportable industry → structured metadata creates a competitive advantage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Preservation → digital heritage is documented and searchable</w:t>
      </w:r>
    </w:p>
    <w:p>
      <w:pPr>
        <w:pStyle w:val="Heading2"/>
      </w:pPr>
      <w:r>
        <w:t xml:space="preserve">For Creators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Better visibility → more chances to be recommended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Better exportability → access to international markets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Better recognition → cultural authenticity is preserved, not diluted</w:t>
      </w:r>
    </w:p>
    <w:r>
      <w:br w:type="page"/>
    </w:r>
    <w:p>
      <w:pPr>
        <w:pStyle w:val="Heading1"/>
      </w:pPr>
      <w:r>
        <w:t xml:space="preserve">7. Implementation Framework</w:t>
      </w:r>
    </w:p>
    <w:p>
      <w:pPr>
        <w:spacing w:after="240"/>
      </w:pPr>
      <w:r>
        <w:t xml:space="preserve">The CMS is deployed through five complementary tools: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Metadata Bible</w:t>
      </w:r>
      <w:r>
        <w:t xml:space="preserve"> – The complete reference document defining all tags and families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Tagging Protocol</w:t>
      </w:r>
      <w:r>
        <w:t xml:space="preserve"> – Guidelines for consistent manual or automated tagging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CMS Tagger (prototype)</w:t>
      </w:r>
      <w:r>
        <w:t xml:space="preserve"> – A simple tool to assist content annotation (manual first, AI-assisted later)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Certification Process</w:t>
      </w:r>
      <w:r>
        <w:t xml:space="preserve"> – "CMS-Compliant Content" badge (Bronze, Silver, Gold, Platinum)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Export Packages</w:t>
      </w:r>
      <w:r>
        <w:t xml:space="preserve"> – Ready-to-use metadata conversion for major platforms</w:t>
      </w:r>
    </w:p>
    <w:p>
      <w:pPr>
        <w:pStyle w:val="Heading2"/>
      </w:pPr>
      <w:r>
        <w:t xml:space="preserve">Artificial Intelligence: A Pragmatic Approach</w:t>
      </w:r>
    </w:p>
    <w:p>
      <w:pPr>
        <w:spacing w:after="240"/>
      </w:pPr>
      <w:r>
        <w:t xml:space="preserve">The CMS does not require AI to function. Version 1.0 relies on manual tagging (assisted by simple tools). AI-assisted tagging is planned for Phase 3 (6–12 months) as an experimental feature, not a prerequisite. The AI model will be trained on a growing corpus of CMS-tagged content – initially small, but expanding with adoption.</w:t>
      </w:r>
    </w:p>
    <w:p>
      <w:pPr>
        <w:pStyle w:val="Heading1"/>
      </w:pPr>
      <w:r>
        <w:t xml:space="preserve">8. Governance Model (Ensuring the CMS Remains a Public Good)</w:t>
      </w:r>
    </w:p>
    <w:p>
      <w:pPr>
        <w:spacing w:after="240"/>
      </w:pPr>
      <w:r>
        <w:t xml:space="preserve">The CMS is designed as a regional common good, not a private asset.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5070"/>
      </w:tblGrid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Governance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Composition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Committee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Validates evolutions (new tags, corrections, minor versions)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5–9 experts, 2-year mandate, renewable once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General Assembly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Approves major versions (v2.0, v3.0) and strategic orientations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adopting institutions (one vote each)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Secretariat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Manages daily operations, website, GitHub, certifications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1–3 paid or seconded staff</w:t>
            </w:r>
          </w:p>
        </w:tc>
      </w:tr>
    </w:tbl>
    <w:p>
      <w:pPr>
        <w:spacing w:after="120" w:before="240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Openness:</w:t>
      </w:r>
      <w:r>
        <w:t xml:space="preserve"> Any Caribbean institution can apply to join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Transparency:</w:t>
      </w:r>
      <w:r>
        <w:t xml:space="preserve"> All discussions and votes are public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Rotation:</w:t>
      </w:r>
      <w:r>
        <w:t xml:space="preserve"> 1/3 of Technical Committee seats renewed each year</w:t>
      </w:r>
    </w:p>
    <w:p>
      <w:pPr>
        <w:pStyle w:val="Heading3"/>
      </w:pPr>
      <w:r>
        <w:t xml:space="preserve">Clause of Transfer (Governance Independence)</w:t>
      </w:r>
    </w:p>
    <w:p>
      <w:pPr>
        <w:spacing w:after="240"/>
      </w:pPr>
      <w:r>
        <w:t xml:space="preserve">Once five independent institutions have officially adopted the CMS (e.g., national archives, universities, cultural ministries), governance is transferred from Caribwood Language Lab to a fully independent Technical Committee. This ensures the CMS becomes what it should be: the Caribbean's standard, not any single organization's property.</w:t>
      </w:r>
    </w:p>
    <w:p>
      <w:pPr>
        <w:pStyle w:val="Heading3"/>
      </w:pPr>
      <w:r>
        <w:t xml:space="preserve">Evolution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Proposal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Day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Any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Public discussion (GitHub/Forum)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Committee vote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Committee (2/3 majority)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Publication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Secretariat</w:t>
            </w:r>
          </w:p>
        </w:tc>
      </w:tr>
    </w:tbl>
    <w:r>
      <w:br w:type="page"/>
    </w:r>
    <w:p>
      <w:pPr>
        <w:pStyle w:val="Heading1"/>
      </w:pPr>
      <w:r>
        <w:t xml:space="preserve">9. The CMS and the Caribwood Language Lab</w:t>
      </w:r>
    </w:p>
    <w:p>
      <w:pPr>
        <w:spacing w:after="200"/>
      </w:pPr>
      <w:r>
        <w:t xml:space="preserve">The CMS is initially developed and hosted by the Caribwood Language Lab – a center of excellence for Caribbean linguistic innovation, translation, and cultural localization.</w:t>
      </w:r>
    </w:p>
    <w:p>
      <w:pPr>
        <w:spacing w:after="200"/>
      </w:pPr>
      <w:r>
        <w:t xml:space="preserve">To avoid any perception of a "private standard," the CMS governance includes a transfer clause (see Section 8): as soon as five independent institutions (e.g., national archives, universities, cultural ministries) officially adopt the CMS, the Technical Committee becomes fully independent of the Language Lab.</w:t>
      </w:r>
    </w:p>
    <w:p>
      <w:pPr>
        <w:spacing w:after="240"/>
      </w:pPr>
      <w:r>
        <w:t xml:space="preserve">This ensures the CMS becomes what it should be: the Caribbean's standard, not any single organization's property.</w:t>
      </w:r>
    </w:p>
    <w:p>
      <w:pPr>
        <w:pStyle w:val="Heading1"/>
      </w:pPr>
      <w:r>
        <w:t xml:space="preserve">10. Roadmap (18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 –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0–3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Linguistic &amp; cultural committee; define 6 families; glossary; CMS 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CMS v1.0 + Metadata Bible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 –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3–9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Recruit pilot platforms &amp; institutions; CMS Tagger prototype; pilot tagging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Certification badge system; initial pilot corpus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 – Scaling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9–18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AI-assisted tagging (experimental); governance transfer triggers; CMS v2.0 (public review)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tagging beta; independent governance; CMS v2.0 published</w:t>
            </w:r>
          </w:p>
        </w:tc>
      </w:tr>
    </w:tbl>
    <w:r>
      <w:br w:type="page"/>
    </w:r>
    <w:p>
      <w:pPr>
        <w:pStyle w:val="Heading1"/>
      </w:pPr>
      <w:r>
        <w:t xml:space="preserve">11. Next Steps</w:t>
      </w:r>
    </w:p>
    <w:p>
      <w:pPr>
        <w:pStyle w:val="Heading2"/>
      </w:pPr>
      <w:r>
        <w:t xml:space="preserve">For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Signal interest in becoming a pilot adopter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Commit to at least Level 1 (Basic) technical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tagging content (manual or assisted)</w:t>
      </w:r>
    </w:p>
    <w:p>
      <w:pPr>
        <w:pStyle w:val="Heading2"/>
      </w:pPr>
      <w:r>
        <w:t xml:space="preserve">For Creators (Artists, Producers, Filmmakers)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your content for CMS certification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Receive Bronze/Silver/Gold/Platinum rating based on cultural anchoring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the CMS badge for promotion and export</w:t>
      </w:r>
    </w:p>
    <w:p>
      <w:pPr>
        <w:pStyle w:val="Heading1"/>
      </w:pPr>
      <w:r>
        <w:t xml:space="preserve">12. Frequently Asked Questions (FAQ)</w:t>
      </w:r>
    </w:p>
    <w:p>
      <w:pPr>
        <w:pStyle w:val="Heading3"/>
      </w:pPr>
      <w:r>
        <w:t xml:space="preserve">Q: Does the CMS replace Dublin Core or schema.org?</w:t>
      </w:r>
    </w:p>
    <w:p>
      <w:pPr>
        <w:spacing w:after="240"/>
      </w:pPr>
      <w:r>
        <w:t xml:space="preserve">A: No. It enriches them. CMS tags can be expressed within existing fields.</w:t>
      </w:r>
    </w:p>
    <w:p>
      <w:pPr>
        <w:pStyle w:val="Heading3"/>
      </w:pPr>
      <w:r>
        <w:t xml:space="preserve">Q: Is AI required to use the CMS?</w:t>
      </w:r>
    </w:p>
    <w:p>
      <w:pPr>
        <w:spacing w:after="240"/>
      </w:pPr>
      <w:r>
        <w:t xml:space="preserve">A: No. Version 1.0 works with manual tagging. AI is experimental and optional.</w:t>
      </w:r>
    </w:p>
    <w:p>
      <w:pPr>
        <w:pStyle w:val="Heading3"/>
      </w:pPr>
      <w:r>
        <w:t xml:space="preserve">Q: Who owns the CMS?</w:t>
      </w:r>
    </w:p>
    <w:p>
      <w:pPr>
        <w:spacing w:after="240"/>
      </w:pPr>
      <w:r>
        <w:t xml:space="preserve">A: The CMS is designed as a regional common good. Governance will transfer to an independent Technical Committee once five institutions adopt it.</w:t>
      </w:r>
    </w:p>
    <w:p>
      <w:pPr>
        <w:pStyle w:val="Heading3"/>
      </w:pPr>
      <w:r>
        <w:t xml:space="preserve">Q: Can a territory propose its own specific tags?</w:t>
      </w:r>
    </w:p>
    <w:p>
      <w:pPr>
        <w:spacing w:after="240"/>
      </w:pPr>
      <w:r>
        <w:t xml:space="preserve">A: Yes. The evolution process is open to any member territory or institution.</w:t>
      </w:r>
    </w:p>
    <w:p>
      <w:pPr>
        <w:pStyle w:val="Heading3"/>
      </w:pPr>
      <w:r>
        <w:t xml:space="preserve">Q: Does adopting the CMS require making my data public?</w:t>
      </w:r>
    </w:p>
    <w:p>
      <w:pPr>
        <w:spacing w:after="240"/>
      </w:pPr>
      <w:r>
        <w:t xml:space="preserve">A: No. The CMS is a metadata framework, not a public database. Your data remains yours.</w:t>
      </w:r>
    </w:p>
    <w:p>
      <w:pPr>
        <w:pStyle w:val="Heading1"/>
      </w:pPr>
      <w:r>
        <w:t xml:space="preserve">13. Conclusion</w:t>
      </w:r>
    </w:p>
    <w:p>
      <w:pPr>
        <w:spacing w:after="240"/>
      </w:pPr>
      <w:r>
        <w:t xml:space="preserve">The Caribbean Metadata Standard is more than a technical tool. It is a declaration of cultural sovereignty.</w:t>
      </w:r>
    </w:p>
    <w:p>
      <w:pPr>
        <w:spacing w:after="240"/>
      </w:pPr>
      <w:r>
        <w:t xml:space="preserve">It ensures that Caribbean stories are not only produced – but found, valued, and celebrated worldwide.</w:t>
      </w:r>
    </w:p>
    <w:p>
      <w:pPr>
        <w:spacing w:after="240"/>
      </w:pPr>
      <w:r>
        <w:t xml:space="preserve">Platforms cannot promote what they cannot understand. The CMS gives them the vocabulary to understand us.</w:t>
      </w:r>
    </w:p>
    <w:p>
      <w:pPr>
        <w:spacing w:after="240"/>
        <w:jc w:val="center"/>
      </w:pPr>
      <w:r>
        <w:rPr>
          <w:b/>
          <w:bCs/>
          <w:i/>
          <w:iCs/>
        </w:rPr>
        <w:t xml:space="preserve">First standard. Regional ownership. Global ambition.</w:t>
      </w:r>
    </w:p>
    <w:r>
      <w:br w:type="page"/>
    </w:r>
    <w:p>
      <w:pPr>
        <w:pStyle w:val="Heading1"/>
      </w:pPr>
      <w:r>
        <w:t xml:space="preserve">Contact &amp; Resources</w:t>
      </w:r>
    </w:p>
    <w:p>
      <w:pPr>
        <w:pStyle w:val="Heading2"/>
      </w:pPr>
      <w:r>
        <w:t xml:space="preserve">Caribwood Language Lab</w:t>
      </w:r>
    </w:p>
    <w:p>
      <w:pPr>
        <w:spacing w:after="100"/>
      </w:pPr>
      <w:r>
        <w:rPr>
          <w:i/>
          <w:iCs/>
        </w:rPr>
        <w:t xml:space="preserve">Metadata &amp; Cultural Innovation Hub</w:t>
      </w:r>
    </w:p>
    <w:p>
      <w:pPr>
        <w:spacing w:after="100"/>
      </w:pPr>
      <w:r>
        <w:t xml:space="preserve">Email: </w:t>
      </w:r>
      <w:r>
        <w:rPr>
          <w:i/>
          <w:iCs/>
        </w:rPr>
        <w:t xml:space="preserve">cms@caribwood.org</w:t>
      </w:r>
      <w:r>
        <w:t xml:space="preserve"> (placeholder)</w:t>
      </w:r>
    </w:p>
    <w:p>
      <w:pPr>
        <w:spacing w:after="100"/>
      </w:pPr>
      <w:r>
        <w:t xml:space="preserve">Website: </w:t>
      </w:r>
      <w:r>
        <w:rPr>
          <w:i/>
          <w:iCs/>
        </w:rPr>
        <w:t xml:space="preserve">caribbeanmetadata.org</w:t>
      </w:r>
    </w:p>
    <w:p>
      <w:pPr>
        <w:spacing w:after="240"/>
      </w:pPr>
      <w:r>
        <w:t xml:space="preserve">GitHub: </w:t>
      </w:r>
      <w:r>
        <w:rPr>
          <w:i/>
          <w:iCs/>
        </w:rPr>
        <w:t xml:space="preserve">github.com/your-repo/cms</w:t>
      </w:r>
      <w:r>
        <w:t xml:space="preserve"> (placeholder)</w:t>
      </w:r>
    </w:p>
    <w:p>
      <w:pPr>
        <w:spacing w:after="100" w:before="240"/>
      </w:pPr>
      <w:r>
        <w:rPr>
          <w:b/>
          <w:bCs/>
        </w:rPr>
        <w:t xml:space="preserve">License:</w:t>
      </w:r>
      <w:r>
        <w:t xml:space="preserve"> CC BY 4.0</w:t>
      </w:r>
    </w:p>
    <w:p>
      <w:pPr>
        <w:spacing w:after="240"/>
      </w:pPr>
      <w:r>
        <w:rPr>
          <w:b/>
          <w:bCs/>
        </w:rPr>
        <w:t xml:space="preserve">Version 2.0 – Revised May 2026</w:t>
      </w:r>
    </w:p>
    <w:p>
      <w:pPr>
        <w:pBdr>
          <w:bottom w:val="single" w:color="2E75B6" w:sz="6" w:space="1"/>
        </w:pBdr>
        <w:spacing w:after="0" w:before="240"/>
      </w:pPr>
      <w:r>
        <w:t xml:space="preserve"/>
      </w:r>
    </w:p>
    <w:p>
      <w:pPr>
        <w:spacing w:after="0" w:before="240"/>
      </w:pPr>
      <w:r>
        <w:rPr>
          <w:b/>
          <w:bCs/>
          <w:i/>
          <w:iCs/>
          <w:sz w:val="22"/>
          <w:szCs w:val="22"/>
        </w:rPr>
        <w:t xml:space="preserve">Document Notes</w:t>
      </w:r>
    </w:p>
    <w:p>
      <w:pPr>
        <w:spacing w:after="200"/>
      </w:pPr>
      <w:r>
        <w:rPr>
          <w:i/>
          <w:iCs/>
        </w:rPr>
        <w:t xml:space="preserve">This white paper incorporates feedback from metadata experts and regional stakeholders. It is a living document, updated as the CMS evolves.</w:t>
      </w:r>
    </w:p>
    <w:p>
      <w:pPr>
        <w:spacing w:after="200"/>
      </w:pPr>
      <w:r>
        <w:rPr>
          <w:b/>
          <w:bCs/>
        </w:rPr>
        <w:t xml:space="preserve">TECHNICAL CORRECTIONS APPLIED (May 2026):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Section 4: Fixed duplicate Dublin Core entry in standards mapping table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Section 4: Corrected JSON-LD example with proper CMS namespace declaration and BCP 47 language codes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Section 4: Added detailed explanation of JSON-LD technical corrections for developer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Metadata: All sections aligned with schema.org and JSON-LD best practices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Governance: Explicit clause of transfer clarified in Section 8 and 9</w:t>
      </w:r>
    </w:p>
    <w:p>
      <w:pPr>
        <w:spacing w:before="120"/>
      </w:pPr>
      <w:r>
        <w:rPr>
          <w:b/>
          <w:bCs/>
          <w:i/>
          <w:iCs/>
        </w:rPr>
        <w:t xml:space="preserve">Ready for publication, review, and adoption.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2026-05-13T13:36:36.048Z</dcterms:created>
  <dcterms:modified xsi:type="dcterms:W3CDTF">2026-05-13T13:36:36.048Z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