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b/>
          <w:bCs/>
          <w:color w:val="0F9B8E"/>
          <w:sz w:val="20"/>
          <w:szCs w:val="20"/>
        </w:rPr>
        <w:t xml:space="preserve">CARIBBEAN METADATA STANDARD</w:t>
      </w:r>
    </w:p>
    <w:p>
      <w:pPr>
        <w:spacing w:after="0" w:before="0"/>
      </w:pPr>
      <w:r>
        <w:rPr>
          <w:rFonts w:ascii="Arial" w:cs="Arial" w:eastAsia="Arial" w:hAnsi="Arial"/>
          <w:color w:val="888888"/>
          <w:sz w:val="18"/>
          <w:szCs w:val="18"/>
        </w:rPr>
        <w:t xml:space="preserve">Caribwood Language Lab · caribbeanmetadata.org</w:t>
      </w:r>
    </w:p>
    <w:p>
      <w:pPr>
        <w:spacing w:after="60" w:before="60"/>
      </w:pPr>
      <w:r>
        <w:t xml:space="preserve"/>
      </w:r>
    </w:p>
    <w:p>
      <w:pPr>
        <w:spacing w:after="60" w:before="60"/>
      </w:pPr>
      <w:r>
        <w:t xml:space="preserve"/>
      </w:r>
    </w:p>
    <w:p>
      <w:pPr>
        <w:spacing w:after="60" w:before="60"/>
      </w:pPr>
      <w:r>
        <w:t xml:space="preserve"/>
      </w:r>
    </w:p>
    <w:p>
      <w:pPr>
        <w:spacing w:after="0" w:before="0"/>
      </w:pPr>
      <w:r>
        <w:rPr>
          <w:rFonts w:ascii="Arial" w:cs="Arial" w:eastAsia="Arial" w:hAnsi="Arial"/>
          <w:b/>
          <w:bCs/>
          <w:color w:val="0B1E30"/>
          <w:sz w:val="56"/>
          <w:szCs w:val="56"/>
        </w:rPr>
        <w:t xml:space="preserve">Dossier Institutionnel</w:t>
      </w:r>
    </w:p>
    <w:p>
      <w:pPr>
        <w:spacing w:after="0" w:before="80"/>
      </w:pPr>
      <w:r>
        <w:rPr>
          <w:rFonts w:ascii="Arial" w:cs="Arial" w:eastAsia="Arial" w:hAnsi="Arial"/>
          <w:i/>
          <w:iCs/>
          <w:color w:val="0F9B8E"/>
          <w:sz w:val="32"/>
          <w:szCs w:val="32"/>
        </w:rPr>
        <w:t xml:space="preserve">Caribbean Metadata Standard v2.0</w:t>
      </w:r>
    </w:p>
    <w:p>
      <w:pPr>
        <w:spacing w:after="60" w:before="60"/>
      </w:pPr>
      <w:r>
        <w:t xml:space="preserve"/>
      </w:r>
    </w:p>
    <w:p>
      <w:pPr>
        <w:spacing w:after="60" w:before="60"/>
      </w:pPr>
      <w:r>
        <w:t xml:space="preserve"/>
      </w:r>
    </w:p>
    <w:p>
      <w:pPr>
        <w:pBdr>
          <w:bottom w:val="single" w:color="C8962A" w:sz="6" w:space="1"/>
        </w:pBdr>
      </w:pPr>
      <w:r>
        <w:t xml:space="preserve"/>
      </w:r>
    </w:p>
    <w:p>
      <w:pPr>
        <w:spacing w:after="60" w:before="60"/>
      </w:pPr>
      <w:r>
        <w:t xml:space="preserve"/>
      </w:r>
    </w:p>
    <w:p>
      <w:pPr>
        <w:spacing w:after="0" w:before="0"/>
      </w:pPr>
      <w:r>
        <w:rPr>
          <w:rFonts w:ascii="Arial" w:cs="Arial" w:eastAsia="Arial" w:hAnsi="Arial"/>
          <w:i/>
          <w:iCs/>
          <w:color w:val="444444"/>
          <w:sz w:val="24"/>
          <w:szCs w:val="24"/>
        </w:rPr>
        <w:t xml:space="preserve">La première infrastructure de métadonnées culturelles caribéennes</w:t>
      </w:r>
    </w:p>
    <w:p>
      <w:pPr>
        <w:spacing w:after="0" w:before="40"/>
      </w:pPr>
      <w:r>
        <w:rPr>
          <w:rFonts w:ascii="Arial" w:cs="Arial" w:eastAsia="Arial" w:hAnsi="Arial"/>
          <w:i/>
          <w:iCs/>
          <w:color w:val="444444"/>
          <w:sz w:val="24"/>
          <w:szCs w:val="24"/>
        </w:rPr>
        <w:t xml:space="preserve">— pour que les œuvres de la Caraïbe soient reconnues, distribuées et recommandées.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0" w:before="0"/>
      </w:pPr>
      <w:r>
        <w:rPr>
          <w:rFonts w:ascii="Arial" w:cs="Arial" w:eastAsia="Arial" w:hAnsi="Arial"/>
          <w:color w:val="888888"/>
          <w:sz w:val="20"/>
          <w:szCs w:val="20"/>
        </w:rPr>
        <w:t xml:space="preserve">Juin 2026  ·  Version 2.0  ·  Open Source  ·  CC-BY 4.0</w:t>
      </w:r>
    </w:p>
    <w:p>
      <w:r>
        <w:br/>
      </w:r>
    </w:p>
    <w:p>
      <w:pPr>
        <w:pStyle w:val="Heading1"/>
        <w:pBdr>
          <w:bottom w:val="single" w:color="0F9B8E" w:sz="8" w:space="4"/>
        </w:pBdr>
        <w:spacing w:after="160" w:before="400"/>
      </w:pPr>
      <w:r>
        <w:rPr>
          <w:rFonts w:ascii="Arial" w:cs="Arial" w:eastAsia="Arial" w:hAnsi="Arial"/>
          <w:b/>
          <w:bCs/>
          <w:color w:val="0B1E30"/>
          <w:sz w:val="32"/>
          <w:szCs w:val="32"/>
        </w:rPr>
        <w:t xml:space="preserve">1. Qui sommes-nous</w:t>
      </w:r>
    </w:p>
    <w:p>
      <w:pPr>
        <w:spacing w:after="80" w:before="80"/>
      </w:pPr>
      <w:r>
        <w:rPr>
          <w:rFonts w:ascii="Arial" w:cs="Arial" w:eastAsia="Arial" w:hAnsi="Arial"/>
          <w:color w:val="1A1A2E"/>
          <w:sz w:val="22"/>
          <w:szCs w:val="22"/>
        </w:rPr>
        <w:t xml:space="preserve">Le Caribbean Metadata Standard (CMS) est un standard ouvert de métadonnées culturelles développé par le Caribwood Language Lab, basé en Guadeloupe. Notre mission est de doter les œuvres audiovisuelles, musicales, littéraires et patrimoniales de la Caraïbe d'une identité numérique structurée, reconnue et exploitable par les algorithmes de distribution mondiale.</w:t>
      </w:r>
    </w:p>
    <w:p>
      <w:pPr>
        <w:spacing w:after="60" w:before="60"/>
      </w:pPr>
      <w:r>
        <w:t xml:space="preserve"/>
      </w:r>
    </w:p>
    <w:p>
      <w:pPr>
        <w:spacing w:after="80" w:before="80"/>
      </w:pPr>
      <w:r>
        <w:rPr>
          <w:rFonts w:ascii="Arial" w:cs="Arial" w:eastAsia="Arial" w:hAnsi="Arial"/>
          <w:color w:val="1A1A2E"/>
          <w:sz w:val="22"/>
          <w:szCs w:val="22"/>
        </w:rPr>
        <w:t xml:space="preserve">Le CMS définit un vocabulaire contrôlé — 6 familles culturelles, 27 marqueurs, 10 langues, 17 territoires — qui permet à une œuvre caribéenne d'être correctement identifiée et recommandée par les grandes plateformes numériques (YouTube, Netflix, Spotify, Google).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00"/>
            <w:tcBorders>
              <w:top w:val="single" w:color="DDDDDD" w:sz="1"/>
              <w:left w:val="single" w:color="DDDDDD" w:sz="1"/>
              <w:bottom w:val="single" w:color="DDDDDD" w:sz="1"/>
              <w:right w:val="single" w:color="DDDDDD" w:sz="1"/>
            </w:tcBorders>
            <w:shd w:fill="E8F7F6" w:val="clear"/>
            <w:tcMar>
              <w:top w:type="dxa" w:w="120"/>
              <w:left w:type="dxa" w:w="160"/>
              <w:bottom w:type="dxa" w:w="120"/>
              <w:right w:type="dxa" w:w="160"/>
            </w:tcMar>
            <w:vAlign w:val="center"/>
          </w:tcPr>
          <w:p>
            <w:pPr>
              <w:jc w:val="center"/>
            </w:pPr>
            <w:r>
              <w:rPr>
                <w:rFonts w:ascii="Arial" w:cs="Arial" w:eastAsia="Arial" w:hAnsi="Arial"/>
                <w:b/>
                <w:bCs/>
                <w:color w:val="0F9B8E"/>
                <w:sz w:val="48"/>
                <w:szCs w:val="48"/>
              </w:rPr>
              <w:t xml:space="preserve">110</w:t>
            </w:r>
          </w:p>
          <w:p>
            <w:pPr>
              <w:jc w:val="center"/>
            </w:pPr>
            <w:r>
              <w:rPr>
                <w:rFonts w:ascii="Arial" w:cs="Arial" w:eastAsia="Arial" w:hAnsi="Arial"/>
                <w:color w:val="555555"/>
                <w:sz w:val="16"/>
                <w:szCs w:val="16"/>
              </w:rPr>
              <w:t xml:space="preserve">Œuvres dans le corpus</w:t>
            </w:r>
          </w:p>
        </w:tc>
        <w:tc>
          <w:tcPr>
            <w:tcW w:type="dxa" w:w="220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60"/>
            </w:tcMar>
            <w:vAlign w:val="center"/>
          </w:tcPr>
          <w:p>
            <w:pPr>
              <w:jc w:val="center"/>
            </w:pPr>
            <w:r>
              <w:rPr>
                <w:rFonts w:ascii="Arial" w:cs="Arial" w:eastAsia="Arial" w:hAnsi="Arial"/>
                <w:b/>
                <w:bCs/>
                <w:color w:val="0F9B8E"/>
                <w:sz w:val="48"/>
                <w:szCs w:val="48"/>
              </w:rPr>
              <w:t xml:space="preserve">6</w:t>
            </w:r>
          </w:p>
          <w:p>
            <w:pPr>
              <w:jc w:val="center"/>
            </w:pPr>
            <w:r>
              <w:rPr>
                <w:rFonts w:ascii="Arial" w:cs="Arial" w:eastAsia="Arial" w:hAnsi="Arial"/>
                <w:color w:val="555555"/>
                <w:sz w:val="16"/>
                <w:szCs w:val="16"/>
              </w:rPr>
              <w:t xml:space="preserve">Familles culturelles</w:t>
            </w:r>
          </w:p>
        </w:tc>
        <w:tc>
          <w:tcPr>
            <w:tcW w:type="dxa" w:w="2200"/>
            <w:tcBorders>
              <w:top w:val="single" w:color="DDDDDD" w:sz="1"/>
              <w:left w:val="single" w:color="DDDDDD" w:sz="1"/>
              <w:bottom w:val="single" w:color="DDDDDD" w:sz="1"/>
              <w:right w:val="single" w:color="DDDDDD" w:sz="1"/>
            </w:tcBorders>
            <w:shd w:fill="E8F7F6" w:val="clear"/>
            <w:tcMar>
              <w:top w:type="dxa" w:w="120"/>
              <w:left w:type="dxa" w:w="160"/>
              <w:bottom w:type="dxa" w:w="120"/>
              <w:right w:type="dxa" w:w="160"/>
            </w:tcMar>
            <w:vAlign w:val="center"/>
          </w:tcPr>
          <w:p>
            <w:pPr>
              <w:jc w:val="center"/>
            </w:pPr>
            <w:r>
              <w:rPr>
                <w:rFonts w:ascii="Arial" w:cs="Arial" w:eastAsia="Arial" w:hAnsi="Arial"/>
                <w:b/>
                <w:bCs/>
                <w:color w:val="0F9B8E"/>
                <w:sz w:val="48"/>
                <w:szCs w:val="48"/>
              </w:rPr>
              <w:t xml:space="preserve">17</w:t>
            </w:r>
          </w:p>
          <w:p>
            <w:pPr>
              <w:jc w:val="center"/>
            </w:pPr>
            <w:r>
              <w:rPr>
                <w:rFonts w:ascii="Arial" w:cs="Arial" w:eastAsia="Arial" w:hAnsi="Arial"/>
                <w:color w:val="555555"/>
                <w:sz w:val="16"/>
                <w:szCs w:val="16"/>
              </w:rPr>
              <w:t xml:space="preserve">Territoires couverts</w:t>
            </w:r>
          </w:p>
        </w:tc>
        <w:tc>
          <w:tcPr>
            <w:tcW w:type="dxa" w:w="220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60"/>
            </w:tcMar>
            <w:vAlign w:val="center"/>
          </w:tcPr>
          <w:p>
            <w:pPr>
              <w:jc w:val="center"/>
            </w:pPr>
            <w:r>
              <w:rPr>
                <w:rFonts w:ascii="Arial" w:cs="Arial" w:eastAsia="Arial" w:hAnsi="Arial"/>
                <w:b/>
                <w:bCs/>
                <w:color w:val="0F9B8E"/>
                <w:sz w:val="48"/>
                <w:szCs w:val="48"/>
              </w:rPr>
              <w:t xml:space="preserve">10</w:t>
            </w:r>
          </w:p>
          <w:p>
            <w:pPr>
              <w:jc w:val="center"/>
            </w:pPr>
            <w:r>
              <w:rPr>
                <w:rFonts w:ascii="Arial" w:cs="Arial" w:eastAsia="Arial" w:hAnsi="Arial"/>
                <w:color w:val="555555"/>
                <w:sz w:val="16"/>
                <w:szCs w:val="16"/>
              </w:rPr>
              <w:t xml:space="preserve">Langues indexées</w:t>
            </w:r>
          </w:p>
        </w:tc>
      </w:tr>
    </w:tbl>
    <w:p>
      <w:pPr>
        <w:spacing w:after="60" w:before="60"/>
      </w:pPr>
      <w:r>
        <w:t xml:space="preserve"/>
      </w:r>
    </w:p>
    <w:p>
      <w:pPr>
        <w:spacing w:after="60" w:before="60"/>
      </w:pPr>
      <w:r>
        <w:t xml:space="preserve"/>
      </w:r>
    </w:p>
    <w:p>
      <w:pPr>
        <w:pStyle w:val="Heading1"/>
        <w:pBdr>
          <w:bottom w:val="single" w:color="0F9B8E" w:sz="8" w:space="4"/>
        </w:pBdr>
        <w:spacing w:after="160" w:before="400"/>
      </w:pPr>
      <w:r>
        <w:rPr>
          <w:rFonts w:ascii="Arial" w:cs="Arial" w:eastAsia="Arial" w:hAnsi="Arial"/>
          <w:b/>
          <w:bCs/>
          <w:color w:val="0B1E30"/>
          <w:sz w:val="32"/>
          <w:szCs w:val="32"/>
        </w:rPr>
        <w:t xml:space="preserve">2. Le problème que nous résolvons</w:t>
      </w:r>
    </w:p>
    <w:p>
      <w:pPr>
        <w:spacing w:after="80" w:before="80"/>
      </w:pPr>
      <w:r>
        <w:rPr>
          <w:rFonts w:ascii="Arial" w:cs="Arial" w:eastAsia="Arial" w:hAnsi="Arial"/>
          <w:color w:val="1A1A2E"/>
          <w:sz w:val="22"/>
          <w:szCs w:val="22"/>
        </w:rPr>
        <w:t xml:space="preserve">Les algorithmes de recommandation des plateformes numériques (YouTube, Netflix, Spotify) ne peuvent distribuer que ce qu'ils comprennent. Les œuvres caribéennes souffrent d'un déficit structurel de métadonnées : elles sont sous-catégorisées, mal géolocalisées, et leur identité culturelle est invisible pour les systèmes de classification existants.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60"/>
              <w:left w:type="dxa" w:w="240"/>
              <w:bottom w:type="dxa" w:w="160"/>
              <w:right w:type="dxa" w:w="240"/>
            </w:tcMar>
          </w:tcPr>
          <w:p>
            <w:pPr>
              <w:spacing w:after="120" w:before="0"/>
            </w:pPr>
            <w:r>
              <w:rPr>
                <w:rFonts w:ascii="Arial" w:cs="Arial" w:eastAsia="Arial" w:hAnsi="Arial"/>
                <w:b/>
                <w:bCs/>
                <w:color w:val="0B1E30"/>
                <w:sz w:val="22"/>
                <w:szCs w:val="22"/>
              </w:rPr>
              <w:t xml:space="preserve">Conséquences concrètes</w:t>
            </w:r>
          </w:p>
          <w:p>
            <w:pPr>
              <w:spacing w:after="40" w:before="40"/>
            </w:pPr>
            <w:r>
              <w:rPr>
                <w:rFonts w:ascii="Arial" w:cs="Arial" w:eastAsia="Arial" w:hAnsi="Arial"/>
                <w:color w:val="1A1A2E"/>
                <w:sz w:val="20"/>
                <w:szCs w:val="20"/>
              </w:rPr>
              <w:t xml:space="preserve">▸ Un film guadeloupéen est classé 'World Cinema' sans distinction régionale</w:t>
            </w:r>
          </w:p>
          <w:p>
            <w:pPr>
              <w:spacing w:after="40" w:before="40"/>
            </w:pPr>
            <w:r>
              <w:rPr>
                <w:rFonts w:ascii="Arial" w:cs="Arial" w:eastAsia="Arial" w:hAnsi="Arial"/>
                <w:color w:val="1A1A2E"/>
                <w:sz w:val="20"/>
                <w:szCs w:val="20"/>
              </w:rPr>
              <w:t xml:space="preserve">▸ Un album de zouk est indexé sous 'Latin Music' — catégorie générique non-caribéenne</w:t>
            </w:r>
          </w:p>
          <w:p>
            <w:pPr>
              <w:spacing w:after="40" w:before="40"/>
            </w:pPr>
            <w:r>
              <w:rPr>
                <w:rFonts w:ascii="Arial" w:cs="Arial" w:eastAsia="Arial" w:hAnsi="Arial"/>
                <w:color w:val="1A1A2E"/>
                <w:sz w:val="20"/>
                <w:szCs w:val="20"/>
              </w:rPr>
              <w:t xml:space="preserve">▸ Une archive orale en créole n'apparaît dans aucune recommandation thématique</w:t>
            </w:r>
          </w:p>
          <w:p>
            <w:pPr>
              <w:spacing w:after="40" w:before="40"/>
            </w:pPr>
            <w:r>
              <w:rPr>
                <w:rFonts w:ascii="Arial" w:cs="Arial" w:eastAsia="Arial" w:hAnsi="Arial"/>
                <w:color w:val="1A1A2E"/>
                <w:sz w:val="20"/>
                <w:szCs w:val="20"/>
              </w:rPr>
              <w:t xml:space="preserve">▸ Les institutions ne peuvent pas mesurer la visibilité algorithmique de leurs collections</w:t>
            </w:r>
          </w:p>
        </w:tc>
      </w:tr>
    </w:tbl>
    <w:p>
      <w:pPr>
        <w:spacing w:after="60" w:before="60"/>
      </w:pPr>
      <w:r>
        <w:t xml:space="preserve"/>
      </w:r>
    </w:p>
    <w:p>
      <w:pPr>
        <w:spacing w:after="60" w:before="60"/>
      </w:pPr>
      <w:r>
        <w:t xml:space="preserve"/>
      </w:r>
    </w:p>
    <w:p>
      <w:pPr>
        <w:pStyle w:val="Heading1"/>
        <w:pBdr>
          <w:bottom w:val="single" w:color="0F9B8E" w:sz="8" w:space="4"/>
        </w:pBdr>
        <w:spacing w:after="160" w:before="400"/>
      </w:pPr>
      <w:r>
        <w:rPr>
          <w:rFonts w:ascii="Arial" w:cs="Arial" w:eastAsia="Arial" w:hAnsi="Arial"/>
          <w:b/>
          <w:bCs/>
          <w:color w:val="0B1E30"/>
          <w:sz w:val="32"/>
          <w:szCs w:val="32"/>
        </w:rPr>
        <w:t xml:space="preserve">3. Notre réponse : la certification CMS</w:t>
      </w:r>
    </w:p>
    <w:p>
      <w:pPr>
        <w:spacing w:after="80" w:before="80"/>
      </w:pPr>
      <w:r>
        <w:rPr>
          <w:rFonts w:ascii="Arial" w:cs="Arial" w:eastAsia="Arial" w:hAnsi="Arial"/>
          <w:color w:val="1A1A2E"/>
          <w:sz w:val="22"/>
          <w:szCs w:val="22"/>
        </w:rPr>
        <w:t xml:space="preserve">Le CMS propose un processus de certification en 3 étapes qui dote chaque œuvre d'un identifiant unique structuré et d'un ensemble de métadonnées culturelles vérifiables.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DDDDD" w:sz="1"/>
              <w:left w:val="single" w:color="DDDDDD" w:sz="1"/>
              <w:bottom w:val="single" w:color="DDDDDD" w:sz="1"/>
              <w:right w:val="single" w:color="DDDDDD" w:sz="1"/>
            </w:tcBorders>
            <w:shd w:fill="0F9B8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01</w:t>
            </w:r>
          </w:p>
        </w:tc>
        <w:tc>
          <w:tcPr>
            <w:tcW w:type="dxa" w:w="7826"/>
            <w:tcBorders>
              <w:top w:val="single" w:color="DDDDDD" w:sz="1"/>
              <w:left w:val="single" w:color="DDDDDD" w:sz="1"/>
              <w:bottom w:val="single" w:color="DDDDDD" w:sz="1"/>
              <w:right w:val="single" w:color="DDDDDD" w:sz="1"/>
            </w:tcBorders>
            <w:shd w:fill="E8F7F6" w:val="clear"/>
            <w:tcMar>
              <w:top w:type="dxa" w:w="120"/>
              <w:left w:type="dxa" w:w="200"/>
              <w:bottom w:type="dxa" w:w="120"/>
              <w:right w:type="dxa" w:w="160"/>
            </w:tcMar>
          </w:tcPr>
          <w:p>
            <w:r>
              <w:rPr>
                <w:rFonts w:ascii="Arial" w:cs="Arial" w:eastAsia="Arial" w:hAnsi="Arial"/>
                <w:b/>
                <w:bCs/>
                <w:color w:val="0B1E30"/>
                <w:sz w:val="22"/>
                <w:szCs w:val="22"/>
              </w:rPr>
              <w:t xml:space="preserve">Soumission</w:t>
            </w:r>
          </w:p>
          <w:p>
            <w:r>
              <w:rPr>
                <w:rFonts w:ascii="Arial" w:cs="Arial" w:eastAsia="Arial" w:hAnsi="Arial"/>
                <w:color w:val="444444"/>
                <w:sz w:val="20"/>
                <w:szCs w:val="20"/>
              </w:rPr>
              <w:t xml:space="preserve">Le créateur ou l'institution soumet l'œuvre via le formulaire CMS avec ses métadonnées de base.</w:t>
            </w:r>
          </w:p>
        </w:tc>
      </w:tr>
      <w:tr>
        <w:tc>
          <w:tcPr>
            <w:tcW w:type="dxa" w:w="1200"/>
            <w:tcBorders>
              <w:top w:val="single" w:color="DDDDDD" w:sz="1"/>
              <w:left w:val="single" w:color="DDDDDD" w:sz="1"/>
              <w:bottom w:val="single" w:color="DDDDDD" w:sz="1"/>
              <w:right w:val="single" w:color="DDDDDD" w:sz="1"/>
            </w:tcBorders>
            <w:shd w:fill="C8962A"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02</w:t>
            </w:r>
          </w:p>
        </w:tc>
        <w:tc>
          <w:tcPr>
            <w:tcW w:type="dxa" w:w="7826"/>
            <w:tcBorders>
              <w:top w:val="single" w:color="DDDDDD" w:sz="1"/>
              <w:left w:val="single" w:color="DDDDDD" w:sz="1"/>
              <w:bottom w:val="single" w:color="DDDDDD" w:sz="1"/>
              <w:right w:val="single" w:color="DDDDDD" w:sz="1"/>
            </w:tcBorders>
            <w:shd w:fill="FDF6E3" w:val="clear"/>
            <w:tcMar>
              <w:top w:type="dxa" w:w="120"/>
              <w:left w:type="dxa" w:w="200"/>
              <w:bottom w:type="dxa" w:w="120"/>
              <w:right w:type="dxa" w:w="160"/>
            </w:tcMar>
          </w:tcPr>
          <w:p>
            <w:r>
              <w:rPr>
                <w:rFonts w:ascii="Arial" w:cs="Arial" w:eastAsia="Arial" w:hAnsi="Arial"/>
                <w:b/>
                <w:bCs/>
                <w:color w:val="0B1E30"/>
                <w:sz w:val="22"/>
                <w:szCs w:val="22"/>
              </w:rPr>
              <w:t xml:space="preserve">Validation</w:t>
            </w:r>
          </w:p>
          <w:p>
            <w:r>
              <w:rPr>
                <w:rFonts w:ascii="Arial" w:cs="Arial" w:eastAsia="Arial" w:hAnsi="Arial"/>
                <w:color w:val="444444"/>
                <w:sz w:val="20"/>
                <w:szCs w:val="20"/>
              </w:rPr>
              <w:t xml:space="preserve">Les métadonnées sont enrichies selon le vocabulaire CMS : famille culturelle, marqueurs, territoire, langue.</w:t>
            </w:r>
          </w:p>
        </w:tc>
      </w:tr>
      <w:tr>
        <w:tc>
          <w:tcPr>
            <w:tcW w:type="dxa" w:w="1200"/>
            <w:tcBorders>
              <w:top w:val="single" w:color="DDDDDD" w:sz="1"/>
              <w:left w:val="single" w:color="DDDDDD" w:sz="1"/>
              <w:bottom w:val="single" w:color="DDDDDD" w:sz="1"/>
              <w:right w:val="single" w:color="DDDDDD" w:sz="1"/>
            </w:tcBorders>
            <w:shd w:fill="0B1E30"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03</w:t>
            </w:r>
          </w:p>
        </w:tc>
        <w:tc>
          <w:tcPr>
            <w:tcW w:type="dxa" w:w="7826"/>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160"/>
            </w:tcMar>
          </w:tcPr>
          <w:p>
            <w:r>
              <w:rPr>
                <w:rFonts w:ascii="Arial" w:cs="Arial" w:eastAsia="Arial" w:hAnsi="Arial"/>
                <w:b/>
                <w:bCs/>
                <w:color w:val="0B1E30"/>
                <w:sz w:val="22"/>
                <w:szCs w:val="22"/>
              </w:rPr>
              <w:t xml:space="preserve">Certification &amp; Publication</w:t>
            </w:r>
          </w:p>
          <w:p>
            <w:r>
              <w:rPr>
                <w:rFonts w:ascii="Arial" w:cs="Arial" w:eastAsia="Arial" w:hAnsi="Arial"/>
                <w:color w:val="444444"/>
                <w:sz w:val="20"/>
                <w:szCs w:val="20"/>
              </w:rPr>
              <w:t xml:space="preserve">L'œuvre reçoit un identifiant CMS unique (ex: CMS-GUA-2026-XXXXXXXX) et est enregistrée dans le corpus ouvert.</w:t>
            </w:r>
          </w:p>
        </w:tc>
      </w:tr>
    </w:tbl>
    <w:p>
      <w:pPr>
        <w:spacing w:after="60" w:before="60"/>
      </w:pPr>
      <w:r>
        <w:t xml:space="preserve"/>
      </w:r>
    </w:p>
    <w:p>
      <w:pPr>
        <w:spacing w:after="60" w:before="60"/>
      </w:pPr>
      <w:r>
        <w:t xml:space="preserve"/>
      </w:r>
    </w:p>
    <w:p>
      <w:pPr>
        <w:pStyle w:val="Heading1"/>
        <w:pBdr>
          <w:bottom w:val="single" w:color="0F9B8E" w:sz="8" w:space="4"/>
        </w:pBdr>
        <w:spacing w:after="160" w:before="400"/>
      </w:pPr>
      <w:r>
        <w:rPr>
          <w:rFonts w:ascii="Arial" w:cs="Arial" w:eastAsia="Arial" w:hAnsi="Arial"/>
          <w:b/>
          <w:bCs/>
          <w:color w:val="0B1E30"/>
          <w:sz w:val="32"/>
          <w:szCs w:val="32"/>
        </w:rPr>
        <w:t xml:space="preserve">4. Ce que le CMS apporte à votre institution</w:t>
      </w:r>
    </w:p>
    <w:p>
      <w:pPr>
        <w:spacing w:after="80" w:before="80"/>
      </w:pPr>
      <w:r>
        <w:rPr>
          <w:rFonts w:ascii="Arial" w:cs="Arial" w:eastAsia="Arial" w:hAnsi="Arial"/>
          <w:color w:val="1A1A2E"/>
          <w:sz w:val="22"/>
          <w:szCs w:val="22"/>
        </w:rPr>
        <w:t xml:space="preserve">Le partenariat institutionnel CMS offre des bénéfices concrets à toute organisation travaillant avec du contenu culturel caribéen.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E8F7F6" w:val="clear"/>
            <w:tcMar>
              <w:top w:type="dxa" w:w="160"/>
              <w:left w:type="dxa" w:w="200"/>
              <w:bottom w:type="dxa" w:w="160"/>
              <w:right w:type="dxa" w:w="200"/>
            </w:tcMar>
          </w:tcPr>
          <w:p>
            <w:pPr>
              <w:spacing w:after="120" w:before="0"/>
            </w:pPr>
            <w:r>
              <w:rPr>
                <w:rFonts w:ascii="Arial" w:cs="Arial" w:eastAsia="Arial" w:hAnsi="Arial"/>
                <w:b/>
                <w:bCs/>
                <w:color w:val="0F9B8E"/>
                <w:sz w:val="22"/>
                <w:szCs w:val="22"/>
              </w:rPr>
              <w:t xml:space="preserve">Pour les archives &amp; bibliothèques</w:t>
            </w:r>
          </w:p>
          <w:p>
            <w:pPr>
              <w:spacing w:after="40" w:before="40"/>
            </w:pPr>
            <w:r>
              <w:rPr>
                <w:rFonts w:ascii="Arial" w:cs="Arial" w:eastAsia="Arial" w:hAnsi="Arial"/>
                <w:color w:val="1A1A2E"/>
                <w:sz w:val="20"/>
                <w:szCs w:val="20"/>
              </w:rPr>
              <w:t xml:space="preserve">▸ Structuration des collections selon un standard caribéen reconnu</w:t>
            </w:r>
          </w:p>
          <w:p>
            <w:pPr>
              <w:spacing w:after="40" w:before="40"/>
            </w:pPr>
            <w:r>
              <w:rPr>
                <w:rFonts w:ascii="Arial" w:cs="Arial" w:eastAsia="Arial" w:hAnsi="Arial"/>
                <w:color w:val="1A1A2E"/>
                <w:sz w:val="20"/>
                <w:szCs w:val="20"/>
              </w:rPr>
              <w:t xml:space="preserve">▸ Interopérabilité avec les systèmes internationaux (Dublin Core, EBUCore)</w:t>
            </w:r>
          </w:p>
          <w:p>
            <w:pPr>
              <w:spacing w:after="40" w:before="40"/>
            </w:pPr>
            <w:r>
              <w:rPr>
                <w:rFonts w:ascii="Arial" w:cs="Arial" w:eastAsia="Arial" w:hAnsi="Arial"/>
                <w:color w:val="1A1A2E"/>
                <w:sz w:val="20"/>
                <w:szCs w:val="20"/>
              </w:rPr>
              <w:t xml:space="preserve">▸ Visibilité algorithmique des fonds patrimoniaux</w:t>
            </w:r>
          </w:p>
        </w:tc>
        <w:tc>
          <w:tcPr>
            <w:tcW w:type="dxa" w:w="4513"/>
            <w:tcBorders>
              <w:top w:val="single" w:color="DDDDDD" w:sz="1"/>
              <w:left w:val="single" w:color="DDDDDD" w:sz="1"/>
              <w:bottom w:val="single" w:color="DDDDDD" w:sz="1"/>
              <w:right w:val="single" w:color="DDDDDD" w:sz="1"/>
            </w:tcBorders>
            <w:shd w:fill="FDF6E3" w:val="clear"/>
            <w:tcMar>
              <w:top w:type="dxa" w:w="160"/>
              <w:left w:type="dxa" w:w="200"/>
              <w:bottom w:type="dxa" w:w="160"/>
              <w:right w:type="dxa" w:w="200"/>
            </w:tcMar>
          </w:tcPr>
          <w:p>
            <w:pPr>
              <w:spacing w:after="120" w:before="0"/>
            </w:pPr>
            <w:r>
              <w:rPr>
                <w:rFonts w:ascii="Arial" w:cs="Arial" w:eastAsia="Arial" w:hAnsi="Arial"/>
                <w:b/>
                <w:bCs/>
                <w:color w:val="C8962A"/>
                <w:sz w:val="22"/>
                <w:szCs w:val="22"/>
              </w:rPr>
              <w:t xml:space="preserve">Pour les producteurs &amp; diffuseurs</w:t>
            </w:r>
          </w:p>
          <w:p>
            <w:pPr>
              <w:spacing w:after="40" w:before="40"/>
            </w:pPr>
            <w:r>
              <w:rPr>
                <w:rFonts w:ascii="Arial" w:cs="Arial" w:eastAsia="Arial" w:hAnsi="Arial"/>
                <w:color w:val="1A1A2E"/>
                <w:sz w:val="20"/>
                <w:szCs w:val="20"/>
              </w:rPr>
              <w:t xml:space="preserve">▸ Certification officielle des œuvres pour les plateformes</w:t>
            </w:r>
          </w:p>
          <w:p>
            <w:pPr>
              <w:spacing w:after="40" w:before="40"/>
            </w:pPr>
            <w:r>
              <w:rPr>
                <w:rFonts w:ascii="Arial" w:cs="Arial" w:eastAsia="Arial" w:hAnsi="Arial"/>
                <w:color w:val="1A1A2E"/>
                <w:sz w:val="20"/>
                <w:szCs w:val="20"/>
              </w:rPr>
              <w:t xml:space="preserve">▸ Accès au corpus ouvert de 110 œuvres de référence</w:t>
            </w:r>
          </w:p>
          <w:p>
            <w:pPr>
              <w:spacing w:after="40" w:before="40"/>
            </w:pPr>
            <w:r>
              <w:rPr>
                <w:rFonts w:ascii="Arial" w:cs="Arial" w:eastAsia="Arial" w:hAnsi="Arial"/>
                <w:color w:val="1A1A2E"/>
                <w:sz w:val="20"/>
                <w:szCs w:val="20"/>
              </w:rPr>
              <w:t xml:space="preserve">▸ Indicateur IVA (Indice de Visibilité Algorithmique)</w:t>
            </w:r>
          </w:p>
        </w:tc>
      </w:tr>
    </w:tbl>
    <w:p>
      <w:pPr>
        <w:spacing w:after="60" w:before="60"/>
      </w:pPr>
      <w:r>
        <w:t xml:space="preserve"/>
      </w:r>
    </w:p>
    <w:p>
      <w:pPr>
        <w:spacing w:after="60" w:before="60"/>
      </w:pPr>
      <w:r>
        <w:t xml:space="preserve"/>
      </w:r>
    </w:p>
    <w:p>
      <w:pPr>
        <w:pStyle w:val="Heading1"/>
        <w:pBdr>
          <w:bottom w:val="single" w:color="0F9B8E" w:sz="8" w:space="4"/>
        </w:pBdr>
        <w:spacing w:after="160" w:before="400"/>
      </w:pPr>
      <w:r>
        <w:rPr>
          <w:rFonts w:ascii="Arial" w:cs="Arial" w:eastAsia="Arial" w:hAnsi="Arial"/>
          <w:b/>
          <w:bCs/>
          <w:color w:val="0B1E30"/>
          <w:sz w:val="32"/>
          <w:szCs w:val="32"/>
        </w:rPr>
        <w:t xml:space="preserve">5. Le corpus ouvert CMS</w:t>
      </w:r>
    </w:p>
    <w:p>
      <w:pPr>
        <w:spacing w:after="80" w:before="80"/>
      </w:pPr>
      <w:r>
        <w:rPr>
          <w:rFonts w:ascii="Arial" w:cs="Arial" w:eastAsia="Arial" w:hAnsi="Arial"/>
          <w:color w:val="1A1A2E"/>
          <w:sz w:val="22"/>
          <w:szCs w:val="22"/>
        </w:rPr>
        <w:t xml:space="preserve">Le corpus CMS v2.0 comprend 110 œuvres de référence couvrant l'ensemble de l'espace caribéen. Il est disponible en open source sous licence CC-BY 4.0.</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80" w:before="0"/>
            </w:pPr>
            <w:r>
              <w:rPr>
                <w:rFonts w:ascii="Arial" w:cs="Arial" w:eastAsia="Arial" w:hAnsi="Arial"/>
                <w:b/>
                <w:bCs/>
                <w:color w:val="0B1E30"/>
                <w:sz w:val="22"/>
                <w:szCs w:val="22"/>
              </w:rPr>
              <w:t xml:space="preserve">Domaines couverts</w:t>
            </w:r>
          </w:p>
          <w:p>
            <w:r>
              <w:rPr>
                <w:rFonts w:ascii="Arial" w:cs="Arial" w:eastAsia="Arial" w:hAnsi="Arial"/>
                <w:color w:val="444444"/>
                <w:sz w:val="20"/>
                <w:szCs w:val="20"/>
              </w:rPr>
              <w:t xml:space="preserve">Audiovisuel · Musique
Littérature · Patrimoine
Arts visuels · Oral</w:t>
            </w:r>
          </w:p>
        </w:tc>
        <w:tc>
          <w:tcPr>
            <w:tcW w:type="dxa" w:w="3009"/>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80" w:before="0"/>
            </w:pPr>
            <w:r>
              <w:rPr>
                <w:rFonts w:ascii="Arial" w:cs="Arial" w:eastAsia="Arial" w:hAnsi="Arial"/>
                <w:b/>
                <w:bCs/>
                <w:color w:val="0B1E30"/>
                <w:sz w:val="22"/>
                <w:szCs w:val="22"/>
              </w:rPr>
              <w:t xml:space="preserve">Territoires représentés</w:t>
            </w:r>
          </w:p>
          <w:p>
            <w:r>
              <w:rPr>
                <w:rFonts w:ascii="Arial" w:cs="Arial" w:eastAsia="Arial" w:hAnsi="Arial"/>
                <w:color w:val="444444"/>
                <w:sz w:val="20"/>
                <w:szCs w:val="20"/>
              </w:rPr>
              <w:t xml:space="preserve">Guadeloupe · Martinique · Haïti · Trinidad · Jamaica · Suriname · Curaçao et 10 autres</w:t>
            </w:r>
          </w:p>
        </w:tc>
        <w:tc>
          <w:tcPr>
            <w:tcW w:type="dxa" w:w="3009"/>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80" w:before="0"/>
            </w:pPr>
            <w:r>
              <w:rPr>
                <w:rFonts w:ascii="Arial" w:cs="Arial" w:eastAsia="Arial" w:hAnsi="Arial"/>
                <w:b/>
                <w:bCs/>
                <w:color w:val="0B1E30"/>
                <w:sz w:val="22"/>
                <w:szCs w:val="22"/>
              </w:rPr>
              <w:t xml:space="preserve">Langues indexées</w:t>
            </w:r>
          </w:p>
          <w:p>
            <w:r>
              <w:rPr>
                <w:rFonts w:ascii="Arial" w:cs="Arial" w:eastAsia="Arial" w:hAnsi="Arial"/>
                <w:color w:val="444444"/>
                <w:sz w:val="20"/>
                <w:szCs w:val="20"/>
              </w:rPr>
              <w:t xml:space="preserve">FR · EN · ES · NL · HT · Créole guadeloupéen · Papiamento · Sranan · Kwéyòl · Garifuna</w:t>
            </w:r>
          </w:p>
        </w:tc>
      </w:tr>
    </w:tbl>
    <w:p>
      <w:pPr>
        <w:spacing w:after="60" w:before="60"/>
      </w:pPr>
      <w:r>
        <w:t xml:space="preserve"/>
      </w:r>
    </w:p>
    <w:p>
      <w:pPr>
        <w:spacing w:after="60" w:before="60"/>
      </w:pPr>
      <w:r>
        <w:rPr>
          <w:rFonts w:ascii="Arial" w:cs="Arial" w:eastAsia="Arial" w:hAnsi="Arial"/>
          <w:i/>
          <w:iCs/>
          <w:color w:val="555555"/>
          <w:sz w:val="22"/>
          <w:szCs w:val="22"/>
        </w:rPr>
        <w:t xml:space="preserve">Accès au corpus : github.com/heso73/cms-nlp-corpus</w:t>
      </w:r>
    </w:p>
    <w:p>
      <w:pPr>
        <w:spacing w:after="60" w:before="60"/>
      </w:pPr>
      <w:r>
        <w:t xml:space="preserve"/>
      </w:r>
    </w:p>
    <w:p>
      <w:pPr>
        <w:spacing w:after="60" w:before="60"/>
      </w:pPr>
      <w:r>
        <w:t xml:space="preserve"/>
      </w:r>
    </w:p>
    <w:p>
      <w:pPr>
        <w:pStyle w:val="Heading1"/>
        <w:pBdr>
          <w:bottom w:val="single" w:color="0F9B8E" w:sz="8" w:space="4"/>
        </w:pBdr>
        <w:spacing w:after="160" w:before="400"/>
      </w:pPr>
      <w:r>
        <w:rPr>
          <w:rFonts w:ascii="Arial" w:cs="Arial" w:eastAsia="Arial" w:hAnsi="Arial"/>
          <w:b/>
          <w:bCs/>
          <w:color w:val="0B1E30"/>
          <w:sz w:val="32"/>
          <w:szCs w:val="32"/>
        </w:rPr>
        <w:t xml:space="preserve">6. Modalités de collaboration</w:t>
      </w:r>
    </w:p>
    <w:p>
      <w:pPr>
        <w:spacing w:after="80" w:before="80"/>
      </w:pPr>
      <w:r>
        <w:rPr>
          <w:rFonts w:ascii="Arial" w:cs="Arial" w:eastAsia="Arial" w:hAnsi="Arial"/>
          <w:color w:val="1A1A2E"/>
          <w:sz w:val="22"/>
          <w:szCs w:val="22"/>
        </w:rPr>
        <w:t xml:space="preserve">Le CMS propose trois niveaux d'engagement institutionnel, adaptés à la taille et aux objectifs de votre organisation.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7F6" w:val="clear"/>
            <w:tcMar>
              <w:top w:type="dxa" w:w="120"/>
              <w:left w:type="dxa" w:w="200"/>
              <w:bottom w:type="dxa" w:w="120"/>
              <w:right w:type="dxa" w:w="200"/>
            </w:tcMar>
          </w:tcPr>
          <w:p>
            <w:r>
              <w:rPr>
                <w:rFonts w:ascii="Arial" w:cs="Arial" w:eastAsia="Arial" w:hAnsi="Arial"/>
                <w:b/>
                <w:bCs/>
                <w:color w:val="0F9B8E"/>
                <w:sz w:val="22"/>
                <w:szCs w:val="22"/>
              </w:rPr>
              <w:t xml:space="preserve">Niveau 1 — Partenaire observateur</w:t>
            </w:r>
          </w:p>
          <w:p>
            <w:r>
              <w:rPr>
                <w:rFonts w:ascii="Arial" w:cs="Arial" w:eastAsia="Arial" w:hAnsi="Arial"/>
                <w:color w:val="1A1A2E"/>
                <w:sz w:val="20"/>
                <w:szCs w:val="20"/>
              </w:rPr>
              <w:t xml:space="preserve">Accès au corpus ouvert · Suivi de la roadmap · Mention institutionnelle sur le site</w:t>
            </w:r>
          </w:p>
        </w:tc>
      </w:tr>
      <w:tr>
        <w:tc>
          <w:tcPr>
            <w:tcW w:type="dxa" w:w="9026"/>
            <w:tcBorders>
              <w:top w:val="single" w:color="DDDDDD" w:sz="1"/>
              <w:left w:val="single" w:color="DDDDDD" w:sz="1"/>
              <w:bottom w:val="single" w:color="DDDDDD" w:sz="1"/>
              <w:right w:val="single" w:color="DDDDDD" w:sz="1"/>
            </w:tcBorders>
            <w:shd w:fill="FDF6E3" w:val="clear"/>
            <w:tcMar>
              <w:top w:type="dxa" w:w="120"/>
              <w:left w:type="dxa" w:w="200"/>
              <w:bottom w:type="dxa" w:w="120"/>
              <w:right w:type="dxa" w:w="200"/>
            </w:tcMar>
          </w:tcPr>
          <w:p>
            <w:r>
              <w:rPr>
                <w:rFonts w:ascii="Arial" w:cs="Arial" w:eastAsia="Arial" w:hAnsi="Arial"/>
                <w:b/>
                <w:bCs/>
                <w:color w:val="C8962A"/>
                <w:sz w:val="22"/>
                <w:szCs w:val="22"/>
              </w:rPr>
              <w:t xml:space="preserve">Niveau 2 — Partenaire contributeur</w:t>
            </w:r>
          </w:p>
          <w:p>
            <w:r>
              <w:rPr>
                <w:rFonts w:ascii="Arial" w:cs="Arial" w:eastAsia="Arial" w:hAnsi="Arial"/>
                <w:color w:val="1A1A2E"/>
                <w:sz w:val="20"/>
                <w:szCs w:val="20"/>
              </w:rPr>
              <w:t xml:space="preserve">Certification d'œuvres de votre collection · Intégration au corpus officiel · Co-développement du vocabulaire</w:t>
            </w:r>
          </w:p>
        </w:tc>
      </w:tr>
      <w:tr>
        <w:tc>
          <w:tcPr>
            <w:tcW w:type="dxa" w:w="9026"/>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r>
              <w:rPr>
                <w:rFonts w:ascii="Arial" w:cs="Arial" w:eastAsia="Arial" w:hAnsi="Arial"/>
                <w:b/>
                <w:bCs/>
                <w:color w:val="0B1E30"/>
                <w:sz w:val="22"/>
                <w:szCs w:val="22"/>
              </w:rPr>
              <w:t xml:space="preserve">Niveau 3 — Partenaire stratégique</w:t>
            </w:r>
          </w:p>
          <w:p>
            <w:r>
              <w:rPr>
                <w:rFonts w:ascii="Arial" w:cs="Arial" w:eastAsia="Arial" w:hAnsi="Arial"/>
                <w:color w:val="1A1A2E"/>
                <w:sz w:val="20"/>
                <w:szCs w:val="20"/>
              </w:rPr>
              <w:t xml:space="preserve">Participation au Comité Technique CMS · Développement sur mesure · Intégration API directe</w:t>
            </w:r>
          </w:p>
        </w:tc>
      </w:tr>
    </w:tbl>
    <w:p>
      <w:pPr>
        <w:spacing w:after="60" w:before="60"/>
      </w:pPr>
      <w:r>
        <w:t xml:space="preserve"/>
      </w:r>
    </w:p>
    <w:p>
      <w:pPr>
        <w:spacing w:after="60" w:before="60"/>
      </w:pPr>
      <w:r>
        <w:t xml:space="preserve"/>
      </w:r>
    </w:p>
    <w:p>
      <w:pPr>
        <w:pStyle w:val="Heading1"/>
        <w:pBdr>
          <w:bottom w:val="single" w:color="0F9B8E" w:sz="8" w:space="4"/>
        </w:pBdr>
        <w:spacing w:after="160" w:before="400"/>
      </w:pPr>
      <w:r>
        <w:rPr>
          <w:rFonts w:ascii="Arial" w:cs="Arial" w:eastAsia="Arial" w:hAnsi="Arial"/>
          <w:b/>
          <w:bCs/>
          <w:color w:val="0B1E30"/>
          <w:sz w:val="32"/>
          <w:szCs w:val="32"/>
        </w:rPr>
        <w:t xml:space="preserve">7. Contact &amp; prochaines étapes</w:t>
      </w:r>
    </w:p>
    <w:p>
      <w:pPr>
        <w:spacing w:after="80" w:before="80"/>
      </w:pPr>
      <w:r>
        <w:rPr>
          <w:rFonts w:ascii="Arial" w:cs="Arial" w:eastAsia="Arial" w:hAnsi="Arial"/>
          <w:color w:val="1A1A2E"/>
          <w:sz w:val="22"/>
          <w:szCs w:val="22"/>
        </w:rPr>
        <w:t xml:space="preserve">Pour démarrer une collaboration ou obtenir plus d'informations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9B8E" w:sz="8"/>
              <w:left w:val="single" w:color="DDDDDD" w:sz="1"/>
              <w:bottom w:val="single" w:color="DDDDDD" w:sz="1"/>
              <w:right w:val="single" w:color="DDDDDD" w:sz="1"/>
            </w:tcBorders>
            <w:shd w:fill="E8F7F6" w:val="clear"/>
            <w:tcMar>
              <w:top w:type="dxa" w:w="200"/>
              <w:left w:type="dxa" w:w="280"/>
              <w:bottom w:type="dxa" w:w="200"/>
              <w:right w:type="dxa" w:w="280"/>
            </w:tcMar>
          </w:tcPr>
          <w:p>
            <w:pPr>
              <w:spacing w:after="80" w:before="0"/>
            </w:pPr>
            <w:r>
              <w:rPr>
                <w:rFonts w:ascii="Arial" w:cs="Arial" w:eastAsia="Arial" w:hAnsi="Arial"/>
                <w:b/>
                <w:bCs/>
                <w:color w:val="0B1E30"/>
                <w:sz w:val="24"/>
                <w:szCs w:val="24"/>
              </w:rPr>
              <w:t xml:space="preserve">Caribwood Language Lab</w:t>
            </w:r>
          </w:p>
          <w:p>
            <w:pPr>
              <w:spacing w:after="40" w:before="40"/>
            </w:pPr>
            <w:r>
              <w:rPr>
                <w:rFonts w:ascii="Arial" w:cs="Arial" w:eastAsia="Arial" w:hAnsi="Arial"/>
                <w:color w:val="0F9B8E"/>
                <w:sz w:val="22"/>
                <w:szCs w:val="22"/>
              </w:rPr>
              <w:t xml:space="preserve">contact@caribbeanmetadata.org</w:t>
            </w:r>
          </w:p>
          <w:p>
            <w:pPr>
              <w:spacing w:after="40" w:before="40"/>
            </w:pPr>
            <w:r>
              <w:rPr>
                <w:rFonts w:ascii="Arial" w:cs="Arial" w:eastAsia="Arial" w:hAnsi="Arial"/>
                <w:color w:val="0F9B8E"/>
                <w:sz w:val="22"/>
                <w:szCs w:val="22"/>
              </w:rPr>
              <w:t xml:space="preserve">caribbeanmetadata.org</w:t>
            </w:r>
          </w:p>
          <w:p>
            <w:pPr>
              <w:spacing w:after="40" w:before="40"/>
            </w:pPr>
            <w:r>
              <w:rPr>
                <w:rFonts w:ascii="Arial" w:cs="Arial" w:eastAsia="Arial" w:hAnsi="Arial"/>
                <w:color w:val="555555"/>
                <w:sz w:val="20"/>
                <w:szCs w:val="20"/>
              </w:rPr>
              <w:t xml:space="preserve">Les Abymes, Guadeloupe — Antilles françaises</w:t>
            </w:r>
          </w:p>
          <w:p>
            <w:pPr>
              <w:spacing w:after="0" w:before="80"/>
            </w:pPr>
            <w:r>
              <w:rPr>
                <w:rFonts w:ascii="Arial" w:cs="Arial" w:eastAsia="Arial" w:hAnsi="Arial"/>
                <w:i/>
                <w:iCs/>
                <w:color w:val="888888"/>
                <w:sz w:val="18"/>
                <w:szCs w:val="18"/>
              </w:rPr>
              <w:t xml:space="preserve">Standard ouvert · CC-BY 4.0 · github.com/heso73/cms-nlp-corpus</w:t>
            </w:r>
          </w:p>
        </w:tc>
      </w:tr>
    </w:tbl>
    <w:p>
      <w:pPr>
        <w:spacing w:after="60" w:before="60"/>
      </w:pPr>
      <w:r>
        <w:t xml:space="preserve"/>
      </w:r>
    </w:p>
    <w:p>
      <w:pPr>
        <w:spacing w:after="60" w:before="60"/>
      </w:pPr>
      <w:r>
        <w:t xml:space="preserve"/>
      </w:r>
    </w:p>
    <w:p>
      <w:pPr>
        <w:pBdr>
          <w:top w:val="single" w:color="DDDDDD" w:sz="4" w:space="4"/>
        </w:pBdr>
        <w:spacing w:after="0" w:before="160"/>
        <w:jc w:val="center"/>
      </w:pPr>
      <w:r>
        <w:rPr>
          <w:rFonts w:ascii="Arial" w:cs="Arial" w:eastAsia="Arial" w:hAnsi="Arial"/>
          <w:color w:val="AAAAAA"/>
          <w:sz w:val="16"/>
          <w:szCs w:val="16"/>
        </w:rPr>
        <w:t xml:space="preserve">Caribbean Metadata Standard v2.0 · Caribwood Language Lab · Juin 2026 · CC-BY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B1E3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9B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2026-06-15T17:02:31.769Z</dcterms:created>
  <dcterms:modified xsi:type="dcterms:W3CDTF">2026-06-15T17:02:31.770Z</dcterms:modified>
</cp:coreProperties>
</file>

<file path=docProps/custom.xml><?xml version="1.0" encoding="utf-8"?>
<Properties xmlns="http://schemas.openxmlformats.org/officeDocument/2006/custom-properties" xmlns:vt="http://schemas.openxmlformats.org/officeDocument/2006/docPropsVTypes"/>
</file>