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3E6B" w:val="clear"/>
        <w:spacing w:after="0" w:before="0"/>
        <w:ind w:left="200"/>
      </w:pPr>
      <w:r>
        <w:rPr>
          <w:rFonts w:ascii="Arial" w:cs="Arial" w:eastAsia="Arial" w:hAnsi="Arial"/>
          <w:b/>
          <w:bCs/>
          <w:color w:val="FFFFFF"/>
          <w:spacing w:val="120"/>
          <w:sz w:val="20"/>
          <w:szCs w:val="20"/>
        </w:rPr>
        <w:t xml:space="preserve">CARIBBEAN METADATA STANDARD</w:t>
      </w:r>
    </w:p>
    <w:p>
      <w:pPr>
        <w:shd w:fill="003E6B" w:val="clear"/>
        <w:spacing w:after="0" w:before="0"/>
        <w:ind w:left="200"/>
      </w:pPr>
      <w:r>
        <w:rPr>
          <w:rFonts w:ascii="Arial" w:cs="Arial" w:eastAsia="Arial" w:hAnsi="Arial"/>
          <w:i/>
          <w:iCs/>
          <w:color w:val="A8CCDD"/>
          <w:sz w:val="18"/>
          <w:szCs w:val="18"/>
        </w:rPr>
        <w:t xml:space="preserve">Institutional Fact Sheet — June 2026</w:t>
      </w:r>
    </w:p>
    <w:p>
      <w:pPr>
        <w:shd w:fill="003E6B" w:val="clear"/>
        <w:spacing w:after="200" w:before="0"/>
        <w:ind w:left="200"/>
      </w:pPr>
      <w:r>
        <w:rPr>
          <w:rFonts w:ascii="Arial" w:cs="Arial" w:eastAsia="Arial" w:hAnsi="Arial"/>
          <w:color w:val="00C2C7"/>
          <w:sz w:val="16"/>
          <w:szCs w:val="16"/>
        </w:rPr>
        <w:t xml:space="preserve">caribbeanmetadata.org  ·  contact@caribbeanmetadata.org</w:t>
      </w:r>
    </w:p>
    <w:p>
      <w:pPr>
        <w:spacing w:after="0" w:before="24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3E6B"/>
          <w:sz w:val="44"/>
          <w:szCs w:val="44"/>
        </w:rPr>
        <w:t xml:space="preserve">Structuring the digital visibility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00C2C7"/>
          <w:sz w:val="44"/>
          <w:szCs w:val="44"/>
        </w:rPr>
        <w:t xml:space="preserve">of Caribbean content.</w:t>
      </w:r>
    </w:p>
    <w:p>
      <w:pPr>
        <w:pBdr>
          <w:bottom w:val="single" w:color="00C2C7" w:sz="6" w:space="1"/>
        </w:pBdr>
        <w:spacing w:after="120" w:before="0"/>
      </w:pPr>
      <w:r>
        <w:t xml:space="preserve"/>
      </w:r>
    </w:p>
    <w:p>
      <w:pPr>
        <w:spacing w:after="240" w:before="0"/>
      </w:pPr>
      <w:r>
        <w:rPr>
          <w:rFonts w:ascii="Arial" w:cs="Arial" w:eastAsia="Arial" w:hAnsi="Arial"/>
          <w:color w:val="1A3A50"/>
          <w:sz w:val="23"/>
          <w:szCs w:val="23"/>
        </w:rPr>
        <w:t xml:space="preserve">The Caribbean Metadata Standard (CMS) is the first open framework to describe, certify and index Caribbean works on global platforms — at no commercial cost, serving the general interest of the region.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0C2C7"/>
          <w:spacing w:val="80"/>
          <w:sz w:val="18"/>
          <w:szCs w:val="18"/>
        </w:rPr>
        <w:t xml:space="preserve">01 —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  <w:tr>
        <w:tc>
          <w:tcPr>
            <w:tcW w:type="dxa" w:w="30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A — Misclassification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Platforms lack categories for Caribbean genres, dialects and cultural nuances.</w:t>
            </w:r>
          </w:p>
        </w:tc>
        <w:tc>
          <w:tcPr>
            <w:tcW w:type="dxa" w:w="30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B — Algorithmic Blindness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Recommendation engines cannot promote what they cannot interpret.</w:t>
            </w:r>
          </w:p>
        </w:tc>
        <w:tc>
          <w:tcPr>
            <w:tcW w:type="dxa" w:w="30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C — Cultural Dilution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Without proper metadata, Caribbean identity is flattened into generic categories.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0C2C7"/>
          <w:spacing w:val="80"/>
          <w:sz w:val="18"/>
          <w:szCs w:val="18"/>
        </w:rPr>
        <w:t xml:space="preserve">02 — WHAT THE CMS DOES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CMS defines 6 metadata families specifically designed for Caribbean works: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3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Family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3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CMS Fields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3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01 — Linguistic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cms:linguistic_marker, code_switching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Haitian Creole, FR/Kreyol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02 — Cultural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cms:cultural_markers[ ]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Carnival, Vodou, Diaspora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03 — Narrative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cms:narrative_genre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Magical realism, Social drama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04 — Rhythmic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cms:rhythmic_tempo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Syncopated, Island tempo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05 — Geographic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cms:territory, cms:environment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Haiti, Guadeloupe, Coastal</w:t>
            </w:r>
          </w:p>
        </w:tc>
      </w:tr>
      <w:tr>
        <w:tc>
          <w:tcPr>
            <w:tcW w:type="dxa" w:w="18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9"/>
                <w:szCs w:val="19"/>
              </w:rPr>
              <w:t xml:space="preserve">06 — Socio-historical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cms:sociohistorical_markers[ ]</w:t>
            </w:r>
          </w:p>
        </w:tc>
        <w:tc>
          <w:tcPr>
            <w:tcW w:type="dxa" w:w="37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Postcolonial identity, Creolization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0C2C7"/>
          <w:spacing w:val="80"/>
          <w:sz w:val="18"/>
          <w:szCs w:val="18"/>
        </w:rPr>
        <w:t xml:space="preserve">03 — OPEN DATA CORPUS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C7"/>
                <w:sz w:val="52"/>
                <w:szCs w:val="52"/>
              </w:rPr>
              <w:t xml:space="preserve">110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Records</w:t>
            </w:r>
          </w:p>
        </w:tc>
        <w:tc>
          <w:tcPr>
            <w:tcW w:type="dxa" w:w="234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C7"/>
                <w:sz w:val="52"/>
                <w:szCs w:val="5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Languages</w:t>
            </w:r>
          </w:p>
        </w:tc>
        <w:tc>
          <w:tcPr>
            <w:tcW w:type="dxa" w:w="234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C7"/>
                <w:sz w:val="52"/>
                <w:szCs w:val="52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Cultural Markers</w:t>
            </w:r>
          </w:p>
        </w:tc>
        <w:tc>
          <w:tcPr>
            <w:tcW w:type="dxa" w:w="234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C7"/>
                <w:sz w:val="52"/>
                <w:szCs w:val="52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Territories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Open source · CC-BY 4.0 licence · github.com/heso73/cms-nlp-corpus</w:t>
      </w:r>
    </w:p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0C2C7"/>
          <w:spacing w:val="80"/>
          <w:sz w:val="18"/>
          <w:szCs w:val="18"/>
        </w:rPr>
        <w:t xml:space="preserve">04 — A PUBLIC INTEREST INITIATIVE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03E6B"/>
          <w:sz w:val="22"/>
          <w:szCs w:val="22"/>
        </w:rPr>
        <w:t xml:space="preserve">Adopting the CMS is free and carries no commercial obligation.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open standard (CC-BY 4.0) — free to use, adapt and redistribute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licence fee, no royalty, no paid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Regional independent governance: automatic transfer to a Caribbean committee upon 5 adopting institutions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Aligned with international standards: Dublin Core, schema.org, EBUCore, IFLA, CROSQ</w:t>
      </w:r>
    </w:p>
    <w:p>
      <w:pPr>
        <w:spacing w:after="0" w:before="80"/>
      </w:pPr>
      <w:r>
        <w:t xml:space="preserve"/>
      </w:r>
    </w:p>
    <w:p>
      <w:pPr>
        <w:pBdr>
          <w:left w:val="single" w:color="00C2C7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003E6B"/>
          <w:sz w:val="22"/>
          <w:szCs w:val="22"/>
        </w:rPr>
        <w:t xml:space="preserve">"The CMS is more than a technical tool. It is a declaration of cultural sovereignty."</w:t>
      </w:r>
    </w:p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00C2C7"/>
          <w:spacing w:val="80"/>
          <w:sz w:val="18"/>
          <w:szCs w:val="18"/>
        </w:rPr>
        <w:t xml:space="preserve">05 — HOW TO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C2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Level 1 — Basic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Accept CMS tags as keywords in existing fields — a few hours of work.</w:t>
            </w:r>
          </w:p>
        </w:tc>
      </w:tr>
      <w:tr>
        <w:tc>
          <w:tcPr>
            <w:tcW w:type="dxa" w:w="6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C2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Level 2 — Structured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0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 the 6 CMS families to dedicated fields — a few days.</w:t>
            </w:r>
          </w:p>
        </w:tc>
      </w:tr>
      <w:tr>
        <w:tc>
          <w:tcPr>
            <w:tcW w:type="dxa" w:w="60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00C2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20"/>
                <w:szCs w:val="20"/>
              </w:rPr>
              <w:t xml:space="preserve">Level 3 — Native</w:t>
            </w:r>
          </w:p>
        </w:tc>
        <w:tc>
          <w:tcPr>
            <w:tcW w:type="dxa" w:w="4380"/>
            <w:tcBorders>
              <w:top w:val="single" w:color="D0E4ED" w:sz="1"/>
              <w:left w:val="single" w:color="D0E4ED" w:sz="1"/>
              <w:bottom w:val="single" w:color="D0E4ED" w:sz="1"/>
              <w:right w:val="single" w:color="D0E4E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 all six families as first-class metadata fields — a few weeks.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0C2C7" w:sz="6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22"/>
                <w:szCs w:val="22"/>
              </w:rPr>
              <w:t xml:space="preserve">Caribbean Metadata Standard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Caribwood Language Lab · Guadeloupe, Caribbean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00C2C7"/>
                <w:sz w:val="20"/>
                <w:szCs w:val="20"/>
              </w:rPr>
              <w:t xml:space="preserve">contact@caribbeanmetadata.org</w:t>
            </w:r>
          </w:p>
          <w:p>
            <w:r>
              <w:rPr>
                <w:rFonts w:ascii="Arial" w:cs="Arial" w:eastAsia="Arial" w:hAnsi="Arial"/>
                <w:color w:val="00C2C7"/>
                <w:sz w:val="20"/>
                <w:szCs w:val="20"/>
              </w:rPr>
              <w:t xml:space="preserve">caribbeanmetadata.org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International recognition in progress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IFLA METATEC · CROSQ CARICOM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AFNOR / ISO TC 46 · UNESCO ICH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W3C · Dublin Core · WIPO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2026-06-06T21:12:15.302Z</dcterms:created>
  <dcterms:modified xsi:type="dcterms:W3CDTF">2026-06-06T21:12:15.302Z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