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3E6B" w:val="clear"/>
        <w:spacing w:after="0" w:before="0"/>
        <w:ind w:left="200"/>
      </w:pPr>
      <w:r>
        <w:rPr>
          <w:rFonts w:ascii="Arial" w:cs="Arial" w:eastAsia="Arial" w:hAnsi="Arial"/>
          <w:b/>
          <w:bCs/>
          <w:color w:val="FFFFFF"/>
          <w:spacing w:val="120"/>
          <w:sz w:val="20"/>
          <w:szCs w:val="20"/>
        </w:rPr>
        <w:t xml:space="preserve">CARIBBEAN METADATA STANDARD</w:t>
      </w:r>
    </w:p>
    <w:p>
      <w:pPr>
        <w:shd w:fill="003E6B" w:val="clear"/>
        <w:spacing w:after="0" w:before="0"/>
        <w:ind w:left="200"/>
      </w:pPr>
      <w:r>
        <w:rPr>
          <w:rFonts w:ascii="Arial" w:cs="Arial" w:eastAsia="Arial" w:hAnsi="Arial"/>
          <w:b/>
          <w:bCs/>
          <w:color w:val="00C2C7"/>
          <w:sz w:val="22"/>
          <w:szCs w:val="22"/>
        </w:rPr>
        <w:t xml:space="preserve">Convention d'adhésion partenaire</w:t>
      </w:r>
    </w:p>
    <w:p>
      <w:pPr>
        <w:shd w:fill="003E6B" w:val="clear"/>
        <w:spacing w:after="200" w:before="0"/>
        <w:ind w:left="200"/>
      </w:pPr>
      <w:r>
        <w:rPr>
          <w:rFonts w:ascii="Arial" w:cs="Arial" w:eastAsia="Arial" w:hAnsi="Arial"/>
          <w:color w:val="A8CCDD"/>
          <w:sz w:val="16"/>
          <w:szCs w:val="16"/>
        </w:rPr>
        <w:t xml:space="preserve">caribbeanmetadata.org  ·  contact@caribbeanmetadata.org</w:t>
      </w:r>
    </w:p>
    <w:p>
      <w:pPr>
        <w:spacing w:after="0" w:before="200"/>
      </w:pPr>
      <w:r>
        <w:t xml:space="preserve"/>
      </w:r>
    </w:p>
    <w:p>
      <w:pPr>
        <w:spacing w:after="40" w:before="0"/>
      </w:pPr>
      <w:r>
        <w:rPr>
          <w:rFonts w:ascii="Arial" w:cs="Arial" w:eastAsia="Arial" w:hAnsi="Arial"/>
          <w:b/>
          <w:bCs/>
          <w:color w:val="003E6B"/>
          <w:sz w:val="36"/>
          <w:szCs w:val="36"/>
        </w:rPr>
        <w:t xml:space="preserve">Convention d'adhésion au</w:t>
      </w:r>
    </w:p>
    <w:p>
      <w:pPr>
        <w:spacing w:after="160" w:before="0"/>
      </w:pPr>
      <w:r>
        <w:rPr>
          <w:rFonts w:ascii="Arial" w:cs="Arial" w:eastAsia="Arial" w:hAnsi="Arial"/>
          <w:b/>
          <w:bCs/>
          <w:color w:val="00C2C7"/>
          <w:sz w:val="36"/>
          <w:szCs w:val="36"/>
        </w:rPr>
        <w:t xml:space="preserve">Caribbean Metadata Standard</w:t>
      </w:r>
    </w:p>
    <w:p>
      <w:pPr>
        <w:pBdr>
          <w:bottom w:val="single" w:color="00C2C7" w:sz="4" w:space="1"/>
        </w:pBdr>
        <w:spacing w:after="160" w:before="0"/>
      </w:pPr>
      <w:r>
        <w:t xml:space="preserve"/>
      </w:r>
    </w:p>
    <w:p>
      <w:pPr>
        <w:spacing w:after="100" w:before="0"/>
      </w:pPr>
      <w:r>
        <w:rPr>
          <w:rFonts w:ascii="Arial" w:cs="Arial" w:eastAsia="Arial" w:hAnsi="Arial"/>
          <w:b/>
          <w:bCs/>
          <w:color w:val="00C2C7"/>
          <w:spacing w:val="80"/>
          <w:sz w:val="18"/>
          <w:szCs w:val="18"/>
        </w:rPr>
        <w:t xml:space="preserve">PRÉAMBULE</w:t>
      </w:r>
    </w:p>
    <w:p>
      <w:pPr>
        <w:spacing w:after="60" w:before="60"/>
        <w:jc w:val="both"/>
      </w:pPr>
      <w:r>
        <w:rPr>
          <w:rFonts w:ascii="Arial" w:cs="Arial" w:eastAsia="Arial" w:hAnsi="Arial"/>
          <w:b w:val="false"/>
          <w:bCs w:val="false"/>
          <w:i w:val="false"/>
          <w:iCs w:val="false"/>
          <w:color w:val="333333"/>
          <w:sz w:val="21"/>
          <w:szCs w:val="21"/>
        </w:rPr>
        <w:t xml:space="preserve">Le Caribbean Metadata Standard (CMS) est le premier cadre ouvert de métadonnées conçu pour décrire, certifier et indexer les œuvres caribéennes sur les plateformes mondiales. Développé par le Caribwood Language Lab (Guadeloupe), il est mis à disposition de toute institution caribéenne ou partenaire international à titre gratuit, dans un esprit de souveraineté culturelle et d'intérêt général régional.</w:t>
      </w:r>
    </w:p>
    <w:p>
      <w:pPr>
        <w:spacing w:after="0" w:before="60"/>
      </w:pPr>
      <w:r>
        <w:t xml:space="preserve"/>
      </w:r>
    </w:p>
    <w:p>
      <w:pPr>
        <w:spacing w:after="60" w:before="60"/>
        <w:jc w:val="both"/>
      </w:pPr>
      <w:r>
        <w:rPr>
          <w:rFonts w:ascii="Arial" w:cs="Arial" w:eastAsia="Arial" w:hAnsi="Arial"/>
          <w:b w:val="false"/>
          <w:bCs w:val="false"/>
          <w:i w:val="false"/>
          <w:iCs w:val="false"/>
          <w:color w:val="333333"/>
          <w:sz w:val="21"/>
          <w:szCs w:val="21"/>
        </w:rPr>
        <w:t xml:space="preserve">La présente convention formalise l'adhésion volontaire de l'Institution Partenaire au CMS. Elle n'emporte aucune obligation commerciale, financière ou exclusive.</w:t>
      </w:r>
    </w:p>
    <w:p>
      <w:pPr>
        <w:spacing w:after="0" w:before="80"/>
      </w:pPr>
      <w:r>
        <w:t xml:space="preserve"/>
      </w:r>
    </w:p>
    <w:p>
      <w:pPr>
        <w:spacing w:after="100" w:before="0"/>
      </w:pPr>
      <w:r>
        <w:rPr>
          <w:rFonts w:ascii="Arial" w:cs="Arial" w:eastAsia="Arial" w:hAnsi="Arial"/>
          <w:b/>
          <w:bCs/>
          <w:color w:val="00C2C7"/>
          <w:spacing w:val="80"/>
          <w:sz w:val="18"/>
          <w:szCs w:val="18"/>
        </w:rPr>
        <w:t xml:space="preserve">ENTRE LES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E4ED" w:sz="1"/>
              <w:left w:val="single" w:color="D0E4ED" w:sz="1"/>
              <w:bottom w:val="single" w:color="D0E4ED" w:sz="1"/>
              <w:right w:val="single" w:color="D0E4ED" w:sz="1"/>
            </w:tcBorders>
            <w:shd w:fill="F0F7FA" w:val="clear"/>
            <w:tcMar>
              <w:top w:type="dxa" w:w="160"/>
              <w:left w:type="dxa" w:w="200"/>
              <w:bottom w:type="dxa" w:w="160"/>
              <w:right w:type="dxa" w:w="160"/>
            </w:tcMar>
          </w:tcPr>
          <w:p>
            <w:pPr>
              <w:spacing w:after="80" w:before="0"/>
            </w:pPr>
            <w:r>
              <w:rPr>
                <w:rFonts w:ascii="Arial" w:cs="Arial" w:eastAsia="Arial" w:hAnsi="Arial"/>
                <w:b/>
                <w:bCs/>
                <w:color w:val="003E6B"/>
                <w:sz w:val="19"/>
                <w:szCs w:val="19"/>
              </w:rPr>
              <w:t xml:space="preserve">Le Promoteur du standard</w:t>
            </w:r>
          </w:p>
          <w:p>
            <w:pPr>
              <w:spacing w:after="40" w:before="0"/>
            </w:pPr>
            <w:r>
              <w:rPr>
                <w:rFonts w:ascii="Arial" w:cs="Arial" w:eastAsia="Arial" w:hAnsi="Arial"/>
                <w:b/>
                <w:bCs/>
                <w:color w:val="00C2C7"/>
                <w:sz w:val="20"/>
                <w:szCs w:val="20"/>
              </w:rPr>
              <w:t xml:space="preserve">Caribwood Language Lab</w:t>
            </w:r>
          </w:p>
          <w:p>
            <w:pPr>
              <w:spacing w:after="40" w:before="0"/>
            </w:pPr>
            <w:r>
              <w:rPr>
                <w:rFonts w:ascii="Arial" w:cs="Arial" w:eastAsia="Arial" w:hAnsi="Arial"/>
                <w:color w:val="444444"/>
                <w:sz w:val="19"/>
                <w:szCs w:val="19"/>
              </w:rPr>
              <w:t xml:space="preserve">Guadeloupe, Caraïbe</w:t>
            </w:r>
          </w:p>
          <w:p>
            <w:pPr>
              <w:spacing w:after="0" w:before="0"/>
            </w:pPr>
            <w:r>
              <w:rPr>
                <w:rFonts w:ascii="Arial" w:cs="Arial" w:eastAsia="Arial" w:hAnsi="Arial"/>
                <w:color w:val="666666"/>
                <w:sz w:val="19"/>
                <w:szCs w:val="19"/>
              </w:rPr>
              <w:t xml:space="preserve">contact@caribbeanmetadata.org</w:t>
            </w:r>
          </w:p>
        </w:tc>
        <w:tc>
          <w:tcPr>
            <w:tcW w:type="dxa" w:w="4680"/>
            <w:tcBorders>
              <w:top w:val="single" w:color="D0E4ED" w:sz="1"/>
              <w:left w:val="single" w:color="D0E4ED" w:sz="1"/>
              <w:bottom w:val="single" w:color="D0E4ED" w:sz="1"/>
              <w:right w:val="single" w:color="D0E4ED" w:sz="1"/>
            </w:tcBorders>
            <w:shd w:fill="FFFFFF" w:val="clear"/>
            <w:tcMar>
              <w:top w:type="dxa" w:w="160"/>
              <w:left w:type="dxa" w:w="200"/>
              <w:bottom w:type="dxa" w:w="160"/>
              <w:right w:type="dxa" w:w="160"/>
            </w:tcMar>
          </w:tcPr>
          <w:p>
            <w:pPr>
              <w:spacing w:after="80" w:before="0"/>
            </w:pPr>
            <w:r>
              <w:rPr>
                <w:rFonts w:ascii="Arial" w:cs="Arial" w:eastAsia="Arial" w:hAnsi="Arial"/>
                <w:b/>
                <w:bCs/>
                <w:color w:val="003E6B"/>
                <w:sz w:val="19"/>
                <w:szCs w:val="19"/>
              </w:rPr>
              <w:t xml:space="preserve">L'Institution Partenaire</w:t>
            </w:r>
          </w:p>
          <w:p>
            <w:pPr>
              <w:spacing w:after="0" w:before="0"/>
            </w:pPr>
            <w:r>
              <w:rPr>
                <w:rFonts w:ascii="Arial" w:cs="Arial" w:eastAsia="Arial" w:hAnsi="Arial"/>
                <w:color w:val="666666"/>
                <w:sz w:val="18"/>
                <w:szCs w:val="18"/>
              </w:rPr>
              <w:t xml:space="preserve">Dénomination :</w:t>
            </w:r>
          </w:p>
          <w:p>
            <w:pPr>
              <w:pBdr>
                <w:bottom w:val="single" w:color="CCCCCC" w:sz="2" w:space="1"/>
              </w:pBdr>
              <w:spacing w:after="80" w:before="200"/>
            </w:pPr>
            <w:r>
              <w:rPr>
                <w:rFonts w:ascii="Arial" w:cs="Arial" w:eastAsia="Arial" w:hAnsi="Arial"/>
                <w:sz w:val="18"/>
                <w:szCs w:val="18"/>
              </w:rPr>
              <w:t xml:space="preserve">  </w:t>
            </w:r>
          </w:p>
          <w:p>
            <w:pPr>
              <w:spacing w:after="0" w:before="40"/>
            </w:pPr>
            <w:r>
              <w:rPr>
                <w:rFonts w:ascii="Arial" w:cs="Arial" w:eastAsia="Arial" w:hAnsi="Arial"/>
                <w:color w:val="666666"/>
                <w:sz w:val="18"/>
                <w:szCs w:val="18"/>
              </w:rPr>
              <w:t xml:space="preserve">Pays / Territoire :</w:t>
            </w:r>
          </w:p>
          <w:p>
            <w:pPr>
              <w:pBdr>
                <w:bottom w:val="single" w:color="CCCCCC" w:sz="2" w:space="1"/>
              </w:pBdr>
              <w:spacing w:after="80" w:before="200"/>
            </w:pPr>
            <w:r>
              <w:rPr>
                <w:rFonts w:ascii="Arial" w:cs="Arial" w:eastAsia="Arial" w:hAnsi="Arial"/>
                <w:sz w:val="18"/>
                <w:szCs w:val="18"/>
              </w:rPr>
              <w:t xml:space="preserve">  </w:t>
            </w:r>
          </w:p>
          <w:p>
            <w:pPr>
              <w:spacing w:after="0" w:before="40"/>
            </w:pPr>
            <w:r>
              <w:rPr>
                <w:rFonts w:ascii="Arial" w:cs="Arial" w:eastAsia="Arial" w:hAnsi="Arial"/>
                <w:color w:val="666666"/>
                <w:sz w:val="18"/>
                <w:szCs w:val="18"/>
              </w:rPr>
              <w:t xml:space="preserve">Représentant légal :</w:t>
            </w:r>
          </w:p>
          <w:p>
            <w:pPr>
              <w:pBdr>
                <w:bottom w:val="single" w:color="CCCCCC" w:sz="2" w:space="1"/>
              </w:pBdr>
              <w:spacing w:after="0" w:before="200"/>
            </w:pPr>
            <w:r>
              <w:rPr>
                <w:rFonts w:ascii="Arial" w:cs="Arial" w:eastAsia="Arial" w:hAnsi="Arial"/>
                <w:sz w:val="18"/>
                <w:szCs w:val="18"/>
              </w:rPr>
              <w:t xml:space="preserve">  </w:t>
            </w:r>
          </w:p>
        </w:tc>
      </w:tr>
    </w:tbl>
    <w:p>
      <w:pPr>
        <w:spacing w:after="0" w:before="140"/>
      </w:pPr>
      <w:r>
        <w:t xml:space="preserve"/>
      </w:r>
    </w:p>
    <w:p>
      <w:pPr>
        <w:pBdr>
          <w:left w:val="single" w:color="00C2C7" w:sz="12" w:space="8"/>
        </w:pBdr>
        <w:spacing w:after="100" w:before="320"/>
        <w:ind w:left="160"/>
      </w:pPr>
      <w:r>
        <w:rPr>
          <w:rFonts w:ascii="Arial" w:cs="Arial" w:eastAsia="Arial" w:hAnsi="Arial"/>
          <w:b/>
          <w:bCs/>
          <w:color w:val="00C2C7"/>
          <w:sz w:val="22"/>
          <w:szCs w:val="22"/>
        </w:rPr>
        <w:t xml:space="preserve">Article 1 — </w:t>
      </w:r>
      <w:r>
        <w:rPr>
          <w:rFonts w:ascii="Arial" w:cs="Arial" w:eastAsia="Arial" w:hAnsi="Arial"/>
          <w:b/>
          <w:bCs/>
          <w:color w:val="003E6B"/>
          <w:sz w:val="22"/>
          <w:szCs w:val="22"/>
        </w:rPr>
        <w:t xml:space="preserve">Objet de la convention</w:t>
      </w:r>
    </w:p>
    <w:p>
      <w:pPr>
        <w:spacing w:after="60" w:before="60"/>
        <w:jc w:val="both"/>
      </w:pPr>
      <w:r>
        <w:rPr>
          <w:rFonts w:ascii="Arial" w:cs="Arial" w:eastAsia="Arial" w:hAnsi="Arial"/>
          <w:b w:val="false"/>
          <w:bCs w:val="false"/>
          <w:i w:val="false"/>
          <w:iCs w:val="false"/>
          <w:color w:val="333333"/>
          <w:sz w:val="21"/>
          <w:szCs w:val="21"/>
        </w:rPr>
        <w:t xml:space="preserve">La présente convention établit les conditions d'adhésion de l'Institution Partenaire au Caribbean Metadata Standard (CMS v2.0). Elle définit les droits et engagements mutuels des parties dans un cadre de coopération ouverte, non exclusive et sans contrepartie commerciale.</w:t>
      </w:r>
    </w:p>
    <w:p>
      <w:pPr>
        <w:pBdr>
          <w:left w:val="single" w:color="00C2C7" w:sz="12" w:space="8"/>
        </w:pBdr>
        <w:spacing w:after="100" w:before="320"/>
        <w:ind w:left="160"/>
      </w:pPr>
      <w:r>
        <w:rPr>
          <w:rFonts w:ascii="Arial" w:cs="Arial" w:eastAsia="Arial" w:hAnsi="Arial"/>
          <w:b/>
          <w:bCs/>
          <w:color w:val="00C2C7"/>
          <w:sz w:val="22"/>
          <w:szCs w:val="22"/>
        </w:rPr>
        <w:t xml:space="preserve">Article 2 — </w:t>
      </w:r>
      <w:r>
        <w:rPr>
          <w:rFonts w:ascii="Arial" w:cs="Arial" w:eastAsia="Arial" w:hAnsi="Arial"/>
          <w:b/>
          <w:bCs/>
          <w:color w:val="003E6B"/>
          <w:sz w:val="22"/>
          <w:szCs w:val="22"/>
        </w:rPr>
        <w:t xml:space="preserve">Nature du standard — Intérêt général</w:t>
      </w:r>
    </w:p>
    <w:p>
      <w:pPr>
        <w:spacing w:after="60" w:before="60"/>
        <w:jc w:val="both"/>
      </w:pPr>
      <w:r>
        <w:rPr>
          <w:rFonts w:ascii="Arial" w:cs="Arial" w:eastAsia="Arial" w:hAnsi="Arial"/>
          <w:b w:val="false"/>
          <w:bCs w:val="false"/>
          <w:i w:val="false"/>
          <w:iCs w:val="false"/>
          <w:color w:val="333333"/>
          <w:sz w:val="21"/>
          <w:szCs w:val="21"/>
        </w:rPr>
        <w:t xml:space="preserve">Le CMS est un bien commun régional caribéen. Son adhésion est :</w:t>
      </w:r>
    </w:p>
    <w:p>
      <w:pPr>
        <w:pStyle w:val="ListParagraph"/>
        <w:numPr>
          <w:ilvl w:val="0"/>
          <w:numId w:val="2"/>
        </w:numPr>
        <w:spacing w:after="40" w:before="40"/>
      </w:pPr>
      <w:r>
        <w:rPr>
          <w:rFonts w:ascii="Arial" w:cs="Arial" w:eastAsia="Arial" w:hAnsi="Arial"/>
          <w:color w:val="333333"/>
          <w:sz w:val="21"/>
          <w:szCs w:val="21"/>
        </w:rPr>
        <w:t xml:space="preserve">Entièrement gratuite — aucune redevance, aucun droit d'entrée, aucun abonnement</w:t>
      </w:r>
    </w:p>
    <w:p>
      <w:pPr>
        <w:pStyle w:val="ListParagraph"/>
        <w:numPr>
          <w:ilvl w:val="0"/>
          <w:numId w:val="2"/>
        </w:numPr>
        <w:spacing w:after="40" w:before="40"/>
      </w:pPr>
      <w:r>
        <w:rPr>
          <w:rFonts w:ascii="Arial" w:cs="Arial" w:eastAsia="Arial" w:hAnsi="Arial"/>
          <w:color w:val="333333"/>
          <w:sz w:val="21"/>
          <w:szCs w:val="21"/>
        </w:rPr>
        <w:t xml:space="preserve">Non exclusive — l'Institution Partenaire reste libre d'utiliser tout autre standard ou système</w:t>
      </w:r>
    </w:p>
    <w:p>
      <w:pPr>
        <w:pStyle w:val="ListParagraph"/>
        <w:numPr>
          <w:ilvl w:val="0"/>
          <w:numId w:val="2"/>
        </w:numPr>
        <w:spacing w:after="40" w:before="40"/>
      </w:pPr>
      <w:r>
        <w:rPr>
          <w:rFonts w:ascii="Arial" w:cs="Arial" w:eastAsia="Arial" w:hAnsi="Arial"/>
          <w:color w:val="333333"/>
          <w:sz w:val="21"/>
          <w:szCs w:val="21"/>
        </w:rPr>
        <w:t xml:space="preserve">Sans transfert de propriété intellectuelle — l'Institution Partenaire conserve l'intégralité de ses droits sur ses contenus</w:t>
      </w:r>
    </w:p>
    <w:p>
      <w:pPr>
        <w:pStyle w:val="ListParagraph"/>
        <w:numPr>
          <w:ilvl w:val="0"/>
          <w:numId w:val="2"/>
        </w:numPr>
        <w:spacing w:after="40" w:before="40"/>
      </w:pPr>
      <w:r>
        <w:rPr>
          <w:rFonts w:ascii="Arial" w:cs="Arial" w:eastAsia="Arial" w:hAnsi="Arial"/>
          <w:color w:val="333333"/>
          <w:sz w:val="21"/>
          <w:szCs w:val="21"/>
        </w:rPr>
        <w:t xml:space="preserve">Révocable à tout moment par simple notification écrite, sans pénalité</w:t>
      </w:r>
    </w:p>
    <w:p>
      <w:pPr>
        <w:pBdr>
          <w:left w:val="single" w:color="00C2C7" w:sz="12" w:space="8"/>
        </w:pBdr>
        <w:spacing w:after="100" w:before="320"/>
        <w:ind w:left="160"/>
      </w:pPr>
      <w:r>
        <w:rPr>
          <w:rFonts w:ascii="Arial" w:cs="Arial" w:eastAsia="Arial" w:hAnsi="Arial"/>
          <w:b/>
          <w:bCs/>
          <w:color w:val="00C2C7"/>
          <w:sz w:val="22"/>
          <w:szCs w:val="22"/>
        </w:rPr>
        <w:t xml:space="preserve">Article 3 — </w:t>
      </w:r>
      <w:r>
        <w:rPr>
          <w:rFonts w:ascii="Arial" w:cs="Arial" w:eastAsia="Arial" w:hAnsi="Arial"/>
          <w:b/>
          <w:bCs/>
          <w:color w:val="003E6B"/>
          <w:sz w:val="22"/>
          <w:szCs w:val="22"/>
        </w:rPr>
        <w:t xml:space="preserve">Engagements du Caribwood Language Lab</w:t>
      </w:r>
    </w:p>
    <w:p>
      <w:pPr>
        <w:spacing w:after="60" w:before="60"/>
        <w:jc w:val="both"/>
      </w:pPr>
      <w:r>
        <w:rPr>
          <w:rFonts w:ascii="Arial" w:cs="Arial" w:eastAsia="Arial" w:hAnsi="Arial"/>
          <w:b w:val="false"/>
          <w:bCs w:val="false"/>
          <w:i w:val="false"/>
          <w:iCs w:val="false"/>
          <w:color w:val="333333"/>
          <w:sz w:val="21"/>
          <w:szCs w:val="21"/>
        </w:rPr>
        <w:t xml:space="preserve">En qualité de promoteur du standard, le Caribwood Language Lab s'engage à :</w:t>
      </w:r>
    </w:p>
    <w:p>
      <w:pPr>
        <w:pStyle w:val="ListParagraph"/>
        <w:numPr>
          <w:ilvl w:val="0"/>
          <w:numId w:val="2"/>
        </w:numPr>
        <w:spacing w:after="40" w:before="40"/>
      </w:pPr>
      <w:r>
        <w:rPr>
          <w:rFonts w:ascii="Arial" w:cs="Arial" w:eastAsia="Arial" w:hAnsi="Arial"/>
          <w:color w:val="333333"/>
          <w:sz w:val="21"/>
          <w:szCs w:val="21"/>
        </w:rPr>
        <w:t xml:space="preserve">Mettre à disposition gratuitement le standard CMS, sa documentation technique et ses outils</w:t>
      </w:r>
    </w:p>
    <w:p>
      <w:pPr>
        <w:pStyle w:val="ListParagraph"/>
        <w:numPr>
          <w:ilvl w:val="0"/>
          <w:numId w:val="2"/>
        </w:numPr>
        <w:spacing w:after="40" w:before="40"/>
      </w:pPr>
      <w:r>
        <w:rPr>
          <w:rFonts w:ascii="Arial" w:cs="Arial" w:eastAsia="Arial" w:hAnsi="Arial"/>
          <w:color w:val="333333"/>
          <w:sz w:val="21"/>
          <w:szCs w:val="21"/>
        </w:rPr>
        <w:t xml:space="preserve">Notifier l'Institution Partenaire de toute évolution majeure du standard (version mineure : 30 jours ; version majeure : 90 jours)</w:t>
      </w:r>
    </w:p>
    <w:p>
      <w:pPr>
        <w:pStyle w:val="ListParagraph"/>
        <w:numPr>
          <w:ilvl w:val="0"/>
          <w:numId w:val="2"/>
        </w:numPr>
        <w:spacing w:after="40" w:before="40"/>
      </w:pPr>
      <w:r>
        <w:rPr>
          <w:rFonts w:ascii="Arial" w:cs="Arial" w:eastAsia="Arial" w:hAnsi="Arial"/>
          <w:color w:val="333333"/>
          <w:sz w:val="21"/>
          <w:szCs w:val="21"/>
        </w:rPr>
        <w:t xml:space="preserve">Mentionner publiquement l'Institution Partenaire dans la liste des adoptants officiels du CMS</w:t>
      </w:r>
    </w:p>
    <w:p>
      <w:pPr>
        <w:pStyle w:val="ListParagraph"/>
        <w:numPr>
          <w:ilvl w:val="0"/>
          <w:numId w:val="2"/>
        </w:numPr>
        <w:spacing w:after="40" w:before="40"/>
      </w:pPr>
      <w:r>
        <w:rPr>
          <w:rFonts w:ascii="Arial" w:cs="Arial" w:eastAsia="Arial" w:hAnsi="Arial"/>
          <w:color w:val="333333"/>
          <w:sz w:val="21"/>
          <w:szCs w:val="21"/>
        </w:rPr>
        <w:t xml:space="preserve">Associer l'Institution Partenaire aux consultations sur les évolutions du standard</w:t>
      </w:r>
    </w:p>
    <w:p>
      <w:pPr>
        <w:pStyle w:val="ListParagraph"/>
        <w:numPr>
          <w:ilvl w:val="0"/>
          <w:numId w:val="2"/>
        </w:numPr>
        <w:spacing w:after="40" w:before="40"/>
      </w:pPr>
      <w:r>
        <w:rPr>
          <w:rFonts w:ascii="Arial" w:cs="Arial" w:eastAsia="Arial" w:hAnsi="Arial"/>
          <w:color w:val="333333"/>
          <w:sz w:val="21"/>
          <w:szCs w:val="21"/>
        </w:rPr>
        <w:t xml:space="preserve">Transférer la gouvernance du standard à un Comité Technique indépendant dès que 5 institutions caribéennes auront officiellement adhéré</w:t>
      </w:r>
    </w:p>
    <w:p>
      <w:pPr>
        <w:pBdr>
          <w:left w:val="single" w:color="00C2C7" w:sz="12" w:space="8"/>
        </w:pBdr>
        <w:spacing w:after="100" w:before="320"/>
        <w:ind w:left="160"/>
      </w:pPr>
      <w:r>
        <w:rPr>
          <w:rFonts w:ascii="Arial" w:cs="Arial" w:eastAsia="Arial" w:hAnsi="Arial"/>
          <w:b/>
          <w:bCs/>
          <w:color w:val="00C2C7"/>
          <w:sz w:val="22"/>
          <w:szCs w:val="22"/>
        </w:rPr>
        <w:t xml:space="preserve">Article 4 — </w:t>
      </w:r>
      <w:r>
        <w:rPr>
          <w:rFonts w:ascii="Arial" w:cs="Arial" w:eastAsia="Arial" w:hAnsi="Arial"/>
          <w:b/>
          <w:bCs/>
          <w:color w:val="003E6B"/>
          <w:sz w:val="22"/>
          <w:szCs w:val="22"/>
        </w:rPr>
        <w:t xml:space="preserve">Engagements de l'Institution Partenaire</w:t>
      </w:r>
    </w:p>
    <w:p>
      <w:pPr>
        <w:spacing w:after="60" w:before="60"/>
        <w:jc w:val="both"/>
      </w:pPr>
      <w:r>
        <w:rPr>
          <w:rFonts w:ascii="Arial" w:cs="Arial" w:eastAsia="Arial" w:hAnsi="Arial"/>
          <w:b w:val="false"/>
          <w:bCs w:val="false"/>
          <w:i w:val="false"/>
          <w:iCs w:val="false"/>
          <w:color w:val="333333"/>
          <w:sz w:val="21"/>
          <w:szCs w:val="21"/>
        </w:rPr>
        <w:t xml:space="preserve">En adhérant au CMS, l'Institution Partenaire s'engage à :</w:t>
      </w:r>
    </w:p>
    <w:p>
      <w:pPr>
        <w:pStyle w:val="ListParagraph"/>
        <w:numPr>
          <w:ilvl w:val="0"/>
          <w:numId w:val="2"/>
        </w:numPr>
        <w:spacing w:after="40" w:before="40"/>
      </w:pPr>
      <w:r>
        <w:rPr>
          <w:rFonts w:ascii="Arial" w:cs="Arial" w:eastAsia="Arial" w:hAnsi="Arial"/>
          <w:color w:val="333333"/>
          <w:sz w:val="21"/>
          <w:szCs w:val="21"/>
        </w:rPr>
        <w:t xml:space="preserve">Intégrer les métadonnées CMS dans au moins un processus de catalogage, d'indexation ou de diffusion de ses contenus, selon le niveau d'intégration choisi (Basic, Structuré ou Natif)</w:t>
      </w:r>
    </w:p>
    <w:p>
      <w:pPr>
        <w:pStyle w:val="ListParagraph"/>
        <w:numPr>
          <w:ilvl w:val="0"/>
          <w:numId w:val="2"/>
        </w:numPr>
        <w:spacing w:after="40" w:before="40"/>
      </w:pPr>
      <w:r>
        <w:rPr>
          <w:rFonts w:ascii="Arial" w:cs="Arial" w:eastAsia="Arial" w:hAnsi="Arial"/>
          <w:color w:val="333333"/>
          <w:sz w:val="21"/>
          <w:szCs w:val="21"/>
        </w:rPr>
        <w:t xml:space="preserve">Mentionner la compatibilité CMS dans ses communications et outils pertinents</w:t>
      </w:r>
    </w:p>
    <w:p>
      <w:pPr>
        <w:pStyle w:val="ListParagraph"/>
        <w:numPr>
          <w:ilvl w:val="0"/>
          <w:numId w:val="2"/>
        </w:numPr>
        <w:spacing w:after="40" w:before="40"/>
      </w:pPr>
      <w:r>
        <w:rPr>
          <w:rFonts w:ascii="Arial" w:cs="Arial" w:eastAsia="Arial" w:hAnsi="Arial"/>
          <w:color w:val="333333"/>
          <w:sz w:val="21"/>
          <w:szCs w:val="21"/>
        </w:rPr>
        <w:t xml:space="preserve">Signaler au Caribwood Language Lab tout dysfonctionnement ou inadéquation du standard constaté dans sa pratique</w:t>
      </w:r>
    </w:p>
    <w:p>
      <w:pPr>
        <w:pStyle w:val="ListParagraph"/>
        <w:numPr>
          <w:ilvl w:val="0"/>
          <w:numId w:val="2"/>
        </w:numPr>
        <w:spacing w:after="40" w:before="40"/>
      </w:pPr>
      <w:r>
        <w:rPr>
          <w:rFonts w:ascii="Arial" w:cs="Arial" w:eastAsia="Arial" w:hAnsi="Arial"/>
          <w:color w:val="333333"/>
          <w:sz w:val="21"/>
          <w:szCs w:val="21"/>
        </w:rPr>
        <w:t xml:space="preserve">Ne pas utiliser le label CMS à des fins commerciales sans accord préalable écrit</w:t>
      </w:r>
    </w:p>
    <w:p>
      <w:pPr>
        <w:pBdr>
          <w:left w:val="single" w:color="00C2C7" w:sz="12" w:space="8"/>
        </w:pBdr>
        <w:spacing w:after="100" w:before="320"/>
        <w:ind w:left="160"/>
      </w:pPr>
      <w:r>
        <w:rPr>
          <w:rFonts w:ascii="Arial" w:cs="Arial" w:eastAsia="Arial" w:hAnsi="Arial"/>
          <w:b/>
          <w:bCs/>
          <w:color w:val="00C2C7"/>
          <w:sz w:val="22"/>
          <w:szCs w:val="22"/>
        </w:rPr>
        <w:t xml:space="preserve">Article 5 — </w:t>
      </w:r>
      <w:r>
        <w:rPr>
          <w:rFonts w:ascii="Arial" w:cs="Arial" w:eastAsia="Arial" w:hAnsi="Arial"/>
          <w:b/>
          <w:bCs/>
          <w:color w:val="003E6B"/>
          <w:sz w:val="22"/>
          <w:szCs w:val="22"/>
        </w:rPr>
        <w:t xml:space="preserve">Niveaux d'intégration</w:t>
      </w:r>
    </w:p>
    <w:p>
      <w:pPr>
        <w:spacing w:after="60" w:before="60"/>
        <w:jc w:val="both"/>
      </w:pPr>
      <w:r>
        <w:rPr>
          <w:rFonts w:ascii="Arial" w:cs="Arial" w:eastAsia="Arial" w:hAnsi="Arial"/>
          <w:b w:val="false"/>
          <w:bCs w:val="false"/>
          <w:i w:val="false"/>
          <w:iCs w:val="false"/>
          <w:color w:val="333333"/>
          <w:sz w:val="21"/>
          <w:szCs w:val="21"/>
        </w:rPr>
        <w:t xml:space="preserve">L'Institution Partenaire choisit librement son niveau d'intégration au moment de l'adhésion :</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660"/>
        <w:gridCol w:w="2000"/>
      </w:tblGrid>
      <w:tr>
        <w:tc>
          <w:tcPr>
            <w:tcW w:type="dxa" w:w="500"/>
            <w:tcBorders>
              <w:top w:val="single" w:color="D0E4ED" w:sz="1"/>
              <w:left w:val="single" w:color="D0E4ED" w:sz="1"/>
              <w:bottom w:val="single" w:color="D0E4ED" w:sz="1"/>
              <w:right w:val="single" w:color="D0E4ED" w:sz="1"/>
            </w:tcBorders>
            <w:shd w:fill="003E6B" w:val="clear"/>
            <w:tcMar>
              <w:top w:type="dxa" w:w="100"/>
              <w:left w:type="dxa" w:w="120"/>
              <w:bottom w:type="dxa" w:w="100"/>
              <w:right w:type="dxa" w:w="120"/>
            </w:tcMar>
          </w:tcPr>
          <w:p>
            <w:r>
              <w:rPr>
                <w:rFonts w:ascii="Arial" w:cs="Arial" w:eastAsia="Arial" w:hAnsi="Arial"/>
                <w:b/>
                <w:bCs/>
                <w:color w:val="FFFFFF"/>
                <w:sz w:val="18"/>
                <w:szCs w:val="18"/>
              </w:rPr>
              <w:t xml:space="preserve">Niv.</w:t>
            </w:r>
          </w:p>
        </w:tc>
        <w:tc>
          <w:tcPr>
            <w:tcW w:type="dxa" w:w="2200"/>
            <w:tcBorders>
              <w:top w:val="single" w:color="D0E4ED" w:sz="1"/>
              <w:left w:val="single" w:color="D0E4ED" w:sz="1"/>
              <w:bottom w:val="single" w:color="D0E4ED" w:sz="1"/>
              <w:right w:val="single" w:color="D0E4ED" w:sz="1"/>
            </w:tcBorders>
            <w:shd w:fill="003E6B" w:val="clear"/>
            <w:tcMar>
              <w:top w:type="dxa" w:w="100"/>
              <w:left w:type="dxa" w:w="160"/>
              <w:bottom w:type="dxa" w:w="100"/>
              <w:right w:type="dxa" w:w="120"/>
            </w:tcMar>
          </w:tcPr>
          <w:p>
            <w:r>
              <w:rPr>
                <w:rFonts w:ascii="Arial" w:cs="Arial" w:eastAsia="Arial" w:hAnsi="Arial"/>
                <w:b/>
                <w:bCs/>
                <w:color w:val="FFFFFF"/>
                <w:sz w:val="18"/>
                <w:szCs w:val="18"/>
              </w:rPr>
              <w:t xml:space="preserve">Désignation</w:t>
            </w:r>
          </w:p>
        </w:tc>
        <w:tc>
          <w:tcPr>
            <w:tcW w:type="dxa" w:w="4660"/>
            <w:tcBorders>
              <w:top w:val="single" w:color="D0E4ED" w:sz="1"/>
              <w:left w:val="single" w:color="D0E4ED" w:sz="1"/>
              <w:bottom w:val="single" w:color="D0E4ED" w:sz="1"/>
              <w:right w:val="single" w:color="D0E4ED" w:sz="1"/>
            </w:tcBorders>
            <w:shd w:fill="003E6B" w:val="clear"/>
            <w:tcMar>
              <w:top w:type="dxa" w:w="100"/>
              <w:left w:type="dxa" w:w="160"/>
              <w:bottom w:type="dxa" w:w="100"/>
              <w:right w:type="dxa" w:w="120"/>
            </w:tcMar>
          </w:tcPr>
          <w:p>
            <w:r>
              <w:rPr>
                <w:rFonts w:ascii="Arial" w:cs="Arial" w:eastAsia="Arial" w:hAnsi="Arial"/>
                <w:b/>
                <w:bCs/>
                <w:color w:val="FFFFFF"/>
                <w:sz w:val="18"/>
                <w:szCs w:val="18"/>
              </w:rPr>
              <w:t xml:space="preserve">Description</w:t>
            </w:r>
          </w:p>
        </w:tc>
        <w:tc>
          <w:tcPr>
            <w:tcW w:type="dxa" w:w="2000"/>
            <w:tcBorders>
              <w:top w:val="single" w:color="D0E4ED" w:sz="1"/>
              <w:left w:val="single" w:color="D0E4ED" w:sz="1"/>
              <w:bottom w:val="single" w:color="D0E4ED" w:sz="1"/>
              <w:right w:val="single" w:color="D0E4ED" w:sz="1"/>
            </w:tcBorders>
            <w:shd w:fill="003E6B" w:val="clear"/>
            <w:tcMar>
              <w:top w:type="dxa" w:w="100"/>
              <w:left w:type="dxa" w:w="160"/>
              <w:bottom w:type="dxa" w:w="100"/>
              <w:right w:type="dxa" w:w="120"/>
            </w:tcMar>
          </w:tcPr>
          <w:p>
            <w:r>
              <w:rPr>
                <w:rFonts w:ascii="Arial" w:cs="Arial" w:eastAsia="Arial" w:hAnsi="Arial"/>
                <w:b/>
                <w:bCs/>
                <w:color w:val="FFFFFF"/>
                <w:sz w:val="18"/>
                <w:szCs w:val="18"/>
              </w:rPr>
              <w:t xml:space="preserve">Effort estimé</w:t>
            </w:r>
          </w:p>
        </w:tc>
      </w:tr>
      <w:tr>
        <w:tc>
          <w:tcPr>
            <w:tcW w:type="dxa" w:w="500"/>
            <w:tcBorders>
              <w:top w:val="single" w:color="D0E4ED" w:sz="1"/>
              <w:left w:val="single" w:color="D0E4ED" w:sz="1"/>
              <w:bottom w:val="single" w:color="D0E4ED" w:sz="1"/>
              <w:right w:val="single" w:color="D0E4ED" w:sz="1"/>
            </w:tcBorders>
            <w:shd w:fill="FFFFFF" w:val="clear"/>
            <w:tcMar>
              <w:top w:type="dxa" w:w="100"/>
              <w:left w:type="dxa" w:w="120"/>
              <w:bottom w:type="dxa" w:w="100"/>
              <w:right w:type="dxa" w:w="120"/>
            </w:tcMar>
          </w:tcPr>
          <w:p>
            <w:r>
              <w:rPr>
                <w:rFonts w:ascii="Arial" w:cs="Arial" w:eastAsia="Arial" w:hAnsi="Arial"/>
                <w:b/>
                <w:bCs/>
                <w:color w:val="00C2C7"/>
                <w:sz w:val="19"/>
                <w:szCs w:val="19"/>
              </w:rPr>
              <w:t xml:space="preserve">1</w:t>
            </w:r>
          </w:p>
        </w:tc>
        <w:tc>
          <w:tcPr>
            <w:tcW w:type="dxa" w:w="2200"/>
            <w:tcBorders>
              <w:top w:val="single" w:color="D0E4ED" w:sz="1"/>
              <w:left w:val="single" w:color="D0E4ED" w:sz="1"/>
              <w:bottom w:val="single" w:color="D0E4ED" w:sz="1"/>
              <w:right w:val="single" w:color="D0E4ED" w:sz="1"/>
            </w:tcBorders>
            <w:shd w:fill="FFFFFF" w:val="clear"/>
            <w:tcMar>
              <w:top w:type="dxa" w:w="100"/>
              <w:left w:type="dxa" w:w="160"/>
              <w:bottom w:type="dxa" w:w="100"/>
              <w:right w:type="dxa" w:w="120"/>
            </w:tcMar>
          </w:tcPr>
          <w:p>
            <w:r>
              <w:rPr>
                <w:rFonts w:ascii="Arial" w:cs="Arial" w:eastAsia="Arial" w:hAnsi="Arial"/>
                <w:b w:val="false"/>
                <w:bCs w:val="false"/>
                <w:color w:val="444444"/>
                <w:sz w:val="19"/>
                <w:szCs w:val="19"/>
              </w:rPr>
              <w:t xml:space="preserve">Basic</w:t>
            </w:r>
          </w:p>
        </w:tc>
        <w:tc>
          <w:tcPr>
            <w:tcW w:type="dxa" w:w="4660"/>
            <w:tcBorders>
              <w:top w:val="single" w:color="D0E4ED" w:sz="1"/>
              <w:left w:val="single" w:color="D0E4ED" w:sz="1"/>
              <w:bottom w:val="single" w:color="D0E4ED" w:sz="1"/>
              <w:right w:val="single" w:color="D0E4ED" w:sz="1"/>
            </w:tcBorders>
            <w:shd w:fill="FFFFFF" w:val="clear"/>
            <w:tcMar>
              <w:top w:type="dxa" w:w="100"/>
              <w:left w:type="dxa" w:w="160"/>
              <w:bottom w:type="dxa" w:w="100"/>
              <w:right w:type="dxa" w:w="120"/>
            </w:tcMar>
          </w:tcPr>
          <w:p>
            <w:r>
              <w:rPr>
                <w:rFonts w:ascii="Arial" w:cs="Arial" w:eastAsia="Arial" w:hAnsi="Arial"/>
                <w:b w:val="false"/>
                <w:bCs w:val="false"/>
                <w:color w:val="444444"/>
                <w:sz w:val="19"/>
                <w:szCs w:val="19"/>
              </w:rPr>
              <w:t xml:space="preserve">Intégration des tags CMS comme mots-clés dans les champs existants</w:t>
            </w:r>
          </w:p>
        </w:tc>
        <w:tc>
          <w:tcPr>
            <w:tcW w:type="dxa" w:w="2000"/>
            <w:tcBorders>
              <w:top w:val="single" w:color="D0E4ED" w:sz="1"/>
              <w:left w:val="single" w:color="D0E4ED" w:sz="1"/>
              <w:bottom w:val="single" w:color="D0E4ED" w:sz="1"/>
              <w:right w:val="single" w:color="D0E4ED" w:sz="1"/>
            </w:tcBorders>
            <w:shd w:fill="FFFFFF" w:val="clear"/>
            <w:tcMar>
              <w:top w:type="dxa" w:w="100"/>
              <w:left w:type="dxa" w:w="160"/>
              <w:bottom w:type="dxa" w:w="100"/>
              <w:right w:type="dxa" w:w="120"/>
            </w:tcMar>
          </w:tcPr>
          <w:p>
            <w:r>
              <w:rPr>
                <w:rFonts w:ascii="Arial" w:cs="Arial" w:eastAsia="Arial" w:hAnsi="Arial"/>
                <w:b w:val="false"/>
                <w:bCs w:val="false"/>
                <w:color w:val="444444"/>
                <w:sz w:val="19"/>
                <w:szCs w:val="19"/>
              </w:rPr>
              <w:t xml:space="preserve">Quelques heures</w:t>
            </w:r>
          </w:p>
        </w:tc>
      </w:tr>
      <w:tr>
        <w:tc>
          <w:tcPr>
            <w:tcW w:type="dxa" w:w="500"/>
            <w:tcBorders>
              <w:top w:val="single" w:color="D0E4ED" w:sz="1"/>
              <w:left w:val="single" w:color="D0E4ED" w:sz="1"/>
              <w:bottom w:val="single" w:color="D0E4ED" w:sz="1"/>
              <w:right w:val="single" w:color="D0E4ED" w:sz="1"/>
            </w:tcBorders>
            <w:shd w:fill="F0F7FA" w:val="clear"/>
            <w:tcMar>
              <w:top w:type="dxa" w:w="100"/>
              <w:left w:type="dxa" w:w="120"/>
              <w:bottom w:type="dxa" w:w="100"/>
              <w:right w:type="dxa" w:w="120"/>
            </w:tcMar>
          </w:tcPr>
          <w:p>
            <w:r>
              <w:rPr>
                <w:rFonts w:ascii="Arial" w:cs="Arial" w:eastAsia="Arial" w:hAnsi="Arial"/>
                <w:b/>
                <w:bCs/>
                <w:color w:val="00C2C7"/>
                <w:sz w:val="19"/>
                <w:szCs w:val="19"/>
              </w:rPr>
              <w:t xml:space="preserve">2</w:t>
            </w:r>
          </w:p>
        </w:tc>
        <w:tc>
          <w:tcPr>
            <w:tcW w:type="dxa" w:w="2200"/>
            <w:tcBorders>
              <w:top w:val="single" w:color="D0E4ED" w:sz="1"/>
              <w:left w:val="single" w:color="D0E4ED" w:sz="1"/>
              <w:bottom w:val="single" w:color="D0E4ED" w:sz="1"/>
              <w:right w:val="single" w:color="D0E4ED" w:sz="1"/>
            </w:tcBorders>
            <w:shd w:fill="F0F7FA" w:val="clear"/>
            <w:tcMar>
              <w:top w:type="dxa" w:w="100"/>
              <w:left w:type="dxa" w:w="160"/>
              <w:bottom w:type="dxa" w:w="100"/>
              <w:right w:type="dxa" w:w="120"/>
            </w:tcMar>
          </w:tcPr>
          <w:p>
            <w:r>
              <w:rPr>
                <w:rFonts w:ascii="Arial" w:cs="Arial" w:eastAsia="Arial" w:hAnsi="Arial"/>
                <w:b w:val="false"/>
                <w:bCs w:val="false"/>
                <w:color w:val="444444"/>
                <w:sz w:val="19"/>
                <w:szCs w:val="19"/>
              </w:rPr>
              <w:t xml:space="preserve">Structuré</w:t>
            </w:r>
          </w:p>
        </w:tc>
        <w:tc>
          <w:tcPr>
            <w:tcW w:type="dxa" w:w="4660"/>
            <w:tcBorders>
              <w:top w:val="single" w:color="D0E4ED" w:sz="1"/>
              <w:left w:val="single" w:color="D0E4ED" w:sz="1"/>
              <w:bottom w:val="single" w:color="D0E4ED" w:sz="1"/>
              <w:right w:val="single" w:color="D0E4ED" w:sz="1"/>
            </w:tcBorders>
            <w:shd w:fill="F0F7FA" w:val="clear"/>
            <w:tcMar>
              <w:top w:type="dxa" w:w="100"/>
              <w:left w:type="dxa" w:w="160"/>
              <w:bottom w:type="dxa" w:w="100"/>
              <w:right w:type="dxa" w:w="120"/>
            </w:tcMar>
          </w:tcPr>
          <w:p>
            <w:r>
              <w:rPr>
                <w:rFonts w:ascii="Arial" w:cs="Arial" w:eastAsia="Arial" w:hAnsi="Arial"/>
                <w:b w:val="false"/>
                <w:bCs w:val="false"/>
                <w:color w:val="444444"/>
                <w:sz w:val="19"/>
                <w:szCs w:val="19"/>
              </w:rPr>
              <w:t xml:space="preserve">Mapping des 6 familles CMS vers des champs dédiés</w:t>
            </w:r>
          </w:p>
        </w:tc>
        <w:tc>
          <w:tcPr>
            <w:tcW w:type="dxa" w:w="2000"/>
            <w:tcBorders>
              <w:top w:val="single" w:color="D0E4ED" w:sz="1"/>
              <w:left w:val="single" w:color="D0E4ED" w:sz="1"/>
              <w:bottom w:val="single" w:color="D0E4ED" w:sz="1"/>
              <w:right w:val="single" w:color="D0E4ED" w:sz="1"/>
            </w:tcBorders>
            <w:shd w:fill="F0F7FA" w:val="clear"/>
            <w:tcMar>
              <w:top w:type="dxa" w:w="100"/>
              <w:left w:type="dxa" w:w="160"/>
              <w:bottom w:type="dxa" w:w="100"/>
              <w:right w:type="dxa" w:w="120"/>
            </w:tcMar>
          </w:tcPr>
          <w:p>
            <w:r>
              <w:rPr>
                <w:rFonts w:ascii="Arial" w:cs="Arial" w:eastAsia="Arial" w:hAnsi="Arial"/>
                <w:b w:val="false"/>
                <w:bCs w:val="false"/>
                <w:color w:val="444444"/>
                <w:sz w:val="19"/>
                <w:szCs w:val="19"/>
              </w:rPr>
              <w:t xml:space="preserve">Quelques jours</w:t>
            </w:r>
          </w:p>
        </w:tc>
      </w:tr>
      <w:tr>
        <w:tc>
          <w:tcPr>
            <w:tcW w:type="dxa" w:w="500"/>
            <w:tcBorders>
              <w:top w:val="single" w:color="D0E4ED" w:sz="1"/>
              <w:left w:val="single" w:color="D0E4ED" w:sz="1"/>
              <w:bottom w:val="single" w:color="D0E4ED" w:sz="1"/>
              <w:right w:val="single" w:color="D0E4ED" w:sz="1"/>
            </w:tcBorders>
            <w:shd w:fill="FFFFFF" w:val="clear"/>
            <w:tcMar>
              <w:top w:type="dxa" w:w="100"/>
              <w:left w:type="dxa" w:w="120"/>
              <w:bottom w:type="dxa" w:w="100"/>
              <w:right w:type="dxa" w:w="120"/>
            </w:tcMar>
          </w:tcPr>
          <w:p>
            <w:r>
              <w:rPr>
                <w:rFonts w:ascii="Arial" w:cs="Arial" w:eastAsia="Arial" w:hAnsi="Arial"/>
                <w:b/>
                <w:bCs/>
                <w:color w:val="00C2C7"/>
                <w:sz w:val="19"/>
                <w:szCs w:val="19"/>
              </w:rPr>
              <w:t xml:space="preserve">3</w:t>
            </w:r>
          </w:p>
        </w:tc>
        <w:tc>
          <w:tcPr>
            <w:tcW w:type="dxa" w:w="2200"/>
            <w:tcBorders>
              <w:top w:val="single" w:color="D0E4ED" w:sz="1"/>
              <w:left w:val="single" w:color="D0E4ED" w:sz="1"/>
              <w:bottom w:val="single" w:color="D0E4ED" w:sz="1"/>
              <w:right w:val="single" w:color="D0E4ED" w:sz="1"/>
            </w:tcBorders>
            <w:shd w:fill="FFFFFF" w:val="clear"/>
            <w:tcMar>
              <w:top w:type="dxa" w:w="100"/>
              <w:left w:type="dxa" w:w="160"/>
              <w:bottom w:type="dxa" w:w="100"/>
              <w:right w:type="dxa" w:w="120"/>
            </w:tcMar>
          </w:tcPr>
          <w:p>
            <w:r>
              <w:rPr>
                <w:rFonts w:ascii="Arial" w:cs="Arial" w:eastAsia="Arial" w:hAnsi="Arial"/>
                <w:b w:val="false"/>
                <w:bCs w:val="false"/>
                <w:color w:val="444444"/>
                <w:sz w:val="19"/>
                <w:szCs w:val="19"/>
              </w:rPr>
              <w:t xml:space="preserve">Natif</w:t>
            </w:r>
          </w:p>
        </w:tc>
        <w:tc>
          <w:tcPr>
            <w:tcW w:type="dxa" w:w="4660"/>
            <w:tcBorders>
              <w:top w:val="single" w:color="D0E4ED" w:sz="1"/>
              <w:left w:val="single" w:color="D0E4ED" w:sz="1"/>
              <w:bottom w:val="single" w:color="D0E4ED" w:sz="1"/>
              <w:right w:val="single" w:color="D0E4ED" w:sz="1"/>
            </w:tcBorders>
            <w:shd w:fill="FFFFFF" w:val="clear"/>
            <w:tcMar>
              <w:top w:type="dxa" w:w="100"/>
              <w:left w:type="dxa" w:w="160"/>
              <w:bottom w:type="dxa" w:w="100"/>
              <w:right w:type="dxa" w:w="120"/>
            </w:tcMar>
          </w:tcPr>
          <w:p>
            <w:r>
              <w:rPr>
                <w:rFonts w:ascii="Arial" w:cs="Arial" w:eastAsia="Arial" w:hAnsi="Arial"/>
                <w:b w:val="false"/>
                <w:bCs w:val="false"/>
                <w:color w:val="444444"/>
                <w:sz w:val="19"/>
                <w:szCs w:val="19"/>
              </w:rPr>
              <w:t xml:space="preserve">Intégration complète des 6 familles en champs de premier rang</w:t>
            </w:r>
          </w:p>
        </w:tc>
        <w:tc>
          <w:tcPr>
            <w:tcW w:type="dxa" w:w="2000"/>
            <w:tcBorders>
              <w:top w:val="single" w:color="D0E4ED" w:sz="1"/>
              <w:left w:val="single" w:color="D0E4ED" w:sz="1"/>
              <w:bottom w:val="single" w:color="D0E4ED" w:sz="1"/>
              <w:right w:val="single" w:color="D0E4ED" w:sz="1"/>
            </w:tcBorders>
            <w:shd w:fill="FFFFFF" w:val="clear"/>
            <w:tcMar>
              <w:top w:type="dxa" w:w="100"/>
              <w:left w:type="dxa" w:w="160"/>
              <w:bottom w:type="dxa" w:w="100"/>
              <w:right w:type="dxa" w:w="120"/>
            </w:tcMar>
          </w:tcPr>
          <w:p>
            <w:r>
              <w:rPr>
                <w:rFonts w:ascii="Arial" w:cs="Arial" w:eastAsia="Arial" w:hAnsi="Arial"/>
                <w:b w:val="false"/>
                <w:bCs w:val="false"/>
                <w:color w:val="444444"/>
                <w:sz w:val="19"/>
                <w:szCs w:val="19"/>
              </w:rPr>
              <w:t xml:space="preserve">Quelques semaines</w:t>
            </w:r>
          </w:p>
        </w:tc>
      </w:tr>
    </w:tbl>
    <w:p>
      <w:pPr>
        <w:spacing w:after="0" w:before="80"/>
      </w:pPr>
      <w:r>
        <w:t xml:space="preserve"/>
      </w:r>
    </w:p>
    <w:p>
      <w:pPr>
        <w:spacing w:after="80" w:before="80"/>
      </w:pPr>
      <w:r>
        <w:rPr>
          <w:rFonts w:ascii="Arial" w:cs="Arial" w:eastAsia="Arial" w:hAnsi="Arial"/>
          <w:color w:val="333333"/>
          <w:sz w:val="21"/>
          <w:szCs w:val="21"/>
        </w:rPr>
        <w:t xml:space="preserve">Niveau d'intégration choisi par l'Institution Partenaire : </w:t>
      </w:r>
      <w:r>
        <w:rPr>
          <w:rFonts w:ascii="Arial" w:cs="Arial" w:eastAsia="Arial" w:hAnsi="Arial"/>
          <w:b/>
          <w:bCs/>
          <w:color w:val="003E6B"/>
          <w:sz w:val="21"/>
          <w:szCs w:val="21"/>
        </w:rPr>
        <w:t xml:space="preserve">  ☐ 1 — Basic     ☐ 2 — Structuré     ☐ 3 — Natif</w:t>
      </w:r>
    </w:p>
    <w:p>
      <w:pPr>
        <w:pBdr>
          <w:left w:val="single" w:color="00C2C7" w:sz="12" w:space="8"/>
        </w:pBdr>
        <w:spacing w:after="100" w:before="320"/>
        <w:ind w:left="160"/>
      </w:pPr>
      <w:r>
        <w:rPr>
          <w:rFonts w:ascii="Arial" w:cs="Arial" w:eastAsia="Arial" w:hAnsi="Arial"/>
          <w:b/>
          <w:bCs/>
          <w:color w:val="00C2C7"/>
          <w:sz w:val="22"/>
          <w:szCs w:val="22"/>
        </w:rPr>
        <w:t xml:space="preserve">Article 6 — </w:t>
      </w:r>
      <w:r>
        <w:rPr>
          <w:rFonts w:ascii="Arial" w:cs="Arial" w:eastAsia="Arial" w:hAnsi="Arial"/>
          <w:b/>
          <w:bCs/>
          <w:color w:val="003E6B"/>
          <w:sz w:val="22"/>
          <w:szCs w:val="22"/>
        </w:rPr>
        <w:t xml:space="preserve">Propriété intellectuelle et licence</w:t>
      </w:r>
    </w:p>
    <w:p>
      <w:pPr>
        <w:spacing w:after="60" w:before="60"/>
        <w:jc w:val="both"/>
      </w:pPr>
      <w:r>
        <w:rPr>
          <w:rFonts w:ascii="Arial" w:cs="Arial" w:eastAsia="Arial" w:hAnsi="Arial"/>
          <w:b w:val="false"/>
          <w:bCs w:val="false"/>
          <w:i w:val="false"/>
          <w:iCs w:val="false"/>
          <w:color w:val="333333"/>
          <w:sz w:val="21"/>
          <w:szCs w:val="21"/>
        </w:rPr>
        <w:t xml:space="preserve">Le Caribbean Metadata Standard est publié sous licence Creative Commons CC-BY 4.0. L'Institution Partenaire est libre de l'utiliser, l'adapter et le redistribuer avec attribution. Aucun droit de propriété sur le standard n'est transféré par la présente convention. L'Institution Partenaire conserve l'intégralité de ses droits sur ses propres contenus, catalogues et données.</w:t>
      </w:r>
    </w:p>
    <w:p>
      <w:pPr>
        <w:pBdr>
          <w:left w:val="single" w:color="00C2C7" w:sz="12" w:space="8"/>
        </w:pBdr>
        <w:spacing w:after="100" w:before="320"/>
        <w:ind w:left="160"/>
      </w:pPr>
      <w:r>
        <w:rPr>
          <w:rFonts w:ascii="Arial" w:cs="Arial" w:eastAsia="Arial" w:hAnsi="Arial"/>
          <w:b/>
          <w:bCs/>
          <w:color w:val="00C2C7"/>
          <w:sz w:val="22"/>
          <w:szCs w:val="22"/>
        </w:rPr>
        <w:t xml:space="preserve">Article 7 — </w:t>
      </w:r>
      <w:r>
        <w:rPr>
          <w:rFonts w:ascii="Arial" w:cs="Arial" w:eastAsia="Arial" w:hAnsi="Arial"/>
          <w:b/>
          <w:bCs/>
          <w:color w:val="003E6B"/>
          <w:sz w:val="22"/>
          <w:szCs w:val="22"/>
        </w:rPr>
        <w:t xml:space="preserve">Confidentialité</w:t>
      </w:r>
    </w:p>
    <w:p>
      <w:pPr>
        <w:spacing w:after="60" w:before="60"/>
        <w:jc w:val="both"/>
      </w:pPr>
      <w:r>
        <w:rPr>
          <w:rFonts w:ascii="Arial" w:cs="Arial" w:eastAsia="Arial" w:hAnsi="Arial"/>
          <w:b w:val="false"/>
          <w:bCs w:val="false"/>
          <w:i w:val="false"/>
          <w:iCs w:val="false"/>
          <w:color w:val="333333"/>
          <w:sz w:val="21"/>
          <w:szCs w:val="21"/>
        </w:rPr>
        <w:t xml:space="preserve">La présente convention est un document public. L'Institution Partenaire accepte que son nom et son niveau d'adhésion soient mentionnés sur caribbeanmetadata.org et dans les communications officielles du CMS. Toute information transmise dans le cadre d'une collaboration technique reste confidentielle sauf accord contraire écrit.</w:t>
      </w:r>
    </w:p>
    <w:p>
      <w:pPr>
        <w:pBdr>
          <w:left w:val="single" w:color="00C2C7" w:sz="12" w:space="8"/>
        </w:pBdr>
        <w:spacing w:after="100" w:before="320"/>
        <w:ind w:left="160"/>
      </w:pPr>
      <w:r>
        <w:rPr>
          <w:rFonts w:ascii="Arial" w:cs="Arial" w:eastAsia="Arial" w:hAnsi="Arial"/>
          <w:b/>
          <w:bCs/>
          <w:color w:val="00C2C7"/>
          <w:sz w:val="22"/>
          <w:szCs w:val="22"/>
        </w:rPr>
        <w:t xml:space="preserve">Article 8 — </w:t>
      </w:r>
      <w:r>
        <w:rPr>
          <w:rFonts w:ascii="Arial" w:cs="Arial" w:eastAsia="Arial" w:hAnsi="Arial"/>
          <w:b/>
          <w:bCs/>
          <w:color w:val="003E6B"/>
          <w:sz w:val="22"/>
          <w:szCs w:val="22"/>
        </w:rPr>
        <w:t xml:space="preserve">Durée et résiliation</w:t>
      </w:r>
    </w:p>
    <w:p>
      <w:pPr>
        <w:spacing w:after="60" w:before="60"/>
        <w:jc w:val="both"/>
      </w:pPr>
      <w:r>
        <w:rPr>
          <w:rFonts w:ascii="Arial" w:cs="Arial" w:eastAsia="Arial" w:hAnsi="Arial"/>
          <w:b w:val="false"/>
          <w:bCs w:val="false"/>
          <w:i w:val="false"/>
          <w:iCs w:val="false"/>
          <w:color w:val="333333"/>
          <w:sz w:val="21"/>
          <w:szCs w:val="21"/>
        </w:rPr>
        <w:t xml:space="preserve">La convention est conclue pour une durée indéterminée, prenant effet à la date de signature. Elle peut être résiliée à tout moment par l'une ou l'autre partie par notification écrite avec un préavis de 30 jours, sans pénalité ni justification requise.</w:t>
      </w:r>
    </w:p>
    <w:p>
      <w:pPr>
        <w:pBdr>
          <w:left w:val="single" w:color="00C2C7" w:sz="12" w:space="8"/>
        </w:pBdr>
        <w:spacing w:after="100" w:before="320"/>
        <w:ind w:left="160"/>
      </w:pPr>
      <w:r>
        <w:rPr>
          <w:rFonts w:ascii="Arial" w:cs="Arial" w:eastAsia="Arial" w:hAnsi="Arial"/>
          <w:b/>
          <w:bCs/>
          <w:color w:val="00C2C7"/>
          <w:sz w:val="22"/>
          <w:szCs w:val="22"/>
        </w:rPr>
        <w:t xml:space="preserve">Article 9 — </w:t>
      </w:r>
      <w:r>
        <w:rPr>
          <w:rFonts w:ascii="Arial" w:cs="Arial" w:eastAsia="Arial" w:hAnsi="Arial"/>
          <w:b/>
          <w:bCs/>
          <w:color w:val="003E6B"/>
          <w:sz w:val="22"/>
          <w:szCs w:val="22"/>
        </w:rPr>
        <w:t xml:space="preserve">Gouvernance et évolution du standard</w:t>
      </w:r>
    </w:p>
    <w:p>
      <w:pPr>
        <w:spacing w:after="60" w:before="60"/>
        <w:jc w:val="both"/>
      </w:pPr>
      <w:r>
        <w:rPr>
          <w:rFonts w:ascii="Arial" w:cs="Arial" w:eastAsia="Arial" w:hAnsi="Arial"/>
          <w:b w:val="false"/>
          <w:bCs w:val="false"/>
          <w:i w:val="false"/>
          <w:iCs w:val="false"/>
          <w:color w:val="333333"/>
          <w:sz w:val="21"/>
          <w:szCs w:val="21"/>
        </w:rPr>
        <w:t xml:space="preserve">Le Caribwood Language Lab s'engage à transférer la gouvernance du CMS à un Comité Technique caribéen indépendant dès que 5 institutions auront officiellement adhéré. L'Institution Partenaire, en qualité d'adoptant officiel, dispose d'un droit de consultation et d'une voix au Comité Technique lors de ce transfert.</w:t>
      </w:r>
    </w:p>
    <w:p>
      <w:pPr>
        <w:pBdr>
          <w:left w:val="single" w:color="00C2C7" w:sz="12" w:space="8"/>
        </w:pBdr>
        <w:spacing w:after="100" w:before="320"/>
        <w:ind w:left="160"/>
      </w:pPr>
      <w:r>
        <w:rPr>
          <w:rFonts w:ascii="Arial" w:cs="Arial" w:eastAsia="Arial" w:hAnsi="Arial"/>
          <w:b/>
          <w:bCs/>
          <w:color w:val="00C2C7"/>
          <w:sz w:val="22"/>
          <w:szCs w:val="22"/>
        </w:rPr>
        <w:t xml:space="preserve">Article 10 — </w:t>
      </w:r>
      <w:r>
        <w:rPr>
          <w:rFonts w:ascii="Arial" w:cs="Arial" w:eastAsia="Arial" w:hAnsi="Arial"/>
          <w:b/>
          <w:bCs/>
          <w:color w:val="003E6B"/>
          <w:sz w:val="22"/>
          <w:szCs w:val="22"/>
        </w:rPr>
        <w:t xml:space="preserve">Droit applicable</w:t>
      </w:r>
    </w:p>
    <w:p>
      <w:pPr>
        <w:spacing w:after="60" w:before="60"/>
        <w:jc w:val="both"/>
      </w:pPr>
      <w:r>
        <w:rPr>
          <w:rFonts w:ascii="Arial" w:cs="Arial" w:eastAsia="Arial" w:hAnsi="Arial"/>
          <w:b w:val="false"/>
          <w:bCs w:val="false"/>
          <w:i w:val="false"/>
          <w:iCs w:val="false"/>
          <w:color w:val="333333"/>
          <w:sz w:val="21"/>
          <w:szCs w:val="21"/>
        </w:rPr>
        <w:t xml:space="preserve">La présente convention est régie par les principes généraux du droit des contrats et les usages des organisations de standardisation internationale. En cas de litige, les parties s'engagent à rechercher une résolution amiable avant tout recours contentieux.</w:t>
      </w:r>
    </w:p>
    <w:p>
      <w:pPr>
        <w:spacing w:after="0" w:before="160"/>
      </w:pPr>
      <w:r>
        <w:t xml:space="preserve"/>
      </w:r>
    </w:p>
    <w:p>
      <w:pPr>
        <w:pBdr>
          <w:bottom w:val="single" w:color="00C2C7" w:sz="4" w:space="1"/>
        </w:pBdr>
        <w:spacing w:after="160" w:before="0"/>
      </w:pPr>
      <w:r>
        <w:t xml:space="preserve"/>
      </w:r>
    </w:p>
    <w:p>
      <w:pPr>
        <w:spacing w:after="0" w:before="80"/>
      </w:pPr>
      <w:r>
        <w:t xml:space="preserve"/>
      </w:r>
    </w:p>
    <w:p>
      <w:pPr>
        <w:spacing w:after="160" w:before="0"/>
      </w:pPr>
      <w:r>
        <w:rPr>
          <w:rFonts w:ascii="Arial" w:cs="Arial" w:eastAsia="Arial" w:hAnsi="Arial"/>
          <w:b/>
          <w:bCs/>
          <w:color w:val="00C2C7"/>
          <w:spacing w:val="80"/>
          <w:sz w:val="18"/>
          <w:szCs w:val="18"/>
        </w:rPr>
        <w:t xml:space="preserve">SIGNATURES</w:t>
      </w:r>
    </w:p>
    <w:p>
      <w:pPr>
        <w:spacing w:after="200" w:before="0"/>
      </w:pPr>
      <w:r>
        <w:rPr>
          <w:rFonts w:ascii="Arial" w:cs="Arial" w:eastAsia="Arial" w:hAnsi="Arial"/>
          <w:color w:val="333333"/>
          <w:sz w:val="21"/>
          <w:szCs w:val="21"/>
        </w:rPr>
        <w:t xml:space="preserve">Fait en deux exemplaires originaux, à _________________________, le _________________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80" w:before="0"/>
            </w:pPr>
            <w:r>
              <w:rPr>
                <w:rFonts w:ascii="Arial" w:cs="Arial" w:eastAsia="Arial" w:hAnsi="Arial"/>
                <w:b/>
                <w:bCs/>
                <w:color w:val="003E6B"/>
                <w:sz w:val="19"/>
                <w:szCs w:val="19"/>
              </w:rPr>
              <w:t xml:space="preserve">Pour le Caribwood Language Lab</w:t>
            </w:r>
          </w:p>
          <w:p>
            <w:pPr>
              <w:pBdr>
                <w:bottom w:val="single" w:color="AAAAAA" w:sz="4" w:space="1"/>
              </w:pBdr>
              <w:spacing w:after="80" w:before="400"/>
            </w:pPr>
            <w:r>
              <w:rPr>
                <w:rFonts w:ascii="Arial" w:cs="Arial" w:eastAsia="Arial" w:hAnsi="Arial"/>
                <w:sz w:val="19"/>
                <w:szCs w:val="19"/>
              </w:rPr>
              <w:t xml:space="preserve"/>
            </w:r>
          </w:p>
          <w:p>
            <w:pPr>
              <w:spacing w:after="0" w:before="60"/>
            </w:pPr>
            <w:r>
              <w:rPr>
                <w:rFonts w:ascii="Arial" w:cs="Arial" w:eastAsia="Arial" w:hAnsi="Arial"/>
                <w:color w:val="666666"/>
                <w:sz w:val="18"/>
                <w:szCs w:val="18"/>
              </w:rPr>
              <w:t xml:space="preserve">Nom &amp; Titre :</w:t>
            </w:r>
          </w:p>
          <w:p>
            <w:pPr>
              <w:pBdr>
                <w:bottom w:val="single" w:color="CCCCCC" w:sz="2" w:space="1"/>
              </w:pBdr>
              <w:spacing w:after="80" w:before="240"/>
            </w:pPr>
            <w:r>
              <w:rPr>
                <w:rFonts w:ascii="Arial" w:cs="Arial" w:eastAsia="Arial" w:hAnsi="Arial"/>
                <w:sz w:val="18"/>
                <w:szCs w:val="18"/>
              </w:rPr>
              <w:t xml:space="preserve"/>
            </w:r>
          </w:p>
          <w:p>
            <w:pPr>
              <w:spacing w:after="0" w:before="60"/>
            </w:pPr>
            <w:r>
              <w:rPr>
                <w:rFonts w:ascii="Arial" w:cs="Arial" w:eastAsia="Arial" w:hAnsi="Arial"/>
                <w:color w:val="666666"/>
                <w:sz w:val="18"/>
                <w:szCs w:val="18"/>
              </w:rPr>
              <w:t xml:space="preserve">Date :</w:t>
            </w:r>
          </w:p>
          <w:p>
            <w:pPr>
              <w:pBdr>
                <w:bottom w:val="single" w:color="CCCCCC" w:sz="2" w:space="1"/>
              </w:pBdr>
              <w:spacing w:after="0" w:before="200"/>
            </w:pPr>
            <w:r>
              <w:rPr>
                <w:rFonts w:ascii="Arial" w:cs="Arial" w:eastAsia="Arial" w:hAnsi="Arial"/>
                <w:sz w:val="18"/>
                <w:szCs w:val="18"/>
              </w:rPr>
              <w:t xml:space="preserve"/>
            </w:r>
          </w:p>
        </w:tc>
        <w:tc>
          <w:tcPr>
            <w:tcW w:type="dxa" w:w="400"/>
            <w:tcBorders>
              <w:top w:val="none" w:color="FFFFFF" w:sz="0"/>
              <w:left w:val="none" w:color="FFFFFF" w:sz="0"/>
              <w:bottom w:val="none" w:color="FFFFFF" w:sz="0"/>
              <w:right w:val="none" w:color="FFFFFF" w:sz="0"/>
            </w:tcBorders>
          </w:tcPr>
          <w:p>
            <w:r>
              <w:t xml:space="preserve"/>
            </w:r>
          </w:p>
        </w:tc>
        <w:tc>
          <w:tcPr>
            <w:tcW w:type="dxa" w:w="4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80" w:before="0"/>
            </w:pPr>
            <w:r>
              <w:rPr>
                <w:rFonts w:ascii="Arial" w:cs="Arial" w:eastAsia="Arial" w:hAnsi="Arial"/>
                <w:b/>
                <w:bCs/>
                <w:color w:val="003E6B"/>
                <w:sz w:val="19"/>
                <w:szCs w:val="19"/>
              </w:rPr>
              <w:t xml:space="preserve">Pour l'Institution Partenaire</w:t>
            </w:r>
          </w:p>
          <w:p>
            <w:pPr>
              <w:pBdr>
                <w:bottom w:val="single" w:color="AAAAAA" w:sz="4" w:space="1"/>
              </w:pBdr>
              <w:spacing w:after="80" w:before="400"/>
            </w:pPr>
            <w:r>
              <w:rPr>
                <w:rFonts w:ascii="Arial" w:cs="Arial" w:eastAsia="Arial" w:hAnsi="Arial"/>
                <w:sz w:val="19"/>
                <w:szCs w:val="19"/>
              </w:rPr>
              <w:t xml:space="preserve"/>
            </w:r>
          </w:p>
          <w:p>
            <w:pPr>
              <w:spacing w:after="0" w:before="60"/>
            </w:pPr>
            <w:r>
              <w:rPr>
                <w:rFonts w:ascii="Arial" w:cs="Arial" w:eastAsia="Arial" w:hAnsi="Arial"/>
                <w:color w:val="666666"/>
                <w:sz w:val="18"/>
                <w:szCs w:val="18"/>
              </w:rPr>
              <w:t xml:space="preserve">Nom &amp; Titre :</w:t>
            </w:r>
          </w:p>
          <w:p>
            <w:pPr>
              <w:pBdr>
                <w:bottom w:val="single" w:color="CCCCCC" w:sz="2" w:space="1"/>
              </w:pBdr>
              <w:spacing w:after="80" w:before="240"/>
            </w:pPr>
            <w:r>
              <w:rPr>
                <w:rFonts w:ascii="Arial" w:cs="Arial" w:eastAsia="Arial" w:hAnsi="Arial"/>
                <w:sz w:val="18"/>
                <w:szCs w:val="18"/>
              </w:rPr>
              <w:t xml:space="preserve"/>
            </w:r>
          </w:p>
          <w:p>
            <w:pPr>
              <w:spacing w:after="0" w:before="60"/>
            </w:pPr>
            <w:r>
              <w:rPr>
                <w:rFonts w:ascii="Arial" w:cs="Arial" w:eastAsia="Arial" w:hAnsi="Arial"/>
                <w:color w:val="666666"/>
                <w:sz w:val="18"/>
                <w:szCs w:val="18"/>
              </w:rPr>
              <w:t xml:space="preserve">Date :</w:t>
            </w:r>
          </w:p>
          <w:p>
            <w:pPr>
              <w:pBdr>
                <w:bottom w:val="single" w:color="CCCCCC" w:sz="2" w:space="1"/>
              </w:pBdr>
              <w:spacing w:after="0" w:before="200"/>
            </w:pPr>
            <w:r>
              <w:rPr>
                <w:rFonts w:ascii="Arial" w:cs="Arial" w:eastAsia="Arial" w:hAnsi="Arial"/>
                <w:sz w:val="18"/>
                <w:szCs w:val="18"/>
              </w:rPr>
              <w:t xml:space="preserve"/>
            </w:r>
          </w:p>
        </w:tc>
      </w:tr>
    </w:tbl>
    <w:p>
      <w:pPr>
        <w:spacing w:after="0" w:before="200"/>
      </w:pPr>
      <w:r>
        <w:t xml:space="preserve"/>
      </w:r>
    </w:p>
    <w:p>
      <w:pPr>
        <w:spacing w:after="0" w:before="0"/>
        <w:jc w:val="center"/>
      </w:pPr>
      <w:r>
        <w:rPr>
          <w:rFonts w:ascii="Arial" w:cs="Arial" w:eastAsia="Arial" w:hAnsi="Arial"/>
          <w:i/>
          <w:iCs/>
          <w:color w:val="666666"/>
          <w:sz w:val="16"/>
          <w:szCs w:val="16"/>
        </w:rPr>
        <w:t xml:space="preserve">Caribbean Metadata Standard · caribbeanmetadata.org · CC-BY 4.0 · Caribwood Language Lab, Guadeloupe</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2026-06-06T21:18:48.573Z</dcterms:created>
  <dcterms:modified xsi:type="dcterms:W3CDTF">2026-06-06T21:18:48.573Z</dcterms:modified>
</cp:coreProperties>
</file>

<file path=docProps/custom.xml><?xml version="1.0" encoding="utf-8"?>
<Properties xmlns="http://schemas.openxmlformats.org/officeDocument/2006/custom-properties" xmlns:vt="http://schemas.openxmlformats.org/officeDocument/2006/docPropsVTypes"/>
</file>