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3E6B" w:val="clear"/>
        <w:spacing w:after="0" w:before="0"/>
        <w:ind w:left="200"/>
      </w:pPr>
      <w:r>
        <w:rPr>
          <w:rFonts w:ascii="Arial" w:cs="Arial" w:eastAsia="Arial" w:hAnsi="Arial"/>
          <w:b/>
          <w:bCs/>
          <w:color w:val="FFFFFF"/>
          <w:spacing w:val="100"/>
          <w:sz w:val="20"/>
          <w:szCs w:val="20"/>
        </w:rPr>
        <w:t xml:space="preserve">CARIBBEAN METADATA STANDARD</w:t>
      </w:r>
    </w:p>
    <w:p>
      <w:pPr>
        <w:shd w:fill="003E6B" w:val="clear"/>
        <w:spacing w:after="0" w:before="0"/>
        <w:ind w:left="200"/>
      </w:pPr>
      <w:r>
        <w:rPr>
          <w:rFonts w:ascii="Arial" w:cs="Arial" w:eastAsia="Arial" w:hAnsi="Arial"/>
          <w:b/>
          <w:bCs/>
          <w:color w:val="00C2C7"/>
          <w:sz w:val="20"/>
          <w:szCs w:val="20"/>
        </w:rPr>
        <w:t xml:space="preserve">Institutional Positioning Statement</w:t>
      </w:r>
    </w:p>
    <w:p>
      <w:pPr>
        <w:shd w:fill="003E6B" w:val="clear"/>
        <w:spacing w:after="200" w:before="0"/>
        <w:ind w:left="200"/>
      </w:pPr>
      <w:r>
        <w:rPr>
          <w:rFonts w:ascii="Arial" w:cs="Arial" w:eastAsia="Arial" w:hAnsi="Arial"/>
          <w:i/>
          <w:iCs/>
          <w:color w:val="A8CCDD"/>
          <w:sz w:val="17"/>
          <w:szCs w:val="17"/>
        </w:rPr>
        <w:t xml:space="preserve">Addressed to standardisation bodies, national libraries, cultural and heritage institutions</w:t>
      </w:r>
    </w:p>
    <w:p>
      <w:pPr>
        <w:spacing w:after="0" w:before="200"/>
      </w:pPr>
      <w:r>
        <w:t xml:space="preserve"/>
      </w:r>
    </w:p>
    <w:p>
      <w:pPr>
        <w:spacing w:after="60" w:before="0"/>
      </w:pPr>
      <w:r>
        <w:rPr>
          <w:rFonts w:ascii="Arial" w:cs="Arial" w:eastAsia="Arial" w:hAnsi="Arial"/>
          <w:b/>
          <w:bCs/>
          <w:color w:val="003E6B"/>
          <w:sz w:val="34"/>
          <w:szCs w:val="34"/>
        </w:rPr>
        <w:t xml:space="preserve">Caribbean Metadata Standard (CMS v2.0)</w:t>
      </w:r>
    </w:p>
    <w:p>
      <w:pPr>
        <w:spacing w:after="160" w:before="0"/>
      </w:pPr>
      <w:r>
        <w:rPr>
          <w:rFonts w:ascii="Arial" w:cs="Arial" w:eastAsia="Arial" w:hAnsi="Arial"/>
          <w:i/>
          <w:iCs/>
          <w:color w:val="00C2C7"/>
          <w:sz w:val="22"/>
          <w:szCs w:val="22"/>
        </w:rPr>
        <w:t xml:space="preserve">The first open metadata standard for Caribbean cultural content</w:t>
      </w:r>
    </w:p>
    <w:p>
      <w:pPr>
        <w:pBdr>
          <w:bottom w:val="single" w:color="00C2C7" w:sz="3" w:space="1"/>
        </w:pBdr>
        <w:spacing w:after="1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Promoter</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Caribwood Language Lab — Guadeloupe, Caribbean</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Version</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CMS v2.0 — June 2026</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Status</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Open standard, active, international recognition in progress</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Licence</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Creative Commons CC-BY 4.0 — free use with attribution</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Official site</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caribbeanmetadata.org</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Open data corpus</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github.com/heso73/cms-nlp-corpus</w:t>
            </w:r>
          </w:p>
        </w:tc>
      </w:tr>
      <w:tr>
        <w:tc>
          <w:tcPr>
            <w:tcW w:type="dxa" w:w="28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9"/>
                <w:szCs w:val="19"/>
              </w:rPr>
              <w:t xml:space="preserve">Contact</w:t>
            </w:r>
          </w:p>
        </w:tc>
        <w:tc>
          <w:tcPr>
            <w:tcW w:type="dxa" w:w="65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color w:val="333333"/>
                <w:sz w:val="19"/>
                <w:szCs w:val="19"/>
              </w:rPr>
              <w:t xml:space="preserve">contact@caribbeanmetadata.org</w:t>
            </w:r>
          </w:p>
        </w:tc>
      </w:tr>
    </w:tbl>
    <w:p>
      <w:pPr>
        <w:pBdr>
          <w:left w:val="single" w:color="00C2C7" w:sz="10" w:space="6"/>
        </w:pBdr>
        <w:spacing w:after="80" w:before="340"/>
        <w:ind w:left="140"/>
      </w:pPr>
      <w:r>
        <w:rPr>
          <w:rFonts w:ascii="Arial" w:cs="Arial" w:eastAsia="Arial" w:hAnsi="Arial"/>
          <w:b/>
          <w:bCs/>
          <w:color w:val="00C2C7"/>
          <w:spacing w:val="60"/>
          <w:sz w:val="17"/>
          <w:szCs w:val="17"/>
        </w:rPr>
        <w:t xml:space="preserve">1. CONTEXT AND PURPOSE</w:t>
      </w:r>
    </w:p>
    <w:p>
      <w:pPr>
        <w:spacing w:after="60" w:before="60"/>
        <w:jc w:val="both"/>
      </w:pPr>
      <w:r>
        <w:rPr>
          <w:rFonts w:ascii="Arial" w:cs="Arial" w:eastAsia="Arial" w:hAnsi="Arial"/>
          <w:b w:val="false"/>
          <w:bCs w:val="false"/>
          <w:i w:val="false"/>
          <w:iCs w:val="false"/>
          <w:color w:val="333333"/>
          <w:sz w:val="20"/>
          <w:szCs w:val="20"/>
        </w:rPr>
        <w:t xml:space="preserve">Caribbean cultural content — films, music, literary works, intangible heritage — is systematically misindexed on global digital platforms. Existing metadata standards (Dublin Core, schema.org, EBUCore, MARC 21) provide general frameworks that fail to represent the specificities of Caribbean languages, genres, cultural practices and territorial identity.</w:t>
      </w:r>
    </w:p>
    <w:p>
      <w:pPr>
        <w:spacing w:after="0" w:before="60"/>
      </w:pPr>
      <w:r>
        <w:t xml:space="preserve"/>
      </w:r>
    </w:p>
    <w:p>
      <w:pPr>
        <w:spacing w:after="60" w:before="60"/>
        <w:jc w:val="both"/>
      </w:pPr>
      <w:r>
        <w:rPr>
          <w:rFonts w:ascii="Arial" w:cs="Arial" w:eastAsia="Arial" w:hAnsi="Arial"/>
          <w:b w:val="false"/>
          <w:bCs w:val="false"/>
          <w:i w:val="false"/>
          <w:iCs w:val="false"/>
          <w:color w:val="333333"/>
          <w:sz w:val="20"/>
          <w:szCs w:val="20"/>
        </w:rPr>
        <w:t xml:space="preserve">This gap produces three documented effects:</w:t>
      </w:r>
    </w:p>
    <w:p>
      <w:pPr>
        <w:pStyle w:val="ListParagraph"/>
        <w:numPr>
          <w:ilvl w:val="0"/>
          <w:numId w:val="2"/>
        </w:numPr>
        <w:spacing w:after="40" w:before="40"/>
      </w:pPr>
      <w:r>
        <w:rPr>
          <w:rFonts w:ascii="Arial" w:cs="Arial" w:eastAsia="Arial" w:hAnsi="Arial"/>
          <w:color w:val="333333"/>
          <w:sz w:val="20"/>
          <w:szCs w:val="20"/>
        </w:rPr>
        <w:t xml:space="preserve">systematic misclassification of Caribbean content by streaming and recommendation platforms;</w:t>
      </w:r>
    </w:p>
    <w:p>
      <w:pPr>
        <w:pStyle w:val="ListParagraph"/>
        <w:numPr>
          <w:ilvl w:val="0"/>
          <w:numId w:val="2"/>
        </w:numPr>
        <w:spacing w:after="40" w:before="40"/>
      </w:pPr>
      <w:r>
        <w:rPr>
          <w:rFonts w:ascii="Arial" w:cs="Arial" w:eastAsia="Arial" w:hAnsi="Arial"/>
          <w:color w:val="333333"/>
          <w:sz w:val="20"/>
          <w:szCs w:val="20"/>
        </w:rPr>
        <w:t xml:space="preserve">under-representation in search engines and recommendation systems;</w:t>
      </w:r>
    </w:p>
    <w:p>
      <w:pPr>
        <w:pStyle w:val="ListParagraph"/>
        <w:numPr>
          <w:ilvl w:val="0"/>
          <w:numId w:val="2"/>
        </w:numPr>
        <w:spacing w:after="40" w:before="40"/>
      </w:pPr>
      <w:r>
        <w:rPr>
          <w:rFonts w:ascii="Arial" w:cs="Arial" w:eastAsia="Arial" w:hAnsi="Arial"/>
          <w:color w:val="333333"/>
          <w:sz w:val="20"/>
          <w:szCs w:val="20"/>
        </w:rPr>
        <w:t xml:space="preserve">dilution of Caribbean cultural identity into inaccurate generic categories.</w:t>
      </w:r>
    </w:p>
    <w:p>
      <w:pPr>
        <w:spacing w:after="0" w:before="60"/>
      </w:pPr>
      <w:r>
        <w:t xml:space="preserve"/>
      </w:r>
    </w:p>
    <w:p>
      <w:pPr>
        <w:spacing w:after="60" w:before="60"/>
        <w:jc w:val="both"/>
      </w:pPr>
      <w:r>
        <w:rPr>
          <w:rFonts w:ascii="Arial" w:cs="Arial" w:eastAsia="Arial" w:hAnsi="Arial"/>
          <w:b w:val="false"/>
          <w:bCs w:val="false"/>
          <w:i w:val="false"/>
          <w:iCs w:val="false"/>
          <w:color w:val="333333"/>
          <w:sz w:val="20"/>
          <w:szCs w:val="20"/>
        </w:rPr>
        <w:t xml:space="preserve">The Caribbean Metadata Standard addresses this by defining a Caribbean semantic layer, complementary to existing standards and fully interoperable with them.</w:t>
      </w:r>
    </w:p>
    <w:p>
      <w:pPr>
        <w:pBdr>
          <w:left w:val="single" w:color="00C2C7" w:sz="10" w:space="6"/>
        </w:pBdr>
        <w:spacing w:after="80" w:before="340"/>
        <w:ind w:left="140"/>
      </w:pPr>
      <w:r>
        <w:rPr>
          <w:rFonts w:ascii="Arial" w:cs="Arial" w:eastAsia="Arial" w:hAnsi="Arial"/>
          <w:b/>
          <w:bCs/>
          <w:color w:val="00C2C7"/>
          <w:spacing w:val="60"/>
          <w:sz w:val="17"/>
          <w:szCs w:val="17"/>
        </w:rPr>
        <w:t xml:space="preserve">2. TECHNICAL DESCRIPTION</w:t>
      </w:r>
    </w:p>
    <w:p>
      <w:pPr>
        <w:spacing w:after="60" w:before="60"/>
        <w:jc w:val="both"/>
      </w:pPr>
      <w:r>
        <w:rPr>
          <w:rFonts w:ascii="Arial" w:cs="Arial" w:eastAsia="Arial" w:hAnsi="Arial"/>
          <w:b w:val="false"/>
          <w:bCs w:val="false"/>
          <w:i w:val="false"/>
          <w:iCs w:val="false"/>
          <w:color w:val="333333"/>
          <w:sz w:val="20"/>
          <w:szCs w:val="20"/>
        </w:rPr>
        <w:t xml:space="preserve">CMS v2.0 structures Caribbean cultural metadata across six families: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Family</w:t>
            </w:r>
          </w:p>
        </w:tc>
        <w:tc>
          <w:tcPr>
            <w:tcW w:type="dxa" w:w="368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Key Fields</w:t>
            </w:r>
          </w:p>
        </w:tc>
        <w:tc>
          <w:tcPr>
            <w:tcW w:type="dxa" w:w="368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Standard Alignment</w:t>
            </w:r>
          </w:p>
        </w:tc>
      </w:tr>
      <w:tr>
        <w:tc>
          <w:tcPr>
            <w:tcW w:type="dxa" w:w="20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Linguistic</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cms:linguistic_marker, cms:code_switching</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dc:language, schema:inLanguage, MARC 041</w:t>
            </w:r>
          </w:p>
        </w:tc>
      </w:tr>
      <w:tr>
        <w:tc>
          <w:tcPr>
            <w:tcW w:type="dxa" w:w="20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Cultural</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cms:cultural_markers[ ]</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dc:subject, schema:keywords, EBUCore genre</w:t>
            </w:r>
          </w:p>
        </w:tc>
      </w:tr>
      <w:tr>
        <w:tc>
          <w:tcPr>
            <w:tcW w:type="dxa" w:w="20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Narrative</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cms:narrative_genre</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dc:type, schema:genre, EBUCore contentType</w:t>
            </w:r>
          </w:p>
        </w:tc>
      </w:tr>
      <w:tr>
        <w:tc>
          <w:tcPr>
            <w:tcW w:type="dxa" w:w="20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Rhythmic</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cms:rhythmic_tempo</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EBUCore audioFormat (extension)</w:t>
            </w:r>
          </w:p>
        </w:tc>
      </w:tr>
      <w:tr>
        <w:tc>
          <w:tcPr>
            <w:tcW w:type="dxa" w:w="20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Geographic</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cms:territory, cms:environment</w:t>
            </w:r>
          </w:p>
        </w:tc>
        <w:tc>
          <w:tcPr>
            <w:tcW w:type="dxa" w:w="36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dc:coverage, schema:locationCreated, MARC 651</w:t>
            </w:r>
          </w:p>
        </w:tc>
      </w:tr>
      <w:tr>
        <w:tc>
          <w:tcPr>
            <w:tcW w:type="dxa" w:w="20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Socio-historical</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cms:sociohistorical_markers[ ]</w:t>
            </w:r>
          </w:p>
        </w:tc>
        <w:tc>
          <w:tcPr>
            <w:tcW w:type="dxa" w:w="36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dc:subject, schema:about, MARC 650</w:t>
            </w:r>
          </w:p>
        </w:tc>
      </w:tr>
    </w:tbl>
    <w:p>
      <w:pPr>
        <w:spacing w:after="0" w:before="80"/>
      </w:pPr>
      <w:r>
        <w:t xml:space="preserve"/>
      </w:r>
    </w:p>
    <w:p>
      <w:pPr>
        <w:spacing w:after="60" w:before="60"/>
        <w:jc w:val="both"/>
      </w:pPr>
      <w:r>
        <w:rPr>
          <w:rFonts w:ascii="Arial" w:cs="Arial" w:eastAsia="Arial" w:hAnsi="Arial"/>
          <w:b w:val="false"/>
          <w:bCs w:val="false"/>
          <w:i w:val="false"/>
          <w:iCs w:val="false"/>
          <w:color w:val="333333"/>
          <w:sz w:val="20"/>
          <w:szCs w:val="20"/>
        </w:rPr>
        <w:t xml:space="preserve">The CMS is not a replacement standard. It extends existing standards through a dedicated namespace (https://caribbeanmetadata.org/ns/) and additional fields readable by schema.org and Dublin Core-compliant systems.</w:t>
      </w:r>
    </w:p>
    <w:p>
      <w:pPr>
        <w:pBdr>
          <w:left w:val="single" w:color="00C2C7" w:sz="10" w:space="6"/>
        </w:pBdr>
        <w:spacing w:after="80" w:before="340"/>
        <w:ind w:left="140"/>
      </w:pPr>
      <w:r>
        <w:rPr>
          <w:rFonts w:ascii="Arial" w:cs="Arial" w:eastAsia="Arial" w:hAnsi="Arial"/>
          <w:b/>
          <w:bCs/>
          <w:color w:val="00C2C7"/>
          <w:spacing w:val="60"/>
          <w:sz w:val="17"/>
          <w:szCs w:val="17"/>
        </w:rPr>
        <w:t xml:space="preserve">3. REFERENCE CORPUS</w:t>
      </w:r>
    </w:p>
    <w:p>
      <w:pPr>
        <w:spacing w:after="60" w:before="60"/>
        <w:jc w:val="both"/>
      </w:pPr>
      <w:r>
        <w:rPr>
          <w:rFonts w:ascii="Arial" w:cs="Arial" w:eastAsia="Arial" w:hAnsi="Arial"/>
          <w:b w:val="false"/>
          <w:bCs w:val="false"/>
          <w:i w:val="false"/>
          <w:iCs w:val="false"/>
          <w:color w:val="333333"/>
          <w:sz w:val="20"/>
          <w:szCs w:val="20"/>
        </w:rPr>
        <w:t xml:space="preserve">The CMS is accompanied by an open data reference corpus — the first structured and validated Caribbean cultural dataset:</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0"/>
        <w:gridCol w:w="1870"/>
        <w:gridCol w:w="1870"/>
        <w:gridCol w:w="1870"/>
        <w:gridCol w:w="1880"/>
      </w:tblGrid>
      <w:tr>
        <w:tc>
          <w:tcPr>
            <w:tcW w:type="dxa" w:w="1870"/>
            <w:tcBorders>
              <w:top w:val="single" w:color="D0E4ED" w:sz="1"/>
              <w:left w:val="single" w:color="D0E4ED" w:sz="1"/>
              <w:bottom w:val="single" w:color="D0E4ED" w:sz="1"/>
              <w:right w:val="single" w:color="D0E4ED" w:sz="1"/>
            </w:tcBorders>
            <w:shd w:fill="F0F7FA" w:val="clear"/>
            <w:tcMar>
              <w:top w:type="dxa" w:w="100"/>
              <w:left w:type="dxa" w:w="100"/>
              <w:bottom w:type="dxa" w:w="100"/>
              <w:right w:type="dxa" w:w="100"/>
            </w:tcMar>
            <w:vAlign w:val="center"/>
          </w:tcPr>
          <w:p>
            <w:pPr>
              <w:jc w:val="center"/>
            </w:pPr>
            <w:r>
              <w:rPr>
                <w:rFonts w:ascii="Arial" w:cs="Arial" w:eastAsia="Arial" w:hAnsi="Arial"/>
                <w:b/>
                <w:bCs/>
                <w:color w:val="00C2C7"/>
                <w:sz w:val="40"/>
                <w:szCs w:val="40"/>
              </w:rPr>
              <w:t xml:space="preserve">110</w:t>
            </w:r>
          </w:p>
          <w:p>
            <w:pPr>
              <w:jc w:val="center"/>
            </w:pPr>
            <w:r>
              <w:rPr>
                <w:rFonts w:ascii="Arial" w:cs="Arial" w:eastAsia="Arial" w:hAnsi="Arial"/>
                <w:color w:val="666666"/>
                <w:sz w:val="16"/>
                <w:szCs w:val="16"/>
              </w:rPr>
              <w:t xml:space="preserve">Records</w:t>
            </w:r>
          </w:p>
        </w:tc>
        <w:tc>
          <w:tcPr>
            <w:tcW w:type="dxa" w:w="1870"/>
            <w:tcBorders>
              <w:top w:val="single" w:color="D0E4ED" w:sz="1"/>
              <w:left w:val="single" w:color="D0E4ED" w:sz="1"/>
              <w:bottom w:val="single" w:color="D0E4ED" w:sz="1"/>
              <w:right w:val="single" w:color="D0E4ED" w:sz="1"/>
            </w:tcBorders>
            <w:shd w:fill="F0F7FA" w:val="clear"/>
            <w:tcMar>
              <w:top w:type="dxa" w:w="100"/>
              <w:left w:type="dxa" w:w="100"/>
              <w:bottom w:type="dxa" w:w="100"/>
              <w:right w:type="dxa" w:w="100"/>
            </w:tcMar>
            <w:vAlign w:val="center"/>
          </w:tcPr>
          <w:p>
            <w:pPr>
              <w:jc w:val="center"/>
            </w:pPr>
            <w:r>
              <w:rPr>
                <w:rFonts w:ascii="Arial" w:cs="Arial" w:eastAsia="Arial" w:hAnsi="Arial"/>
                <w:b/>
                <w:bCs/>
                <w:color w:val="00C2C7"/>
                <w:sz w:val="40"/>
                <w:szCs w:val="40"/>
              </w:rPr>
              <w:t xml:space="preserve">10</w:t>
            </w:r>
          </w:p>
          <w:p>
            <w:pPr>
              <w:jc w:val="center"/>
            </w:pPr>
            <w:r>
              <w:rPr>
                <w:rFonts w:ascii="Arial" w:cs="Arial" w:eastAsia="Arial" w:hAnsi="Arial"/>
                <w:color w:val="666666"/>
                <w:sz w:val="16"/>
                <w:szCs w:val="16"/>
              </w:rPr>
              <w:t xml:space="preserve">Languages</w:t>
            </w:r>
          </w:p>
        </w:tc>
        <w:tc>
          <w:tcPr>
            <w:tcW w:type="dxa" w:w="1870"/>
            <w:tcBorders>
              <w:top w:val="single" w:color="D0E4ED" w:sz="1"/>
              <w:left w:val="single" w:color="D0E4ED" w:sz="1"/>
              <w:bottom w:val="single" w:color="D0E4ED" w:sz="1"/>
              <w:right w:val="single" w:color="D0E4ED" w:sz="1"/>
            </w:tcBorders>
            <w:shd w:fill="F0F7FA" w:val="clear"/>
            <w:tcMar>
              <w:top w:type="dxa" w:w="100"/>
              <w:left w:type="dxa" w:w="100"/>
              <w:bottom w:type="dxa" w:w="100"/>
              <w:right w:type="dxa" w:w="100"/>
            </w:tcMar>
            <w:vAlign w:val="center"/>
          </w:tcPr>
          <w:p>
            <w:pPr>
              <w:jc w:val="center"/>
            </w:pPr>
            <w:r>
              <w:rPr>
                <w:rFonts w:ascii="Arial" w:cs="Arial" w:eastAsia="Arial" w:hAnsi="Arial"/>
                <w:b/>
                <w:bCs/>
                <w:color w:val="00C2C7"/>
                <w:sz w:val="40"/>
                <w:szCs w:val="40"/>
              </w:rPr>
              <w:t xml:space="preserve">27</w:t>
            </w:r>
          </w:p>
          <w:p>
            <w:pPr>
              <w:jc w:val="center"/>
            </w:pPr>
            <w:r>
              <w:rPr>
                <w:rFonts w:ascii="Arial" w:cs="Arial" w:eastAsia="Arial" w:hAnsi="Arial"/>
                <w:color w:val="666666"/>
                <w:sz w:val="16"/>
                <w:szCs w:val="16"/>
              </w:rPr>
              <w:t xml:space="preserve">Cultural Markers</w:t>
            </w:r>
          </w:p>
        </w:tc>
        <w:tc>
          <w:tcPr>
            <w:tcW w:type="dxa" w:w="1870"/>
            <w:tcBorders>
              <w:top w:val="single" w:color="D0E4ED" w:sz="1"/>
              <w:left w:val="single" w:color="D0E4ED" w:sz="1"/>
              <w:bottom w:val="single" w:color="D0E4ED" w:sz="1"/>
              <w:right w:val="single" w:color="D0E4ED" w:sz="1"/>
            </w:tcBorders>
            <w:shd w:fill="F0F7FA" w:val="clear"/>
            <w:tcMar>
              <w:top w:type="dxa" w:w="100"/>
              <w:left w:type="dxa" w:w="100"/>
              <w:bottom w:type="dxa" w:w="100"/>
              <w:right w:type="dxa" w:w="100"/>
            </w:tcMar>
            <w:vAlign w:val="center"/>
          </w:tcPr>
          <w:p>
            <w:pPr>
              <w:jc w:val="center"/>
            </w:pPr>
            <w:r>
              <w:rPr>
                <w:rFonts w:ascii="Arial" w:cs="Arial" w:eastAsia="Arial" w:hAnsi="Arial"/>
                <w:b/>
                <w:bCs/>
                <w:color w:val="00C2C7"/>
                <w:sz w:val="40"/>
                <w:szCs w:val="40"/>
              </w:rPr>
              <w:t xml:space="preserve">17</w:t>
            </w:r>
          </w:p>
          <w:p>
            <w:pPr>
              <w:jc w:val="center"/>
            </w:pPr>
            <w:r>
              <w:rPr>
                <w:rFonts w:ascii="Arial" w:cs="Arial" w:eastAsia="Arial" w:hAnsi="Arial"/>
                <w:color w:val="666666"/>
                <w:sz w:val="16"/>
                <w:szCs w:val="16"/>
              </w:rPr>
              <w:t xml:space="preserve">Territories</w:t>
            </w:r>
          </w:p>
        </w:tc>
        <w:tc>
          <w:tcPr>
            <w:tcW w:type="dxa" w:w="1870"/>
            <w:tcBorders>
              <w:top w:val="single" w:color="D0E4ED" w:sz="1"/>
              <w:left w:val="single" w:color="D0E4ED" w:sz="1"/>
              <w:bottom w:val="single" w:color="D0E4ED" w:sz="1"/>
              <w:right w:val="single" w:color="D0E4ED" w:sz="1"/>
            </w:tcBorders>
            <w:shd w:fill="F0F7FA" w:val="clear"/>
            <w:tcMar>
              <w:top w:type="dxa" w:w="100"/>
              <w:left w:type="dxa" w:w="100"/>
              <w:bottom w:type="dxa" w:w="100"/>
              <w:right w:type="dxa" w:w="100"/>
            </w:tcMar>
            <w:vAlign w:val="center"/>
          </w:tcPr>
          <w:p>
            <w:pPr>
              <w:jc w:val="center"/>
            </w:pPr>
            <w:r>
              <w:rPr>
                <w:rFonts w:ascii="Arial" w:cs="Arial" w:eastAsia="Arial" w:hAnsi="Arial"/>
                <w:b/>
                <w:bCs/>
                <w:color w:val="00C2C7"/>
                <w:sz w:val="40"/>
                <w:szCs w:val="40"/>
              </w:rPr>
              <w:t xml:space="preserve">14</w:t>
            </w:r>
          </w:p>
          <w:p>
            <w:pPr>
              <w:jc w:val="center"/>
            </w:pPr>
            <w:r>
              <w:rPr>
                <w:rFonts w:ascii="Arial" w:cs="Arial" w:eastAsia="Arial" w:hAnsi="Arial"/>
                <w:color w:val="666666"/>
                <w:sz w:val="16"/>
                <w:szCs w:val="16"/>
              </w:rPr>
              <w:t xml:space="preserve">Cultural Domains</w:t>
            </w:r>
          </w:p>
        </w:tc>
      </w:tr>
    </w:tbl>
    <w:p>
      <w:pPr>
        <w:spacing w:after="0" w:before="80"/>
      </w:pPr>
      <w:r>
        <w:t xml:space="preserve"/>
      </w:r>
    </w:p>
    <w:p>
      <w:pPr>
        <w:spacing w:after="60" w:before="60"/>
        <w:jc w:val="both"/>
      </w:pPr>
      <w:r>
        <w:rPr>
          <w:rFonts w:ascii="Arial" w:cs="Arial" w:eastAsia="Arial" w:hAnsi="Arial"/>
          <w:b w:val="false"/>
          <w:bCs w:val="false"/>
          <w:i/>
          <w:iCs/>
          <w:color w:val="666666"/>
          <w:sz w:val="20"/>
          <w:szCs w:val="20"/>
        </w:rPr>
        <w:t xml:space="preserve">CC-BY 4.0 licence · Available at: github.com/heso73/cms-nlp-corpus</w:t>
      </w:r>
    </w:p>
    <w:p>
      <w:pPr>
        <w:pBdr>
          <w:left w:val="single" w:color="00C2C7" w:sz="10" w:space="6"/>
        </w:pBdr>
        <w:spacing w:after="80" w:before="340"/>
        <w:ind w:left="140"/>
      </w:pPr>
      <w:r>
        <w:rPr>
          <w:rFonts w:ascii="Arial" w:cs="Arial" w:eastAsia="Arial" w:hAnsi="Arial"/>
          <w:b/>
          <w:bCs/>
          <w:color w:val="00C2C7"/>
          <w:spacing w:val="60"/>
          <w:sz w:val="17"/>
          <w:szCs w:val="17"/>
        </w:rPr>
        <w:t xml:space="preserve">4. ALIGNMENT WITH INTERNATIONAL STANDARDS</w:t>
      </w:r>
    </w:p>
    <w:p>
      <w:pPr>
        <w:spacing w:after="60" w:before="60"/>
        <w:jc w:val="both"/>
      </w:pPr>
      <w:r>
        <w:rPr>
          <w:rFonts w:ascii="Arial" w:cs="Arial" w:eastAsia="Arial" w:hAnsi="Arial"/>
          <w:b w:val="false"/>
          <w:bCs w:val="false"/>
          <w:i w:val="false"/>
          <w:iCs w:val="false"/>
          <w:color w:val="333333"/>
          <w:sz w:val="20"/>
          <w:szCs w:val="20"/>
        </w:rPr>
        <w:t xml:space="preserve">The CMS has been designed in accordance with the principal international standards and reference frameworks:</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Standard</w:t>
            </w:r>
          </w:p>
        </w:tc>
        <w:tc>
          <w:tcPr>
            <w:tcW w:type="dxa" w:w="696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Nature of alignment</w:t>
            </w:r>
          </w:p>
        </w:tc>
      </w:tr>
      <w:tr>
        <w:tc>
          <w:tcPr>
            <w:tcW w:type="dxa" w:w="24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Dublin Core</w:t>
            </w:r>
          </w:p>
        </w:tc>
        <w:tc>
          <w:tcPr>
            <w:tcW w:type="dxa" w:w="69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Direct extension — CMS fields map to dc:subject, dc:language, dc:coverage, dc:type</w:t>
            </w:r>
          </w:p>
        </w:tc>
      </w:tr>
      <w:tr>
        <w:tc>
          <w:tcPr>
            <w:tcW w:type="dxa" w:w="24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schema.org</w:t>
            </w:r>
          </w:p>
        </w:tc>
        <w:tc>
          <w:tcPr>
            <w:tcW w:type="dxa" w:w="696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Native JSON-LD — CMS fields integrated as additionalProperty or dedicated fields</w:t>
            </w:r>
          </w:p>
        </w:tc>
      </w:tr>
      <w:tr>
        <w:tc>
          <w:tcPr>
            <w:tcW w:type="dxa" w:w="24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EBUCore</w:t>
            </w:r>
          </w:p>
        </w:tc>
        <w:tc>
          <w:tcPr>
            <w:tcW w:type="dxa" w:w="69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Audiovisual alignment — cms:narrative_genre and cms:rhythmic_tempo complement EBUCore contentType</w:t>
            </w:r>
          </w:p>
        </w:tc>
      </w:tr>
      <w:tr>
        <w:tc>
          <w:tcPr>
            <w:tcW w:type="dxa" w:w="24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MARC 21</w:t>
            </w:r>
          </w:p>
        </w:tc>
        <w:tc>
          <w:tcPr>
            <w:tcW w:type="dxa" w:w="696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Documented mappings for fields 041, 650, 651, 655 — library cataloguing compatible</w:t>
            </w:r>
          </w:p>
        </w:tc>
      </w:tr>
      <w:tr>
        <w:tc>
          <w:tcPr>
            <w:tcW w:type="dxa" w:w="24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IFLA LRM</w:t>
            </w:r>
          </w:p>
        </w:tc>
        <w:tc>
          <w:tcPr>
            <w:tcW w:type="dxa" w:w="696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Coherent with IFLA Library Reference Model — Res, Agent, Place, Timespan entities</w:t>
            </w:r>
          </w:p>
        </w:tc>
      </w:tr>
      <w:tr>
        <w:tc>
          <w:tcPr>
            <w:tcW w:type="dxa" w:w="24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ISO 639-3</w:t>
            </w:r>
          </w:p>
        </w:tc>
        <w:tc>
          <w:tcPr>
            <w:tcW w:type="dxa" w:w="696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ISO 639-3 language codes used natively for all Caribbean languages</w:t>
            </w:r>
          </w:p>
        </w:tc>
      </w:tr>
    </w:tbl>
    <w:p>
      <w:pPr>
        <w:pBdr>
          <w:left w:val="single" w:color="00C2C7" w:sz="10" w:space="6"/>
        </w:pBdr>
        <w:spacing w:after="80" w:before="340"/>
        <w:ind w:left="140"/>
      </w:pPr>
      <w:r>
        <w:rPr>
          <w:rFonts w:ascii="Arial" w:cs="Arial" w:eastAsia="Arial" w:hAnsi="Arial"/>
          <w:b/>
          <w:bCs/>
          <w:color w:val="00C2C7"/>
          <w:spacing w:val="60"/>
          <w:sz w:val="17"/>
          <w:szCs w:val="17"/>
        </w:rPr>
        <w:t xml:space="preserve">5. INTERNATIONAL RECOGNITION IN PROGRESS</w:t>
      </w:r>
    </w:p>
    <w:p>
      <w:pPr>
        <w:spacing w:after="60" w:before="60"/>
        <w:jc w:val="both"/>
      </w:pPr>
      <w:r>
        <w:rPr>
          <w:rFonts w:ascii="Arial" w:cs="Arial" w:eastAsia="Arial" w:hAnsi="Arial"/>
          <w:b w:val="false"/>
          <w:bCs w:val="false"/>
          <w:i w:val="false"/>
          <w:iCs w:val="false"/>
          <w:color w:val="333333"/>
          <w:sz w:val="20"/>
          <w:szCs w:val="20"/>
        </w:rPr>
        <w:t xml:space="preserve">The following formal recognition processes are currently underway: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Institution</w:t>
            </w:r>
          </w:p>
        </w:tc>
        <w:tc>
          <w:tcPr>
            <w:tcW w:type="dxa" w:w="308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Process</w:t>
            </w:r>
          </w:p>
        </w:tc>
        <w:tc>
          <w:tcPr>
            <w:tcW w:type="dxa" w:w="3080"/>
            <w:tcBorders>
              <w:top w:val="single" w:color="D0E4ED" w:sz="1"/>
              <w:left w:val="single" w:color="D0E4ED" w:sz="1"/>
              <w:bottom w:val="single" w:color="D0E4ED" w:sz="1"/>
              <w:right w:val="single" w:color="D0E4ED" w:sz="1"/>
            </w:tcBorders>
            <w:shd w:fill="003E6B" w:val="clear"/>
            <w:tcMar>
              <w:top w:type="dxa" w:w="80"/>
              <w:left w:type="dxa" w:w="140"/>
              <w:bottom w:type="dxa" w:w="80"/>
              <w:right w:type="dxa" w:w="120"/>
            </w:tcMar>
          </w:tcPr>
          <w:p>
            <w:r>
              <w:rPr>
                <w:rFonts w:ascii="Arial" w:cs="Arial" w:eastAsia="Arial" w:hAnsi="Arial"/>
                <w:b/>
                <w:bCs/>
                <w:color w:val="FFFFFF"/>
                <w:sz w:val="18"/>
                <w:szCs w:val="18"/>
              </w:rPr>
              <w:t xml:space="preserve">Status</w:t>
            </w:r>
          </w:p>
        </w:tc>
      </w:tr>
      <w:tr>
        <w:tc>
          <w:tcPr>
            <w:tcW w:type="dxa" w:w="32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IFLA METATEC</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Review for inclusion in IFLA metadata recommendations</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Under review — May 2026</w:t>
            </w:r>
          </w:p>
        </w:tc>
      </w:tr>
      <w:tr>
        <w:tc>
          <w:tcPr>
            <w:tcW w:type="dxa" w:w="32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CROSQ CARICOM</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New Work Item Proposal (NWIP) — Caribbean regional standard</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NWIP submitted — May 2026</w:t>
            </w:r>
          </w:p>
        </w:tc>
      </w:tr>
      <w:tr>
        <w:tc>
          <w:tcPr>
            <w:tcW w:type="dxa" w:w="32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AFNOR / ISO TC 46</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Submission to ISO Information and documentation committee</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Submitted — May 2026</w:t>
            </w:r>
          </w:p>
        </w:tc>
      </w:tr>
      <w:tr>
        <w:tc>
          <w:tcPr>
            <w:tcW w:type="dxa" w:w="32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UNESCO — ICH</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Alignment with Intangible Cultural Heritage programme</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Submitted — May 2026</w:t>
            </w:r>
          </w:p>
        </w:tc>
      </w:tr>
      <w:tr>
        <w:tc>
          <w:tcPr>
            <w:tcW w:type="dxa" w:w="32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W3C</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schema.org / JSON-LD alignment</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Submitted — May 2026</w:t>
            </w:r>
          </w:p>
        </w:tc>
      </w:tr>
      <w:tr>
        <w:tc>
          <w:tcPr>
            <w:tcW w:type="dxa" w:w="32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Dublin Core Metadata Initiative</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Dublin Core vocabulary extension</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Submitted — May 2026</w:t>
            </w:r>
          </w:p>
        </w:tc>
      </w:tr>
      <w:tr>
        <w:tc>
          <w:tcPr>
            <w:tcW w:type="dxa" w:w="32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WIPO</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Rights and intellectual property metadata</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Submitted — May 2026</w:t>
            </w:r>
          </w:p>
        </w:tc>
      </w:tr>
      <w:tr>
        <w:tc>
          <w:tcPr>
            <w:tcW w:type="dxa" w:w="320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bCs/>
                <w:color w:val="003E6B"/>
                <w:sz w:val="18"/>
                <w:szCs w:val="18"/>
              </w:rPr>
              <w:t xml:space="preserve">ACURIL</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Association of Caribbean University Libraries</w:t>
            </w:r>
          </w:p>
        </w:tc>
        <w:tc>
          <w:tcPr>
            <w:tcW w:type="dxa" w:w="3080"/>
            <w:tcBorders>
              <w:top w:val="single" w:color="D0E4ED" w:sz="1"/>
              <w:left w:val="single" w:color="D0E4ED" w:sz="1"/>
              <w:bottom w:val="single" w:color="D0E4ED" w:sz="1"/>
              <w:right w:val="single" w:color="D0E4ED" w:sz="1"/>
            </w:tcBorders>
            <w:shd w:fill="F0F7FA" w:val="clear"/>
            <w:tcMar>
              <w:top w:type="dxa" w:w="80"/>
              <w:left w:type="dxa" w:w="140"/>
              <w:bottom w:type="dxa" w:w="80"/>
              <w:right w:type="dxa" w:w="120"/>
            </w:tcMar>
          </w:tcPr>
          <w:p>
            <w:r>
              <w:rPr>
                <w:rFonts w:ascii="Arial" w:cs="Arial" w:eastAsia="Arial" w:hAnsi="Arial"/>
                <w:b w:val="false"/>
                <w:bCs w:val="false"/>
                <w:color w:val="444444"/>
                <w:sz w:val="18"/>
                <w:szCs w:val="18"/>
              </w:rPr>
              <w:t xml:space="preserve">Submitted — May 2026</w:t>
            </w:r>
          </w:p>
        </w:tc>
      </w:tr>
      <w:tr>
        <w:tc>
          <w:tcPr>
            <w:tcW w:type="dxa" w:w="320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bCs/>
                <w:color w:val="003E6B"/>
                <w:sz w:val="18"/>
                <w:szCs w:val="18"/>
              </w:rPr>
              <w:t xml:space="preserve">ACS-AEC</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Association of Caribbean States</w:t>
            </w:r>
          </w:p>
        </w:tc>
        <w:tc>
          <w:tcPr>
            <w:tcW w:type="dxa" w:w="3080"/>
            <w:tcBorders>
              <w:top w:val="single" w:color="D0E4ED" w:sz="1"/>
              <w:left w:val="single" w:color="D0E4ED" w:sz="1"/>
              <w:bottom w:val="single" w:color="D0E4ED" w:sz="1"/>
              <w:right w:val="single" w:color="D0E4ED" w:sz="1"/>
            </w:tcBorders>
            <w:shd w:fill="FFFFFF" w:val="clear"/>
            <w:tcMar>
              <w:top w:type="dxa" w:w="80"/>
              <w:left w:type="dxa" w:w="140"/>
              <w:bottom w:type="dxa" w:w="80"/>
              <w:right w:type="dxa" w:w="120"/>
            </w:tcMar>
          </w:tcPr>
          <w:p>
            <w:r>
              <w:rPr>
                <w:rFonts w:ascii="Arial" w:cs="Arial" w:eastAsia="Arial" w:hAnsi="Arial"/>
                <w:b w:val="false"/>
                <w:bCs w:val="false"/>
                <w:color w:val="444444"/>
                <w:sz w:val="18"/>
                <w:szCs w:val="18"/>
              </w:rPr>
              <w:t xml:space="preserve">Submitted — May 2026</w:t>
            </w:r>
          </w:p>
        </w:tc>
      </w:tr>
    </w:tbl>
    <w:p>
      <w:pPr>
        <w:pBdr>
          <w:left w:val="single" w:color="00C2C7" w:sz="10" w:space="6"/>
        </w:pBdr>
        <w:spacing w:after="80" w:before="340"/>
        <w:ind w:left="140"/>
      </w:pPr>
      <w:r>
        <w:rPr>
          <w:rFonts w:ascii="Arial" w:cs="Arial" w:eastAsia="Arial" w:hAnsi="Arial"/>
          <w:b/>
          <w:bCs/>
          <w:color w:val="00C2C7"/>
          <w:spacing w:val="60"/>
          <w:sz w:val="17"/>
          <w:szCs w:val="17"/>
        </w:rPr>
        <w:t xml:space="preserve">6. GOVERNANCE AND OPEN NATURE</w:t>
      </w:r>
    </w:p>
    <w:p>
      <w:pPr>
        <w:spacing w:after="60" w:before="60"/>
        <w:jc w:val="both"/>
      </w:pPr>
      <w:r>
        <w:rPr>
          <w:rFonts w:ascii="Arial" w:cs="Arial" w:eastAsia="Arial" w:hAnsi="Arial"/>
          <w:b w:val="false"/>
          <w:bCs w:val="false"/>
          <w:i w:val="false"/>
          <w:iCs w:val="false"/>
          <w:color w:val="333333"/>
          <w:sz w:val="20"/>
          <w:szCs w:val="20"/>
        </w:rPr>
        <w:t xml:space="preserve">The CMS is a Caribbean regional common good, managed according to the following principles:</w:t>
      </w:r>
    </w:p>
    <w:p>
      <w:pPr>
        <w:pStyle w:val="ListParagraph"/>
        <w:numPr>
          <w:ilvl w:val="0"/>
          <w:numId w:val="2"/>
        </w:numPr>
        <w:spacing w:after="40" w:before="40"/>
      </w:pPr>
      <w:r>
        <w:rPr>
          <w:rFonts w:ascii="Arial" w:cs="Arial" w:eastAsia="Arial" w:hAnsi="Arial"/>
          <w:color w:val="333333"/>
          <w:sz w:val="20"/>
          <w:szCs w:val="20"/>
        </w:rPr>
        <w:t xml:space="preserve">Fully open standard — CC-BY 4.0 licence, free to use, adapt and redistribute</w:t>
      </w:r>
    </w:p>
    <w:p>
      <w:pPr>
        <w:pStyle w:val="ListParagraph"/>
        <w:numPr>
          <w:ilvl w:val="0"/>
          <w:numId w:val="2"/>
        </w:numPr>
        <w:spacing w:after="40" w:before="40"/>
      </w:pPr>
      <w:r>
        <w:rPr>
          <w:rFonts w:ascii="Arial" w:cs="Arial" w:eastAsia="Arial" w:hAnsi="Arial"/>
          <w:color w:val="333333"/>
          <w:sz w:val="20"/>
          <w:szCs w:val="20"/>
        </w:rPr>
        <w:t xml:space="preserve">No commercial consideration — adoption and use are free of charge</w:t>
      </w:r>
    </w:p>
    <w:p>
      <w:pPr>
        <w:pStyle w:val="ListParagraph"/>
        <w:numPr>
          <w:ilvl w:val="0"/>
          <w:numId w:val="2"/>
        </w:numPr>
        <w:spacing w:after="40" w:before="40"/>
      </w:pPr>
      <w:r>
        <w:rPr>
          <w:rFonts w:ascii="Arial" w:cs="Arial" w:eastAsia="Arial" w:hAnsi="Arial"/>
          <w:color w:val="333333"/>
          <w:sz w:val="20"/>
          <w:szCs w:val="20"/>
        </w:rPr>
        <w:t xml:space="preserve">Transitional governance — the Caribwood Language Lab currently manages operations and commits to transferring governance to an independent Caribbean Technical Committee once 5 Caribbean institutions have officially adopted the standard</w:t>
      </w:r>
    </w:p>
    <w:p>
      <w:pPr>
        <w:pStyle w:val="ListParagraph"/>
        <w:numPr>
          <w:ilvl w:val="0"/>
          <w:numId w:val="2"/>
        </w:numPr>
        <w:spacing w:after="40" w:before="40"/>
      </w:pPr>
      <w:r>
        <w:rPr>
          <w:rFonts w:ascii="Arial" w:cs="Arial" w:eastAsia="Arial" w:hAnsi="Arial"/>
          <w:color w:val="333333"/>
          <w:sz w:val="20"/>
          <w:szCs w:val="20"/>
        </w:rPr>
        <w:t xml:space="preserve">Participatory evolution — any Caribbean institution may propose new markers or fields via the documented process on GitHub</w:t>
      </w:r>
    </w:p>
    <w:p>
      <w:pPr>
        <w:spacing w:after="0" w:before="120"/>
      </w:pPr>
      <w:r>
        <w:t xml:space="preserve"/>
      </w:r>
    </w:p>
    <w:p>
      <w:pPr>
        <w:pBdr>
          <w:left w:val="single" w:color="00C2C7" w:sz="12" w:space="8"/>
        </w:pBdr>
        <w:spacing w:after="80" w:before="80"/>
        <w:ind w:left="400"/>
      </w:pPr>
      <w:r>
        <w:rPr>
          <w:rFonts w:ascii="Arial" w:cs="Arial" w:eastAsia="Arial" w:hAnsi="Arial"/>
          <w:i/>
          <w:iCs/>
          <w:color w:val="003E6B"/>
          <w:sz w:val="20"/>
          <w:szCs w:val="20"/>
        </w:rPr>
        <w:t xml:space="preserve">"The CMS is more than a technical tool. It is a declaration of cultural sovereignty."</w:t>
      </w:r>
    </w:p>
    <w:p>
      <w:pPr>
        <w:pBdr>
          <w:left w:val="single" w:color="00C2C7" w:sz="10" w:space="6"/>
        </w:pBdr>
        <w:spacing w:after="80" w:before="340"/>
        <w:ind w:left="140"/>
      </w:pPr>
      <w:r>
        <w:rPr>
          <w:rFonts w:ascii="Arial" w:cs="Arial" w:eastAsia="Arial" w:hAnsi="Arial"/>
          <w:b/>
          <w:bCs/>
          <w:color w:val="00C2C7"/>
          <w:spacing w:val="60"/>
          <w:sz w:val="17"/>
          <w:szCs w:val="17"/>
        </w:rPr>
        <w:t xml:space="preserve">7. INVITATION TO COOPERATE</w:t>
      </w:r>
    </w:p>
    <w:p>
      <w:pPr>
        <w:spacing w:after="60" w:before="60"/>
        <w:jc w:val="both"/>
      </w:pPr>
      <w:r>
        <w:rPr>
          <w:rFonts w:ascii="Arial" w:cs="Arial" w:eastAsia="Arial" w:hAnsi="Arial"/>
          <w:b w:val="false"/>
          <w:bCs w:val="false"/>
          <w:i w:val="false"/>
          <w:iCs w:val="false"/>
          <w:color w:val="333333"/>
          <w:sz w:val="20"/>
          <w:szCs w:val="20"/>
        </w:rPr>
        <w:t xml:space="preserve">The Caribwood Language Lab invites interested organisations and institutions to:</w:t>
      </w:r>
    </w:p>
    <w:p>
      <w:pPr>
        <w:pStyle w:val="ListParagraph"/>
        <w:numPr>
          <w:ilvl w:val="0"/>
          <w:numId w:val="2"/>
        </w:numPr>
        <w:spacing w:after="40" w:before="40"/>
      </w:pPr>
      <w:r>
        <w:rPr>
          <w:rFonts w:ascii="Arial" w:cs="Arial" w:eastAsia="Arial" w:hAnsi="Arial"/>
          <w:color w:val="333333"/>
          <w:sz w:val="20"/>
          <w:szCs w:val="20"/>
        </w:rPr>
        <w:t xml:space="preserve">Review the technical documentation available at caribbeanmetadata.org and github.com/heso73/cms-nlp-corpus</w:t>
      </w:r>
    </w:p>
    <w:p>
      <w:pPr>
        <w:pStyle w:val="ListParagraph"/>
        <w:numPr>
          <w:ilvl w:val="0"/>
          <w:numId w:val="2"/>
        </w:numPr>
        <w:spacing w:after="40" w:before="40"/>
      </w:pPr>
      <w:r>
        <w:rPr>
          <w:rFonts w:ascii="Arial" w:cs="Arial" w:eastAsia="Arial" w:hAnsi="Arial"/>
          <w:color w:val="333333"/>
          <w:sz w:val="20"/>
          <w:szCs w:val="20"/>
        </w:rPr>
        <w:t xml:space="preserve">Engage in technical dialogue on alignment modalities with their respective reference frameworks</w:t>
      </w:r>
    </w:p>
    <w:p>
      <w:pPr>
        <w:pStyle w:val="ListParagraph"/>
        <w:numPr>
          <w:ilvl w:val="0"/>
          <w:numId w:val="2"/>
        </w:numPr>
        <w:spacing w:after="40" w:before="40"/>
      </w:pPr>
      <w:r>
        <w:rPr>
          <w:rFonts w:ascii="Arial" w:cs="Arial" w:eastAsia="Arial" w:hAnsi="Arial"/>
          <w:color w:val="333333"/>
          <w:sz w:val="20"/>
          <w:szCs w:val="20"/>
        </w:rPr>
        <w:t xml:space="preserve">Formalise their support or partnership through the adoption agreement available on request</w:t>
      </w:r>
    </w:p>
    <w:p>
      <w:pPr>
        <w:pStyle w:val="ListParagraph"/>
        <w:numPr>
          <w:ilvl w:val="0"/>
          <w:numId w:val="2"/>
        </w:numPr>
        <w:spacing w:after="40" w:before="40"/>
      </w:pPr>
      <w:r>
        <w:rPr>
          <w:rFonts w:ascii="Arial" w:cs="Arial" w:eastAsia="Arial" w:hAnsi="Arial"/>
          <w:color w:val="333333"/>
          <w:sz w:val="20"/>
          <w:szCs w:val="20"/>
        </w:rPr>
        <w:t xml:space="preserve">Contribute to corpus enrichment and standard evolution</w:t>
      </w:r>
    </w:p>
    <w:p>
      <w:pPr>
        <w:spacing w:after="0" w:before="80"/>
      </w:pPr>
      <w:r>
        <w:t xml:space="preserve"/>
      </w:r>
    </w:p>
    <w:p>
      <w:pPr>
        <w:spacing w:after="60" w:before="60"/>
        <w:jc w:val="both"/>
      </w:pPr>
      <w:r>
        <w:rPr>
          <w:rFonts w:ascii="Arial" w:cs="Arial" w:eastAsia="Arial" w:hAnsi="Arial"/>
          <w:b w:val="false"/>
          <w:bCs w:val="false"/>
          <w:i w:val="false"/>
          <w:iCs w:val="false"/>
          <w:color w:val="333333"/>
          <w:sz w:val="20"/>
          <w:szCs w:val="20"/>
        </w:rPr>
        <w:t xml:space="preserve">All enquiries — informational, technical or institutional — should be addressed to:</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E4ED" w:sz="1"/>
              <w:left w:val="single" w:color="D0E4ED" w:sz="1"/>
              <w:bottom w:val="single" w:color="D0E4ED" w:sz="1"/>
              <w:right w:val="single" w:color="D0E4ED" w:sz="1"/>
            </w:tcBorders>
            <w:shd w:fill="F0F7FA" w:val="clear"/>
            <w:tcMar>
              <w:top w:type="dxa" w:w="160"/>
              <w:left w:type="dxa" w:w="240"/>
              <w:bottom w:type="dxa" w:w="160"/>
              <w:right w:type="dxa" w:w="240"/>
            </w:tcMar>
          </w:tcPr>
          <w:p>
            <w:pPr>
              <w:spacing w:after="60" w:before="0"/>
            </w:pPr>
            <w:r>
              <w:rPr>
                <w:rFonts w:ascii="Arial" w:cs="Arial" w:eastAsia="Arial" w:hAnsi="Arial"/>
                <w:b/>
                <w:bCs/>
                <w:color w:val="003E6B"/>
                <w:sz w:val="21"/>
                <w:szCs w:val="21"/>
              </w:rPr>
              <w:t xml:space="preserve">Caribbean Metadata Standard — Caribwood Language Lab</w:t>
            </w:r>
          </w:p>
          <w:p>
            <w:pPr>
              <w:spacing w:after="60" w:before="0"/>
            </w:pPr>
            <w:r>
              <w:rPr>
                <w:rFonts w:ascii="Arial" w:cs="Arial" w:eastAsia="Arial" w:hAnsi="Arial"/>
                <w:color w:val="666666"/>
                <w:sz w:val="20"/>
                <w:szCs w:val="20"/>
              </w:rPr>
              <w:t xml:space="preserve">Guadeloupe, Caribbean</w:t>
            </w:r>
          </w:p>
          <w:p>
            <w:pPr>
              <w:spacing w:after="0" w:before="0"/>
            </w:pPr>
            <w:r>
              <w:rPr>
                <w:rFonts w:ascii="Arial" w:cs="Arial" w:eastAsia="Arial" w:hAnsi="Arial"/>
                <w:color w:val="00C2C7"/>
                <w:sz w:val="20"/>
                <w:szCs w:val="20"/>
              </w:rPr>
              <w:t xml:space="preserve">contact@caribbeanmetadata.org  ·  caribbeanmetadata.org</w:t>
            </w:r>
          </w:p>
        </w:tc>
      </w:tr>
    </w:tbl>
    <w:p>
      <w:pPr>
        <w:spacing w:after="0" w:before="160"/>
      </w:pPr>
      <w:r>
        <w:t xml:space="preserve"/>
      </w:r>
    </w:p>
    <w:p>
      <w:pPr>
        <w:pBdr>
          <w:bottom w:val="single" w:color="00C2C7" w:sz="3" w:space="1"/>
        </w:pBdr>
        <w:spacing w:after="140" w:before="0"/>
      </w:pPr>
      <w:r>
        <w:t xml:space="preserve"/>
      </w:r>
    </w:p>
    <w:p>
      <w:pPr>
        <w:spacing w:after="0" w:before="80"/>
        <w:jc w:val="center"/>
      </w:pPr>
      <w:r>
        <w:rPr>
          <w:rFonts w:ascii="Arial" w:cs="Arial" w:eastAsia="Arial" w:hAnsi="Arial"/>
          <w:i/>
          <w:iCs/>
          <w:color w:val="666666"/>
          <w:sz w:val="16"/>
          <w:szCs w:val="16"/>
        </w:rPr>
        <w:t xml:space="preserve">Caribbean Metadata Standard v2.0 · CC-BY 4.0 · Caribwood Language Lab, Guadeloupe · caribbeanmetadata.org · June 2026</w:t>
      </w:r>
    </w:p>
    <w:sectPr>
      <w:pgSz w:w="11906" w:h="16838"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2026-06-06T21:28:46.038Z</dcterms:created>
  <dcterms:modified xsi:type="dcterms:W3CDTF">2026-06-06T21:28:46.038Z</dcterms:modified>
</cp:coreProperties>
</file>

<file path=docProps/custom.xml><?xml version="1.0" encoding="utf-8"?>
<Properties xmlns="http://schemas.openxmlformats.org/officeDocument/2006/custom-properties" xmlns:vt="http://schemas.openxmlformats.org/officeDocument/2006/docPropsVTypes"/>
</file>