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3E6B" w:val="clear"/>
        <w:spacing w:after="0" w:before="0"/>
        <w:ind w:left="200"/>
        <w:jc w:val="left"/>
      </w:pPr>
      <w:r>
        <w:rPr>
          <w:rFonts w:ascii="Arial" w:cs="Arial" w:eastAsia="Arial" w:hAnsi="Arial"/>
          <w:b/>
          <w:bCs/>
          <w:color w:val="FFFFFF"/>
          <w:spacing w:val="120"/>
          <w:sz w:val="20"/>
          <w:szCs w:val="20"/>
        </w:rPr>
        <w:t xml:space="preserve">CARIBBEAN METADATA STANDARD</w:t>
      </w:r>
    </w:p>
    <w:p>
      <w:pPr>
        <w:shd w:fill="003E6B" w:val="clear"/>
        <w:spacing w:after="0" w:before="0"/>
        <w:ind w:left="200"/>
        <w:jc w:val="left"/>
      </w:pPr>
      <w:r>
        <w:rPr>
          <w:rFonts w:ascii="Arial" w:cs="Arial" w:eastAsia="Arial" w:hAnsi="Arial"/>
          <w:i/>
          <w:iCs/>
          <w:color w:val="A8CCDD"/>
          <w:sz w:val="18"/>
          <w:szCs w:val="18"/>
        </w:rPr>
        <w:t xml:space="preserve">Fiche institutionnelle — Juin 2026</w:t>
      </w:r>
    </w:p>
    <w:p>
      <w:pPr>
        <w:shd w:fill="003E6B" w:val="clear"/>
        <w:spacing w:after="200" w:before="0"/>
        <w:ind w:left="200"/>
        <w:jc w:val="left"/>
      </w:pPr>
      <w:r>
        <w:rPr>
          <w:rFonts w:ascii="Arial" w:cs="Arial" w:eastAsia="Arial" w:hAnsi="Arial"/>
          <w:color w:val="00C2C7"/>
          <w:sz w:val="16"/>
          <w:szCs w:val="16"/>
        </w:rPr>
        <w:t xml:space="preserve">caribbeanmetadata.org  ·  contact@caribbeanmetadata.org</w:t>
      </w:r>
    </w:p>
    <w:p>
      <w:pPr>
        <w:spacing w:after="0" w:before="24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03E6B"/>
          <w:sz w:val="44"/>
          <w:szCs w:val="44"/>
        </w:rPr>
        <w:t xml:space="preserve">Structurer la visibilité numérique</w:t>
      </w:r>
    </w:p>
    <w:p>
      <w:pPr>
        <w:spacing w:after="180" w:before="0"/>
      </w:pPr>
      <w:r>
        <w:rPr>
          <w:rFonts w:ascii="Arial" w:cs="Arial" w:eastAsia="Arial" w:hAnsi="Arial"/>
          <w:b/>
          <w:bCs/>
          <w:color w:val="00C2C7"/>
          <w:sz w:val="44"/>
          <w:szCs w:val="44"/>
        </w:rPr>
        <w:t xml:space="preserve">des contenus caribéens.</w:t>
      </w:r>
    </w:p>
    <w:p>
      <w:pPr>
        <w:pBdr>
          <w:bottom w:val="single" w:color="00C2C7" w:sz="6" w:space="1"/>
        </w:pBdr>
        <w:spacing w:after="120" w:before="0"/>
      </w:pPr>
      <w:r>
        <w:t xml:space="preserve"/>
      </w:r>
    </w:p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0"/>
          <w:sz w:val="23"/>
          <w:szCs w:val="23"/>
        </w:rPr>
        <w:t xml:space="preserve">Le Caribbean Metadata Standard (CMS) est le premier cadre ouvert pour décrire, certifier et indexer les œuvres caribéennes sur les plateformes mondiales — sans contrepartie commerciale, dans l'intérêt général de la région.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0C2C7"/>
          <w:spacing w:val="80"/>
          <w:sz w:val="18"/>
          <w:szCs w:val="18"/>
        </w:rPr>
        <w:t xml:space="preserve">01 — LE PROBLÈME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</w:tblGrid>
      <w:tr>
        <w:tc>
          <w:tcPr>
            <w:tcW w:type="dxa" w:w="30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3E6B"/>
                <w:sz w:val="20"/>
                <w:szCs w:val="20"/>
              </w:rPr>
              <w:t xml:space="preserve">A — Mauvaise classification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Les plateformes manquent de catégories pour les genres caribéens, dialectes et nuances culturelles.</w:t>
            </w:r>
          </w:p>
        </w:tc>
        <w:tc>
          <w:tcPr>
            <w:tcW w:type="dxa" w:w="30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3E6B"/>
                <w:sz w:val="20"/>
                <w:szCs w:val="20"/>
              </w:rPr>
              <w:t xml:space="preserve">B — Cécité algorithmique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Les systèmes de recommandation ne peuvent pas promouvoir ce qu'ils ne savent pas interpréter.</w:t>
            </w:r>
          </w:p>
        </w:tc>
        <w:tc>
          <w:tcPr>
            <w:tcW w:type="dxa" w:w="30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3E6B"/>
                <w:sz w:val="20"/>
                <w:szCs w:val="20"/>
              </w:rPr>
              <w:t xml:space="preserve">C — Dilution culturelle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Sans métadonnées adaptées, les contenus caribéens sont forcés dans des catégories génériques inexactes.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0C2C7"/>
          <w:spacing w:val="80"/>
          <w:sz w:val="18"/>
          <w:szCs w:val="18"/>
        </w:rPr>
        <w:t xml:space="preserve">02 — CE QUE FAIT LE CMS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 CMS définit 6 familles de métadonnées spécifiquement conçues pour les œuvres caribéennes 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003E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Famille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003E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Champs CMS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003E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Exemples</w:t>
            </w:r>
          </w:p>
        </w:tc>
      </w:tr>
      <w:tr>
        <w:tc>
          <w:tcPr>
            <w:tcW w:type="dxa" w:w="180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9"/>
                <w:szCs w:val="19"/>
              </w:rPr>
              <w:t xml:space="preserve">01 — Linguistique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cms:linguistic_marker, code_switching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Créole haïtien, FR/Kreyol</w:t>
            </w:r>
          </w:p>
        </w:tc>
      </w:tr>
      <w:tr>
        <w:tc>
          <w:tcPr>
            <w:tcW w:type="dxa" w:w="180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9"/>
                <w:szCs w:val="19"/>
              </w:rPr>
              <w:t xml:space="preserve">02 — Culturelle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cms:cultural_markers[ ]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Carnaval, Vodou, Diaspora</w:t>
            </w:r>
          </w:p>
        </w:tc>
      </w:tr>
      <w:tr>
        <w:tc>
          <w:tcPr>
            <w:tcW w:type="dxa" w:w="180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9"/>
                <w:szCs w:val="19"/>
              </w:rPr>
              <w:t xml:space="preserve">03 — Narrative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cms:narrative_genre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Réalisme magique, Drame social</w:t>
            </w:r>
          </w:p>
        </w:tc>
      </w:tr>
      <w:tr>
        <w:tc>
          <w:tcPr>
            <w:tcW w:type="dxa" w:w="180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9"/>
                <w:szCs w:val="19"/>
              </w:rPr>
              <w:t xml:space="preserve">04 — Rythmique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cms:rhythmic_tempo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Syncopé, Island tempo</w:t>
            </w:r>
          </w:p>
        </w:tc>
      </w:tr>
      <w:tr>
        <w:tc>
          <w:tcPr>
            <w:tcW w:type="dxa" w:w="180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9"/>
                <w:szCs w:val="19"/>
              </w:rPr>
              <w:t xml:space="preserve">05 — Géographique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cms:territory, cms:environment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Haïti, Guadeloupe, Côtier</w:t>
            </w:r>
          </w:p>
        </w:tc>
      </w:tr>
      <w:tr>
        <w:tc>
          <w:tcPr>
            <w:tcW w:type="dxa" w:w="180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9"/>
                <w:szCs w:val="19"/>
              </w:rPr>
              <w:t xml:space="preserve">06 — Socio-historique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cms:sociohistorical_markers[ ]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Identité postcoloniale, Créolisation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0C2C7"/>
          <w:spacing w:val="80"/>
          <w:sz w:val="18"/>
          <w:szCs w:val="18"/>
        </w:rPr>
        <w:t xml:space="preserve">03 — CORPUS OPEN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C7"/>
                <w:sz w:val="52"/>
                <w:szCs w:val="52"/>
              </w:rPr>
              <w:t xml:space="preserve">110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Enregistrements</w:t>
            </w:r>
          </w:p>
        </w:tc>
        <w:tc>
          <w:tcPr>
            <w:tcW w:type="dxa" w:w="234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C7"/>
                <w:sz w:val="52"/>
                <w:szCs w:val="52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Langues</w:t>
            </w:r>
          </w:p>
        </w:tc>
        <w:tc>
          <w:tcPr>
            <w:tcW w:type="dxa" w:w="234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C7"/>
                <w:sz w:val="52"/>
                <w:szCs w:val="52"/>
              </w:rPr>
              <w:t xml:space="preserve">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Marqueurs culturels</w:t>
            </w:r>
          </w:p>
        </w:tc>
        <w:tc>
          <w:tcPr>
            <w:tcW w:type="dxa" w:w="234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C7"/>
                <w:sz w:val="52"/>
                <w:szCs w:val="52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Territoires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Disponible en open source · Licence CC-BY 4.0 · github.com/heso73/cms-nlp-corpus</w:t>
      </w:r>
    </w:p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0C2C7"/>
          <w:spacing w:val="80"/>
          <w:sz w:val="18"/>
          <w:szCs w:val="18"/>
        </w:rPr>
        <w:t xml:space="preserve">04 — UN PROJET D'INTÉRÊT GÉNÉRAL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003E6B"/>
          <w:sz w:val="22"/>
          <w:szCs w:val="22"/>
        </w:rPr>
        <w:t xml:space="preserve">Adhérer au CMS ne coûte rien et n'engage à aucune contrepartie commerciale.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standard est entièrement ouvert (CC-BY 4.0) — libre d'usage, d'adaptation et de redistribution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Aucune licence, aucune redevance, aucun accès payant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Gouvernance régionale indépendante : transfert automatique à un comité caribéen dès 5 institutions adoptantes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Aligné sur les standards internationaux : Dublin Core, schema.org, EBUCore, IFLA, CROSQ</w:t>
      </w:r>
    </w:p>
    <w:p>
      <w:pPr>
        <w:spacing w:after="0" w:before="80"/>
      </w:pPr>
      <w:r>
        <w:t xml:space="preserve"/>
      </w:r>
    </w:p>
    <w:p>
      <w:pPr>
        <w:pBdr>
          <w:left w:val="single" w:color="00C2C7" w:sz="12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003E6B"/>
          <w:sz w:val="22"/>
          <w:szCs w:val="22"/>
        </w:rPr>
        <w:t xml:space="preserve">"Le CMS est plus qu'un outil technique. C'est une déclaration de souveraineté culturelle."</w:t>
      </w:r>
    </w:p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0C2C7"/>
          <w:spacing w:val="80"/>
          <w:sz w:val="18"/>
          <w:szCs w:val="18"/>
        </w:rPr>
        <w:t xml:space="preserve">05 — COMMENT REJOINDRE L'INITIATIVE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00C2C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43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20"/>
                <w:szCs w:val="20"/>
              </w:rPr>
              <w:t xml:space="preserve">Niveau Basic</w:t>
            </w:r>
          </w:p>
        </w:tc>
        <w:tc>
          <w:tcPr>
            <w:tcW w:type="dxa" w:w="43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Accepter les tags CMS comme mots-clés dans vos champs existants — quelques heures de travail.</w:t>
            </w:r>
          </w:p>
        </w:tc>
      </w:tr>
      <w:tr>
        <w:tc>
          <w:tcPr>
            <w:tcW w:type="dxa" w:w="60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00C2C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43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20"/>
                <w:szCs w:val="20"/>
              </w:rPr>
              <w:t xml:space="preserve">Niveau Structuré</w:t>
            </w:r>
          </w:p>
        </w:tc>
        <w:tc>
          <w:tcPr>
            <w:tcW w:type="dxa" w:w="43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Mapper les 6 familles CMS vers des champs dédiés — quelques jours.</w:t>
            </w:r>
          </w:p>
        </w:tc>
      </w:tr>
      <w:tr>
        <w:tc>
          <w:tcPr>
            <w:tcW w:type="dxa" w:w="60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00C2C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43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20"/>
                <w:szCs w:val="20"/>
              </w:rPr>
              <w:t xml:space="preserve">Niveau Natif</w:t>
            </w:r>
          </w:p>
        </w:tc>
        <w:tc>
          <w:tcPr>
            <w:tcW w:type="dxa" w:w="43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Intégrer les 6 familles en champs de premier rang — quelques semaines.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00C2C7" w:sz="6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22"/>
                <w:szCs w:val="22"/>
              </w:rPr>
              <w:t xml:space="preserve">Caribbean Metadata Standard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Caribwood Language Lab · Guadeloupe, Caraïbe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00C2C7"/>
                <w:sz w:val="20"/>
                <w:szCs w:val="20"/>
              </w:rPr>
              <w:t xml:space="preserve">contact@caribbeanmetadata.org</w:t>
            </w:r>
          </w:p>
          <w:p>
            <w:r>
              <w:rPr>
                <w:rFonts w:ascii="Arial" w:cs="Arial" w:eastAsia="Arial" w:hAnsi="Arial"/>
                <w:color w:val="00C2C7"/>
                <w:sz w:val="20"/>
                <w:szCs w:val="20"/>
              </w:rPr>
              <w:t xml:space="preserve">caribbeanmetadata.org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Reconnaissance internationale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IFLA METATEC · CROSQ CARICOM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AFNOR / ISO TC 46 · UNESCO ICH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W3C · Dublin Core · WIPO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2026-06-06T21:11:08.452Z</dcterms:created>
  <dcterms:modified xsi:type="dcterms:W3CDTF">2026-06-06T21:11:08.452Z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