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03E6B" w:val="clear"/>
        <w:spacing w:after="0" w:before="0"/>
        <w:ind w:left="200"/>
      </w:pPr>
      <w:r>
        <w:rPr>
          <w:rFonts w:ascii="Arial" w:cs="Arial" w:eastAsia="Arial" w:hAnsi="Arial"/>
          <w:b/>
          <w:bCs/>
          <w:color w:val="FFFFFF"/>
          <w:spacing w:val="100"/>
          <w:sz w:val="20"/>
          <w:szCs w:val="20"/>
        </w:rPr>
        <w:t xml:space="preserve">CARIBBEAN METADATA STANDARD</w:t>
      </w:r>
    </w:p>
    <w:p>
      <w:pPr>
        <w:shd w:fill="003E6B" w:val="clear"/>
        <w:spacing w:after="0" w:before="0"/>
        <w:ind w:left="200"/>
      </w:pPr>
      <w:r>
        <w:rPr>
          <w:rFonts w:ascii="Arial" w:cs="Arial" w:eastAsia="Arial" w:hAnsi="Arial"/>
          <w:b/>
          <w:bCs/>
          <w:color w:val="00C2C7"/>
          <w:sz w:val="20"/>
          <w:szCs w:val="20"/>
        </w:rPr>
        <w:t xml:space="preserve">Note de positionnement institutionnel</w:t>
      </w:r>
    </w:p>
    <w:p>
      <w:pPr>
        <w:shd w:fill="003E6B" w:val="clear"/>
        <w:spacing w:after="200" w:before="0"/>
        <w:ind w:left="200"/>
      </w:pPr>
      <w:r>
        <w:rPr>
          <w:rFonts w:ascii="Arial" w:cs="Arial" w:eastAsia="Arial" w:hAnsi="Arial"/>
          <w:i/>
          <w:iCs/>
          <w:color w:val="A8CCDD"/>
          <w:sz w:val="17"/>
          <w:szCs w:val="17"/>
        </w:rPr>
        <w:t xml:space="preserve">À l'attention des organismes de standardisation, bibliothèques nationales, instances culturelles et patrimoniales</w:t>
      </w:r>
    </w:p>
    <w:p>
      <w:pPr>
        <w:spacing w:after="0" w:before="200"/>
      </w:pPr>
      <w:r>
        <w:t xml:space="preserve"/>
      </w:r>
    </w:p>
    <w:p>
      <w:pPr>
        <w:spacing w:after="60" w:before="0"/>
      </w:pPr>
      <w:r>
        <w:rPr>
          <w:rFonts w:ascii="Arial" w:cs="Arial" w:eastAsia="Arial" w:hAnsi="Arial"/>
          <w:b/>
          <w:bCs/>
          <w:color w:val="003E6B"/>
          <w:sz w:val="34"/>
          <w:szCs w:val="34"/>
        </w:rPr>
        <w:t xml:space="preserve">Caribbean Metadata Standard (CMS v2.0)</w:t>
      </w:r>
    </w:p>
    <w:p>
      <w:pPr>
        <w:spacing w:after="160" w:before="0"/>
      </w:pPr>
      <w:r>
        <w:rPr>
          <w:rFonts w:ascii="Arial" w:cs="Arial" w:eastAsia="Arial" w:hAnsi="Arial"/>
          <w:i/>
          <w:iCs/>
          <w:color w:val="00C2C7"/>
          <w:sz w:val="22"/>
          <w:szCs w:val="22"/>
        </w:rPr>
        <w:t xml:space="preserve">Premier standard de métadonnées ouvert pour les contenus culturels caribéens</w:t>
      </w:r>
    </w:p>
    <w:p>
      <w:pPr>
        <w:pBdr>
          <w:bottom w:val="single" w:color="00C2C7" w:sz="3" w:space="1"/>
        </w:pBdr>
        <w:spacing w:after="1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E4ED" w:sz="1"/>
              <w:left w:val="single" w:color="D0E4ED" w:sz="1"/>
              <w:bottom w:val="single" w:color="D0E4ED" w:sz="1"/>
              <w:right w:val="single" w:color="D0E4ED" w:sz="1"/>
            </w:tcBorders>
            <w:shd w:fill="F0F7FA" w:val="clear"/>
            <w:tcMar>
              <w:top w:type="dxa" w:w="80"/>
              <w:left w:type="dxa" w:w="140"/>
              <w:bottom w:type="dxa" w:w="80"/>
              <w:right w:type="dxa" w:w="120"/>
            </w:tcMar>
          </w:tcPr>
          <w:p>
            <w:r>
              <w:rPr>
                <w:rFonts w:ascii="Arial" w:cs="Arial" w:eastAsia="Arial" w:hAnsi="Arial"/>
                <w:b/>
                <w:bCs/>
                <w:color w:val="003E6B"/>
                <w:sz w:val="19"/>
                <w:szCs w:val="19"/>
              </w:rPr>
              <w:t xml:space="preserve">Promoteur</w:t>
            </w:r>
          </w:p>
        </w:tc>
        <w:tc>
          <w:tcPr>
            <w:tcW w:type="dxa" w:w="6560"/>
            <w:tcBorders>
              <w:top w:val="single" w:color="D0E4ED" w:sz="1"/>
              <w:left w:val="single" w:color="D0E4ED" w:sz="1"/>
              <w:bottom w:val="single" w:color="D0E4ED" w:sz="1"/>
              <w:right w:val="single" w:color="D0E4ED" w:sz="1"/>
            </w:tcBorders>
            <w:shd w:fill="FFFFFF" w:val="clear"/>
            <w:tcMar>
              <w:top w:type="dxa" w:w="80"/>
              <w:left w:type="dxa" w:w="140"/>
              <w:bottom w:type="dxa" w:w="80"/>
              <w:right w:type="dxa" w:w="120"/>
            </w:tcMar>
          </w:tcPr>
          <w:p>
            <w:r>
              <w:rPr>
                <w:rFonts w:ascii="Arial" w:cs="Arial" w:eastAsia="Arial" w:hAnsi="Arial"/>
                <w:color w:val="333333"/>
                <w:sz w:val="19"/>
                <w:szCs w:val="19"/>
              </w:rPr>
              <w:t xml:space="preserve">Caribwood Language Lab — Guadeloupe, Caraïbe</w:t>
            </w:r>
          </w:p>
        </w:tc>
      </w:tr>
      <w:tr>
        <w:tc>
          <w:tcPr>
            <w:tcW w:type="dxa" w:w="2800"/>
            <w:tcBorders>
              <w:top w:val="single" w:color="D0E4ED" w:sz="1"/>
              <w:left w:val="single" w:color="D0E4ED" w:sz="1"/>
              <w:bottom w:val="single" w:color="D0E4ED" w:sz="1"/>
              <w:right w:val="single" w:color="D0E4ED" w:sz="1"/>
            </w:tcBorders>
            <w:shd w:fill="F0F7FA" w:val="clear"/>
            <w:tcMar>
              <w:top w:type="dxa" w:w="80"/>
              <w:left w:type="dxa" w:w="140"/>
              <w:bottom w:type="dxa" w:w="80"/>
              <w:right w:type="dxa" w:w="120"/>
            </w:tcMar>
          </w:tcPr>
          <w:p>
            <w:r>
              <w:rPr>
                <w:rFonts w:ascii="Arial" w:cs="Arial" w:eastAsia="Arial" w:hAnsi="Arial"/>
                <w:b/>
                <w:bCs/>
                <w:color w:val="003E6B"/>
                <w:sz w:val="19"/>
                <w:szCs w:val="19"/>
              </w:rPr>
              <w:t xml:space="preserve">Version</w:t>
            </w:r>
          </w:p>
        </w:tc>
        <w:tc>
          <w:tcPr>
            <w:tcW w:type="dxa" w:w="6560"/>
            <w:tcBorders>
              <w:top w:val="single" w:color="D0E4ED" w:sz="1"/>
              <w:left w:val="single" w:color="D0E4ED" w:sz="1"/>
              <w:bottom w:val="single" w:color="D0E4ED" w:sz="1"/>
              <w:right w:val="single" w:color="D0E4ED" w:sz="1"/>
            </w:tcBorders>
            <w:shd w:fill="FFFFFF" w:val="clear"/>
            <w:tcMar>
              <w:top w:type="dxa" w:w="80"/>
              <w:left w:type="dxa" w:w="140"/>
              <w:bottom w:type="dxa" w:w="80"/>
              <w:right w:type="dxa" w:w="120"/>
            </w:tcMar>
          </w:tcPr>
          <w:p>
            <w:r>
              <w:rPr>
                <w:rFonts w:ascii="Arial" w:cs="Arial" w:eastAsia="Arial" w:hAnsi="Arial"/>
                <w:color w:val="333333"/>
                <w:sz w:val="19"/>
                <w:szCs w:val="19"/>
              </w:rPr>
              <w:t xml:space="preserve">CMS v2.0 — Juin 2026</w:t>
            </w:r>
          </w:p>
        </w:tc>
      </w:tr>
      <w:tr>
        <w:tc>
          <w:tcPr>
            <w:tcW w:type="dxa" w:w="2800"/>
            <w:tcBorders>
              <w:top w:val="single" w:color="D0E4ED" w:sz="1"/>
              <w:left w:val="single" w:color="D0E4ED" w:sz="1"/>
              <w:bottom w:val="single" w:color="D0E4ED" w:sz="1"/>
              <w:right w:val="single" w:color="D0E4ED" w:sz="1"/>
            </w:tcBorders>
            <w:shd w:fill="F0F7FA" w:val="clear"/>
            <w:tcMar>
              <w:top w:type="dxa" w:w="80"/>
              <w:left w:type="dxa" w:w="140"/>
              <w:bottom w:type="dxa" w:w="80"/>
              <w:right w:type="dxa" w:w="120"/>
            </w:tcMar>
          </w:tcPr>
          <w:p>
            <w:r>
              <w:rPr>
                <w:rFonts w:ascii="Arial" w:cs="Arial" w:eastAsia="Arial" w:hAnsi="Arial"/>
                <w:b/>
                <w:bCs/>
                <w:color w:val="003E6B"/>
                <w:sz w:val="19"/>
                <w:szCs w:val="19"/>
              </w:rPr>
              <w:t xml:space="preserve">Statut</w:t>
            </w:r>
          </w:p>
        </w:tc>
        <w:tc>
          <w:tcPr>
            <w:tcW w:type="dxa" w:w="6560"/>
            <w:tcBorders>
              <w:top w:val="single" w:color="D0E4ED" w:sz="1"/>
              <w:left w:val="single" w:color="D0E4ED" w:sz="1"/>
              <w:bottom w:val="single" w:color="D0E4ED" w:sz="1"/>
              <w:right w:val="single" w:color="D0E4ED" w:sz="1"/>
            </w:tcBorders>
            <w:shd w:fill="FFFFFF" w:val="clear"/>
            <w:tcMar>
              <w:top w:type="dxa" w:w="80"/>
              <w:left w:type="dxa" w:w="140"/>
              <w:bottom w:type="dxa" w:w="80"/>
              <w:right w:type="dxa" w:w="120"/>
            </w:tcMar>
          </w:tcPr>
          <w:p>
            <w:r>
              <w:rPr>
                <w:rFonts w:ascii="Arial" w:cs="Arial" w:eastAsia="Arial" w:hAnsi="Arial"/>
                <w:color w:val="333333"/>
                <w:sz w:val="19"/>
                <w:szCs w:val="19"/>
              </w:rPr>
              <w:t xml:space="preserve">Standard ouvert, actif, en cours de reconnaissance internationale</w:t>
            </w:r>
          </w:p>
        </w:tc>
      </w:tr>
      <w:tr>
        <w:tc>
          <w:tcPr>
            <w:tcW w:type="dxa" w:w="2800"/>
            <w:tcBorders>
              <w:top w:val="single" w:color="D0E4ED" w:sz="1"/>
              <w:left w:val="single" w:color="D0E4ED" w:sz="1"/>
              <w:bottom w:val="single" w:color="D0E4ED" w:sz="1"/>
              <w:right w:val="single" w:color="D0E4ED" w:sz="1"/>
            </w:tcBorders>
            <w:shd w:fill="F0F7FA" w:val="clear"/>
            <w:tcMar>
              <w:top w:type="dxa" w:w="80"/>
              <w:left w:type="dxa" w:w="140"/>
              <w:bottom w:type="dxa" w:w="80"/>
              <w:right w:type="dxa" w:w="120"/>
            </w:tcMar>
          </w:tcPr>
          <w:p>
            <w:r>
              <w:rPr>
                <w:rFonts w:ascii="Arial" w:cs="Arial" w:eastAsia="Arial" w:hAnsi="Arial"/>
                <w:b/>
                <w:bCs/>
                <w:color w:val="003E6B"/>
                <w:sz w:val="19"/>
                <w:szCs w:val="19"/>
              </w:rPr>
              <w:t xml:space="preserve">Licence</w:t>
            </w:r>
          </w:p>
        </w:tc>
        <w:tc>
          <w:tcPr>
            <w:tcW w:type="dxa" w:w="6560"/>
            <w:tcBorders>
              <w:top w:val="single" w:color="D0E4ED" w:sz="1"/>
              <w:left w:val="single" w:color="D0E4ED" w:sz="1"/>
              <w:bottom w:val="single" w:color="D0E4ED" w:sz="1"/>
              <w:right w:val="single" w:color="D0E4ED" w:sz="1"/>
            </w:tcBorders>
            <w:shd w:fill="FFFFFF" w:val="clear"/>
            <w:tcMar>
              <w:top w:type="dxa" w:w="80"/>
              <w:left w:type="dxa" w:w="140"/>
              <w:bottom w:type="dxa" w:w="80"/>
              <w:right w:type="dxa" w:w="120"/>
            </w:tcMar>
          </w:tcPr>
          <w:p>
            <w:r>
              <w:rPr>
                <w:rFonts w:ascii="Arial" w:cs="Arial" w:eastAsia="Arial" w:hAnsi="Arial"/>
                <w:color w:val="333333"/>
                <w:sz w:val="19"/>
                <w:szCs w:val="19"/>
              </w:rPr>
              <w:t xml:space="preserve">Creative Commons CC-BY 4.0 — usage libre avec attribution</w:t>
            </w:r>
          </w:p>
        </w:tc>
      </w:tr>
      <w:tr>
        <w:tc>
          <w:tcPr>
            <w:tcW w:type="dxa" w:w="2800"/>
            <w:tcBorders>
              <w:top w:val="single" w:color="D0E4ED" w:sz="1"/>
              <w:left w:val="single" w:color="D0E4ED" w:sz="1"/>
              <w:bottom w:val="single" w:color="D0E4ED" w:sz="1"/>
              <w:right w:val="single" w:color="D0E4ED" w:sz="1"/>
            </w:tcBorders>
            <w:shd w:fill="F0F7FA" w:val="clear"/>
            <w:tcMar>
              <w:top w:type="dxa" w:w="80"/>
              <w:left w:type="dxa" w:w="140"/>
              <w:bottom w:type="dxa" w:w="80"/>
              <w:right w:type="dxa" w:w="120"/>
            </w:tcMar>
          </w:tcPr>
          <w:p>
            <w:r>
              <w:rPr>
                <w:rFonts w:ascii="Arial" w:cs="Arial" w:eastAsia="Arial" w:hAnsi="Arial"/>
                <w:b/>
                <w:bCs/>
                <w:color w:val="003E6B"/>
                <w:sz w:val="19"/>
                <w:szCs w:val="19"/>
              </w:rPr>
              <w:t xml:space="preserve">Site officiel</w:t>
            </w:r>
          </w:p>
        </w:tc>
        <w:tc>
          <w:tcPr>
            <w:tcW w:type="dxa" w:w="6560"/>
            <w:tcBorders>
              <w:top w:val="single" w:color="D0E4ED" w:sz="1"/>
              <w:left w:val="single" w:color="D0E4ED" w:sz="1"/>
              <w:bottom w:val="single" w:color="D0E4ED" w:sz="1"/>
              <w:right w:val="single" w:color="D0E4ED" w:sz="1"/>
            </w:tcBorders>
            <w:shd w:fill="FFFFFF" w:val="clear"/>
            <w:tcMar>
              <w:top w:type="dxa" w:w="80"/>
              <w:left w:type="dxa" w:w="140"/>
              <w:bottom w:type="dxa" w:w="80"/>
              <w:right w:type="dxa" w:w="120"/>
            </w:tcMar>
          </w:tcPr>
          <w:p>
            <w:r>
              <w:rPr>
                <w:rFonts w:ascii="Arial" w:cs="Arial" w:eastAsia="Arial" w:hAnsi="Arial"/>
                <w:color w:val="333333"/>
                <w:sz w:val="19"/>
                <w:szCs w:val="19"/>
              </w:rPr>
              <w:t xml:space="preserve">caribbeanmetadata.org</w:t>
            </w:r>
          </w:p>
        </w:tc>
      </w:tr>
      <w:tr>
        <w:tc>
          <w:tcPr>
            <w:tcW w:type="dxa" w:w="2800"/>
            <w:tcBorders>
              <w:top w:val="single" w:color="D0E4ED" w:sz="1"/>
              <w:left w:val="single" w:color="D0E4ED" w:sz="1"/>
              <w:bottom w:val="single" w:color="D0E4ED" w:sz="1"/>
              <w:right w:val="single" w:color="D0E4ED" w:sz="1"/>
            </w:tcBorders>
            <w:shd w:fill="F0F7FA" w:val="clear"/>
            <w:tcMar>
              <w:top w:type="dxa" w:w="80"/>
              <w:left w:type="dxa" w:w="140"/>
              <w:bottom w:type="dxa" w:w="80"/>
              <w:right w:type="dxa" w:w="120"/>
            </w:tcMar>
          </w:tcPr>
          <w:p>
            <w:r>
              <w:rPr>
                <w:rFonts w:ascii="Arial" w:cs="Arial" w:eastAsia="Arial" w:hAnsi="Arial"/>
                <w:b/>
                <w:bCs/>
                <w:color w:val="003E6B"/>
                <w:sz w:val="19"/>
                <w:szCs w:val="19"/>
              </w:rPr>
              <w:t xml:space="preserve">Corpus open data</w:t>
            </w:r>
          </w:p>
        </w:tc>
        <w:tc>
          <w:tcPr>
            <w:tcW w:type="dxa" w:w="6560"/>
            <w:tcBorders>
              <w:top w:val="single" w:color="D0E4ED" w:sz="1"/>
              <w:left w:val="single" w:color="D0E4ED" w:sz="1"/>
              <w:bottom w:val="single" w:color="D0E4ED" w:sz="1"/>
              <w:right w:val="single" w:color="D0E4ED" w:sz="1"/>
            </w:tcBorders>
            <w:shd w:fill="FFFFFF" w:val="clear"/>
            <w:tcMar>
              <w:top w:type="dxa" w:w="80"/>
              <w:left w:type="dxa" w:w="140"/>
              <w:bottom w:type="dxa" w:w="80"/>
              <w:right w:type="dxa" w:w="120"/>
            </w:tcMar>
          </w:tcPr>
          <w:p>
            <w:r>
              <w:rPr>
                <w:rFonts w:ascii="Arial" w:cs="Arial" w:eastAsia="Arial" w:hAnsi="Arial"/>
                <w:color w:val="333333"/>
                <w:sz w:val="19"/>
                <w:szCs w:val="19"/>
              </w:rPr>
              <w:t xml:space="preserve">github.com/heso73/cms-nlp-corpus</w:t>
            </w:r>
          </w:p>
        </w:tc>
      </w:tr>
      <w:tr>
        <w:tc>
          <w:tcPr>
            <w:tcW w:type="dxa" w:w="2800"/>
            <w:tcBorders>
              <w:top w:val="single" w:color="D0E4ED" w:sz="1"/>
              <w:left w:val="single" w:color="D0E4ED" w:sz="1"/>
              <w:bottom w:val="single" w:color="D0E4ED" w:sz="1"/>
              <w:right w:val="single" w:color="D0E4ED" w:sz="1"/>
            </w:tcBorders>
            <w:shd w:fill="F0F7FA" w:val="clear"/>
            <w:tcMar>
              <w:top w:type="dxa" w:w="80"/>
              <w:left w:type="dxa" w:w="140"/>
              <w:bottom w:type="dxa" w:w="80"/>
              <w:right w:type="dxa" w:w="120"/>
            </w:tcMar>
          </w:tcPr>
          <w:p>
            <w:r>
              <w:rPr>
                <w:rFonts w:ascii="Arial" w:cs="Arial" w:eastAsia="Arial" w:hAnsi="Arial"/>
                <w:b/>
                <w:bCs/>
                <w:color w:val="003E6B"/>
                <w:sz w:val="19"/>
                <w:szCs w:val="19"/>
              </w:rPr>
              <w:t xml:space="preserve">Contact</w:t>
            </w:r>
          </w:p>
        </w:tc>
        <w:tc>
          <w:tcPr>
            <w:tcW w:type="dxa" w:w="6560"/>
            <w:tcBorders>
              <w:top w:val="single" w:color="D0E4ED" w:sz="1"/>
              <w:left w:val="single" w:color="D0E4ED" w:sz="1"/>
              <w:bottom w:val="single" w:color="D0E4ED" w:sz="1"/>
              <w:right w:val="single" w:color="D0E4ED" w:sz="1"/>
            </w:tcBorders>
            <w:shd w:fill="FFFFFF" w:val="clear"/>
            <w:tcMar>
              <w:top w:type="dxa" w:w="80"/>
              <w:left w:type="dxa" w:w="140"/>
              <w:bottom w:type="dxa" w:w="80"/>
              <w:right w:type="dxa" w:w="120"/>
            </w:tcMar>
          </w:tcPr>
          <w:p>
            <w:r>
              <w:rPr>
                <w:rFonts w:ascii="Arial" w:cs="Arial" w:eastAsia="Arial" w:hAnsi="Arial"/>
                <w:color w:val="333333"/>
                <w:sz w:val="19"/>
                <w:szCs w:val="19"/>
              </w:rPr>
              <w:t xml:space="preserve">contact@caribbeanmetadata.org</w:t>
            </w:r>
          </w:p>
        </w:tc>
      </w:tr>
    </w:tbl>
    <w:p>
      <w:pPr>
        <w:pBdr>
          <w:left w:val="single" w:color="00C2C7" w:sz="10" w:space="6"/>
        </w:pBdr>
        <w:spacing w:after="80" w:before="340"/>
        <w:ind w:left="140"/>
      </w:pPr>
      <w:r>
        <w:rPr>
          <w:rFonts w:ascii="Arial" w:cs="Arial" w:eastAsia="Arial" w:hAnsi="Arial"/>
          <w:b/>
          <w:bCs/>
          <w:color w:val="00C2C7"/>
          <w:spacing w:val="60"/>
          <w:sz w:val="17"/>
          <w:szCs w:val="17"/>
        </w:rPr>
        <w:t xml:space="preserve">1. CONTEXTE ET RAISON D'ÊTRE</w:t>
      </w:r>
    </w:p>
    <w:p>
      <w:pPr>
        <w:spacing w:after="60" w:before="60"/>
        <w:jc w:val="both"/>
      </w:pPr>
      <w:r>
        <w:rPr>
          <w:rFonts w:ascii="Arial" w:cs="Arial" w:eastAsia="Arial" w:hAnsi="Arial"/>
          <w:b w:val="false"/>
          <w:bCs w:val="false"/>
          <w:i w:val="false"/>
          <w:iCs w:val="false"/>
          <w:color w:val="333333"/>
          <w:sz w:val="20"/>
          <w:szCs w:val="20"/>
        </w:rPr>
        <w:t xml:space="preserve">Les contenus culturels caribéens — films, musiques, œuvres littéraires, patrimoine immatériel — sont systématiquement mal indexés sur les plateformes numériales mondiales. Les standards de métadonnées existants (Dublin Core, schema.org, EBUCore, MARC 21) offrent des cadres généraux qui ne permettent pas de représenter les spécificités des langues, genres, pratiques culturelles et ancrage territorial caribéens.</w:t>
      </w:r>
    </w:p>
    <w:p>
      <w:pPr>
        <w:spacing w:after="0" w:before="60"/>
      </w:pPr>
      <w:r>
        <w:t xml:space="preserve"/>
      </w:r>
    </w:p>
    <w:p>
      <w:pPr>
        <w:spacing w:after="60" w:before="60"/>
        <w:jc w:val="both"/>
      </w:pPr>
      <w:r>
        <w:rPr>
          <w:rFonts w:ascii="Arial" w:cs="Arial" w:eastAsia="Arial" w:hAnsi="Arial"/>
          <w:b w:val="false"/>
          <w:bCs w:val="false"/>
          <w:i w:val="false"/>
          <w:iCs w:val="false"/>
          <w:color w:val="333333"/>
          <w:sz w:val="20"/>
          <w:szCs w:val="20"/>
        </w:rPr>
        <w:t xml:space="preserve">Cette lacune produit trois effets documentés :</w:t>
      </w:r>
    </w:p>
    <w:p>
      <w:pPr>
        <w:pStyle w:val="ListParagraph"/>
        <w:numPr>
          <w:ilvl w:val="0"/>
          <w:numId w:val="2"/>
        </w:numPr>
        <w:spacing w:after="40" w:before="40"/>
      </w:pPr>
      <w:r>
        <w:rPr>
          <w:rFonts w:ascii="Arial" w:cs="Arial" w:eastAsia="Arial" w:hAnsi="Arial"/>
          <w:color w:val="333333"/>
          <w:sz w:val="20"/>
          <w:szCs w:val="20"/>
        </w:rPr>
        <w:t xml:space="preserve">une mauvaise classification algorithmique des contenus caribéens sur les plateformes de streaming et de recommandation ;</w:t>
      </w:r>
    </w:p>
    <w:p>
      <w:pPr>
        <w:pStyle w:val="ListParagraph"/>
        <w:numPr>
          <w:ilvl w:val="0"/>
          <w:numId w:val="2"/>
        </w:numPr>
        <w:spacing w:after="40" w:before="40"/>
      </w:pPr>
      <w:r>
        <w:rPr>
          <w:rFonts w:ascii="Arial" w:cs="Arial" w:eastAsia="Arial" w:hAnsi="Arial"/>
          <w:color w:val="333333"/>
          <w:sz w:val="20"/>
          <w:szCs w:val="20"/>
        </w:rPr>
        <w:t xml:space="preserve">une sous-représentation dans les moteurs de recherche et les systèmes de recommandation ;</w:t>
      </w:r>
    </w:p>
    <w:p>
      <w:pPr>
        <w:pStyle w:val="ListParagraph"/>
        <w:numPr>
          <w:ilvl w:val="0"/>
          <w:numId w:val="2"/>
        </w:numPr>
        <w:spacing w:after="40" w:before="40"/>
      </w:pPr>
      <w:r>
        <w:rPr>
          <w:rFonts w:ascii="Arial" w:cs="Arial" w:eastAsia="Arial" w:hAnsi="Arial"/>
          <w:color w:val="333333"/>
          <w:sz w:val="20"/>
          <w:szCs w:val="20"/>
        </w:rPr>
        <w:t xml:space="preserve">une dilution de l'identité culturelle caribéenne dans des catégories génériques inexactes.</w:t>
      </w:r>
    </w:p>
    <w:p>
      <w:pPr>
        <w:spacing w:after="0" w:before="60"/>
      </w:pPr>
      <w:r>
        <w:t xml:space="preserve"/>
      </w:r>
    </w:p>
    <w:p>
      <w:pPr>
        <w:spacing w:after="60" w:before="60"/>
        <w:jc w:val="both"/>
      </w:pPr>
      <w:r>
        <w:rPr>
          <w:rFonts w:ascii="Arial" w:cs="Arial" w:eastAsia="Arial" w:hAnsi="Arial"/>
          <w:b w:val="false"/>
          <w:bCs w:val="false"/>
          <w:i w:val="false"/>
          <w:iCs w:val="false"/>
          <w:color w:val="333333"/>
          <w:sz w:val="20"/>
          <w:szCs w:val="20"/>
        </w:rPr>
        <w:t xml:space="preserve">Le Caribbean Metadata Standard répond à ce problème en définissant une couche sémantique caribéenne, complémentaire aux standards existants et interopérable avec eux.</w:t>
      </w:r>
    </w:p>
    <w:p>
      <w:pPr>
        <w:pBdr>
          <w:left w:val="single" w:color="00C2C7" w:sz="10" w:space="6"/>
        </w:pBdr>
        <w:spacing w:after="80" w:before="340"/>
        <w:ind w:left="140"/>
      </w:pPr>
      <w:r>
        <w:rPr>
          <w:rFonts w:ascii="Arial" w:cs="Arial" w:eastAsia="Arial" w:hAnsi="Arial"/>
          <w:b/>
          <w:bCs/>
          <w:color w:val="00C2C7"/>
          <w:spacing w:val="60"/>
          <w:sz w:val="17"/>
          <w:szCs w:val="17"/>
        </w:rPr>
        <w:t xml:space="preserve">2. DESCRIPTION TECHNIQUE DU STANDARD</w:t>
      </w:r>
    </w:p>
    <w:p>
      <w:pPr>
        <w:spacing w:after="60" w:before="60"/>
        <w:jc w:val="both"/>
      </w:pPr>
      <w:r>
        <w:rPr>
          <w:rFonts w:ascii="Arial" w:cs="Arial" w:eastAsia="Arial" w:hAnsi="Arial"/>
          <w:b w:val="false"/>
          <w:bCs w:val="false"/>
          <w:i w:val="false"/>
          <w:iCs w:val="false"/>
          <w:color w:val="333333"/>
          <w:sz w:val="20"/>
          <w:szCs w:val="20"/>
        </w:rPr>
        <w:t xml:space="preserve">Le CMS v2.0 structure les métadonnées culturelles caribéennes en six familles :</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0E4ED" w:sz="1"/>
              <w:left w:val="single" w:color="D0E4ED" w:sz="1"/>
              <w:bottom w:val="single" w:color="D0E4ED" w:sz="1"/>
              <w:right w:val="single" w:color="D0E4ED" w:sz="1"/>
            </w:tcBorders>
            <w:shd w:fill="003E6B" w:val="clear"/>
            <w:tcMar>
              <w:top w:type="dxa" w:w="80"/>
              <w:left w:type="dxa" w:w="140"/>
              <w:bottom w:type="dxa" w:w="80"/>
              <w:right w:type="dxa" w:w="120"/>
            </w:tcMar>
          </w:tcPr>
          <w:p>
            <w:r>
              <w:rPr>
                <w:rFonts w:ascii="Arial" w:cs="Arial" w:eastAsia="Arial" w:hAnsi="Arial"/>
                <w:b/>
                <w:bCs/>
                <w:color w:val="FFFFFF"/>
                <w:sz w:val="18"/>
                <w:szCs w:val="18"/>
              </w:rPr>
              <w:t xml:space="preserve">Famille</w:t>
            </w:r>
          </w:p>
        </w:tc>
        <w:tc>
          <w:tcPr>
            <w:tcW w:type="dxa" w:w="3680"/>
            <w:tcBorders>
              <w:top w:val="single" w:color="D0E4ED" w:sz="1"/>
              <w:left w:val="single" w:color="D0E4ED" w:sz="1"/>
              <w:bottom w:val="single" w:color="D0E4ED" w:sz="1"/>
              <w:right w:val="single" w:color="D0E4ED" w:sz="1"/>
            </w:tcBorders>
            <w:shd w:fill="003E6B" w:val="clear"/>
            <w:tcMar>
              <w:top w:type="dxa" w:w="80"/>
              <w:left w:type="dxa" w:w="140"/>
              <w:bottom w:type="dxa" w:w="80"/>
              <w:right w:type="dxa" w:w="120"/>
            </w:tcMar>
          </w:tcPr>
          <w:p>
            <w:r>
              <w:rPr>
                <w:rFonts w:ascii="Arial" w:cs="Arial" w:eastAsia="Arial" w:hAnsi="Arial"/>
                <w:b/>
                <w:bCs/>
                <w:color w:val="FFFFFF"/>
                <w:sz w:val="18"/>
                <w:szCs w:val="18"/>
              </w:rPr>
              <w:t xml:space="preserve">Champs principaux</w:t>
            </w:r>
          </w:p>
        </w:tc>
        <w:tc>
          <w:tcPr>
            <w:tcW w:type="dxa" w:w="3680"/>
            <w:tcBorders>
              <w:top w:val="single" w:color="D0E4ED" w:sz="1"/>
              <w:left w:val="single" w:color="D0E4ED" w:sz="1"/>
              <w:bottom w:val="single" w:color="D0E4ED" w:sz="1"/>
              <w:right w:val="single" w:color="D0E4ED" w:sz="1"/>
            </w:tcBorders>
            <w:shd w:fill="003E6B" w:val="clear"/>
            <w:tcMar>
              <w:top w:type="dxa" w:w="80"/>
              <w:left w:type="dxa" w:w="140"/>
              <w:bottom w:type="dxa" w:w="80"/>
              <w:right w:type="dxa" w:w="120"/>
            </w:tcMar>
          </w:tcPr>
          <w:p>
            <w:r>
              <w:rPr>
                <w:rFonts w:ascii="Arial" w:cs="Arial" w:eastAsia="Arial" w:hAnsi="Arial"/>
                <w:b/>
                <w:bCs/>
                <w:color w:val="FFFFFF"/>
                <w:sz w:val="18"/>
                <w:szCs w:val="18"/>
              </w:rPr>
              <w:t xml:space="preserve">Alignement standard</w:t>
            </w:r>
          </w:p>
        </w:tc>
      </w:tr>
      <w:tr>
        <w:tc>
          <w:tcPr>
            <w:tcW w:type="dxa" w:w="2000"/>
            <w:tcBorders>
              <w:top w:val="single" w:color="D0E4ED" w:sz="1"/>
              <w:left w:val="single" w:color="D0E4ED" w:sz="1"/>
              <w:bottom w:val="single" w:color="D0E4ED" w:sz="1"/>
              <w:right w:val="single" w:color="D0E4ED" w:sz="1"/>
            </w:tcBorders>
            <w:shd w:fill="FFFFFF" w:val="clear"/>
            <w:tcMar>
              <w:top w:type="dxa" w:w="80"/>
              <w:left w:type="dxa" w:w="140"/>
              <w:bottom w:type="dxa" w:w="80"/>
              <w:right w:type="dxa" w:w="120"/>
            </w:tcMar>
          </w:tcPr>
          <w:p>
            <w:r>
              <w:rPr>
                <w:rFonts w:ascii="Arial" w:cs="Arial" w:eastAsia="Arial" w:hAnsi="Arial"/>
                <w:b/>
                <w:bCs/>
                <w:color w:val="003E6B"/>
                <w:sz w:val="18"/>
                <w:szCs w:val="18"/>
              </w:rPr>
              <w:t xml:space="preserve">Linguistique</w:t>
            </w:r>
          </w:p>
        </w:tc>
        <w:tc>
          <w:tcPr>
            <w:tcW w:type="dxa" w:w="3680"/>
            <w:tcBorders>
              <w:top w:val="single" w:color="D0E4ED" w:sz="1"/>
              <w:left w:val="single" w:color="D0E4ED" w:sz="1"/>
              <w:bottom w:val="single" w:color="D0E4ED" w:sz="1"/>
              <w:right w:val="single" w:color="D0E4ED" w:sz="1"/>
            </w:tcBorders>
            <w:shd w:fill="FFFFFF" w:val="clear"/>
            <w:tcMar>
              <w:top w:type="dxa" w:w="80"/>
              <w:left w:type="dxa" w:w="140"/>
              <w:bottom w:type="dxa" w:w="80"/>
              <w:right w:type="dxa" w:w="120"/>
            </w:tcMar>
          </w:tcPr>
          <w:p>
            <w:r>
              <w:rPr>
                <w:rFonts w:ascii="Arial" w:cs="Arial" w:eastAsia="Arial" w:hAnsi="Arial"/>
                <w:b w:val="false"/>
                <w:bCs w:val="false"/>
                <w:color w:val="444444"/>
                <w:sz w:val="18"/>
                <w:szCs w:val="18"/>
              </w:rPr>
              <w:t xml:space="preserve">cms:linguistic_marker, cms:code_switching</w:t>
            </w:r>
          </w:p>
        </w:tc>
        <w:tc>
          <w:tcPr>
            <w:tcW w:type="dxa" w:w="3680"/>
            <w:tcBorders>
              <w:top w:val="single" w:color="D0E4ED" w:sz="1"/>
              <w:left w:val="single" w:color="D0E4ED" w:sz="1"/>
              <w:bottom w:val="single" w:color="D0E4ED" w:sz="1"/>
              <w:right w:val="single" w:color="D0E4ED" w:sz="1"/>
            </w:tcBorders>
            <w:shd w:fill="FFFFFF" w:val="clear"/>
            <w:tcMar>
              <w:top w:type="dxa" w:w="80"/>
              <w:left w:type="dxa" w:w="140"/>
              <w:bottom w:type="dxa" w:w="80"/>
              <w:right w:type="dxa" w:w="120"/>
            </w:tcMar>
          </w:tcPr>
          <w:p>
            <w:r>
              <w:rPr>
                <w:rFonts w:ascii="Arial" w:cs="Arial" w:eastAsia="Arial" w:hAnsi="Arial"/>
                <w:b w:val="false"/>
                <w:bCs w:val="false"/>
                <w:color w:val="444444"/>
                <w:sz w:val="18"/>
                <w:szCs w:val="18"/>
              </w:rPr>
              <w:t xml:space="preserve">dc:language, schema:inLanguage, MARC 041</w:t>
            </w:r>
          </w:p>
        </w:tc>
      </w:tr>
      <w:tr>
        <w:tc>
          <w:tcPr>
            <w:tcW w:type="dxa" w:w="2000"/>
            <w:tcBorders>
              <w:top w:val="single" w:color="D0E4ED" w:sz="1"/>
              <w:left w:val="single" w:color="D0E4ED" w:sz="1"/>
              <w:bottom w:val="single" w:color="D0E4ED" w:sz="1"/>
              <w:right w:val="single" w:color="D0E4ED" w:sz="1"/>
            </w:tcBorders>
            <w:shd w:fill="F0F7FA" w:val="clear"/>
            <w:tcMar>
              <w:top w:type="dxa" w:w="80"/>
              <w:left w:type="dxa" w:w="140"/>
              <w:bottom w:type="dxa" w:w="80"/>
              <w:right w:type="dxa" w:w="120"/>
            </w:tcMar>
          </w:tcPr>
          <w:p>
            <w:r>
              <w:rPr>
                <w:rFonts w:ascii="Arial" w:cs="Arial" w:eastAsia="Arial" w:hAnsi="Arial"/>
                <w:b/>
                <w:bCs/>
                <w:color w:val="003E6B"/>
                <w:sz w:val="18"/>
                <w:szCs w:val="18"/>
              </w:rPr>
              <w:t xml:space="preserve">Culturelle</w:t>
            </w:r>
          </w:p>
        </w:tc>
        <w:tc>
          <w:tcPr>
            <w:tcW w:type="dxa" w:w="3680"/>
            <w:tcBorders>
              <w:top w:val="single" w:color="D0E4ED" w:sz="1"/>
              <w:left w:val="single" w:color="D0E4ED" w:sz="1"/>
              <w:bottom w:val="single" w:color="D0E4ED" w:sz="1"/>
              <w:right w:val="single" w:color="D0E4ED" w:sz="1"/>
            </w:tcBorders>
            <w:shd w:fill="F0F7FA" w:val="clear"/>
            <w:tcMar>
              <w:top w:type="dxa" w:w="80"/>
              <w:left w:type="dxa" w:w="140"/>
              <w:bottom w:type="dxa" w:w="80"/>
              <w:right w:type="dxa" w:w="120"/>
            </w:tcMar>
          </w:tcPr>
          <w:p>
            <w:r>
              <w:rPr>
                <w:rFonts w:ascii="Arial" w:cs="Arial" w:eastAsia="Arial" w:hAnsi="Arial"/>
                <w:b w:val="false"/>
                <w:bCs w:val="false"/>
                <w:color w:val="444444"/>
                <w:sz w:val="18"/>
                <w:szCs w:val="18"/>
              </w:rPr>
              <w:t xml:space="preserve">cms:cultural_markers[ ]</w:t>
            </w:r>
          </w:p>
        </w:tc>
        <w:tc>
          <w:tcPr>
            <w:tcW w:type="dxa" w:w="3680"/>
            <w:tcBorders>
              <w:top w:val="single" w:color="D0E4ED" w:sz="1"/>
              <w:left w:val="single" w:color="D0E4ED" w:sz="1"/>
              <w:bottom w:val="single" w:color="D0E4ED" w:sz="1"/>
              <w:right w:val="single" w:color="D0E4ED" w:sz="1"/>
            </w:tcBorders>
            <w:shd w:fill="F0F7FA" w:val="clear"/>
            <w:tcMar>
              <w:top w:type="dxa" w:w="80"/>
              <w:left w:type="dxa" w:w="140"/>
              <w:bottom w:type="dxa" w:w="80"/>
              <w:right w:type="dxa" w:w="120"/>
            </w:tcMar>
          </w:tcPr>
          <w:p>
            <w:r>
              <w:rPr>
                <w:rFonts w:ascii="Arial" w:cs="Arial" w:eastAsia="Arial" w:hAnsi="Arial"/>
                <w:b w:val="false"/>
                <w:bCs w:val="false"/>
                <w:color w:val="444444"/>
                <w:sz w:val="18"/>
                <w:szCs w:val="18"/>
              </w:rPr>
              <w:t xml:space="preserve">dc:subject, schema:keywords, EBUCore genre</w:t>
            </w:r>
          </w:p>
        </w:tc>
      </w:tr>
      <w:tr>
        <w:tc>
          <w:tcPr>
            <w:tcW w:type="dxa" w:w="2000"/>
            <w:tcBorders>
              <w:top w:val="single" w:color="D0E4ED" w:sz="1"/>
              <w:left w:val="single" w:color="D0E4ED" w:sz="1"/>
              <w:bottom w:val="single" w:color="D0E4ED" w:sz="1"/>
              <w:right w:val="single" w:color="D0E4ED" w:sz="1"/>
            </w:tcBorders>
            <w:shd w:fill="FFFFFF" w:val="clear"/>
            <w:tcMar>
              <w:top w:type="dxa" w:w="80"/>
              <w:left w:type="dxa" w:w="140"/>
              <w:bottom w:type="dxa" w:w="80"/>
              <w:right w:type="dxa" w:w="120"/>
            </w:tcMar>
          </w:tcPr>
          <w:p>
            <w:r>
              <w:rPr>
                <w:rFonts w:ascii="Arial" w:cs="Arial" w:eastAsia="Arial" w:hAnsi="Arial"/>
                <w:b/>
                <w:bCs/>
                <w:color w:val="003E6B"/>
                <w:sz w:val="18"/>
                <w:szCs w:val="18"/>
              </w:rPr>
              <w:t xml:space="preserve">Narrative</w:t>
            </w:r>
          </w:p>
        </w:tc>
        <w:tc>
          <w:tcPr>
            <w:tcW w:type="dxa" w:w="3680"/>
            <w:tcBorders>
              <w:top w:val="single" w:color="D0E4ED" w:sz="1"/>
              <w:left w:val="single" w:color="D0E4ED" w:sz="1"/>
              <w:bottom w:val="single" w:color="D0E4ED" w:sz="1"/>
              <w:right w:val="single" w:color="D0E4ED" w:sz="1"/>
            </w:tcBorders>
            <w:shd w:fill="FFFFFF" w:val="clear"/>
            <w:tcMar>
              <w:top w:type="dxa" w:w="80"/>
              <w:left w:type="dxa" w:w="140"/>
              <w:bottom w:type="dxa" w:w="80"/>
              <w:right w:type="dxa" w:w="120"/>
            </w:tcMar>
          </w:tcPr>
          <w:p>
            <w:r>
              <w:rPr>
                <w:rFonts w:ascii="Arial" w:cs="Arial" w:eastAsia="Arial" w:hAnsi="Arial"/>
                <w:b w:val="false"/>
                <w:bCs w:val="false"/>
                <w:color w:val="444444"/>
                <w:sz w:val="18"/>
                <w:szCs w:val="18"/>
              </w:rPr>
              <w:t xml:space="preserve">cms:narrative_genre</w:t>
            </w:r>
          </w:p>
        </w:tc>
        <w:tc>
          <w:tcPr>
            <w:tcW w:type="dxa" w:w="3680"/>
            <w:tcBorders>
              <w:top w:val="single" w:color="D0E4ED" w:sz="1"/>
              <w:left w:val="single" w:color="D0E4ED" w:sz="1"/>
              <w:bottom w:val="single" w:color="D0E4ED" w:sz="1"/>
              <w:right w:val="single" w:color="D0E4ED" w:sz="1"/>
            </w:tcBorders>
            <w:shd w:fill="FFFFFF" w:val="clear"/>
            <w:tcMar>
              <w:top w:type="dxa" w:w="80"/>
              <w:left w:type="dxa" w:w="140"/>
              <w:bottom w:type="dxa" w:w="80"/>
              <w:right w:type="dxa" w:w="120"/>
            </w:tcMar>
          </w:tcPr>
          <w:p>
            <w:r>
              <w:rPr>
                <w:rFonts w:ascii="Arial" w:cs="Arial" w:eastAsia="Arial" w:hAnsi="Arial"/>
                <w:b w:val="false"/>
                <w:bCs w:val="false"/>
                <w:color w:val="444444"/>
                <w:sz w:val="18"/>
                <w:szCs w:val="18"/>
              </w:rPr>
              <w:t xml:space="preserve">dc:type, schema:genre, EBUCore contentType</w:t>
            </w:r>
          </w:p>
        </w:tc>
      </w:tr>
      <w:tr>
        <w:tc>
          <w:tcPr>
            <w:tcW w:type="dxa" w:w="2000"/>
            <w:tcBorders>
              <w:top w:val="single" w:color="D0E4ED" w:sz="1"/>
              <w:left w:val="single" w:color="D0E4ED" w:sz="1"/>
              <w:bottom w:val="single" w:color="D0E4ED" w:sz="1"/>
              <w:right w:val="single" w:color="D0E4ED" w:sz="1"/>
            </w:tcBorders>
            <w:shd w:fill="F0F7FA" w:val="clear"/>
            <w:tcMar>
              <w:top w:type="dxa" w:w="80"/>
              <w:left w:type="dxa" w:w="140"/>
              <w:bottom w:type="dxa" w:w="80"/>
              <w:right w:type="dxa" w:w="120"/>
            </w:tcMar>
          </w:tcPr>
          <w:p>
            <w:r>
              <w:rPr>
                <w:rFonts w:ascii="Arial" w:cs="Arial" w:eastAsia="Arial" w:hAnsi="Arial"/>
                <w:b/>
                <w:bCs/>
                <w:color w:val="003E6B"/>
                <w:sz w:val="18"/>
                <w:szCs w:val="18"/>
              </w:rPr>
              <w:t xml:space="preserve">Rythmique</w:t>
            </w:r>
          </w:p>
        </w:tc>
        <w:tc>
          <w:tcPr>
            <w:tcW w:type="dxa" w:w="3680"/>
            <w:tcBorders>
              <w:top w:val="single" w:color="D0E4ED" w:sz="1"/>
              <w:left w:val="single" w:color="D0E4ED" w:sz="1"/>
              <w:bottom w:val="single" w:color="D0E4ED" w:sz="1"/>
              <w:right w:val="single" w:color="D0E4ED" w:sz="1"/>
            </w:tcBorders>
            <w:shd w:fill="F0F7FA" w:val="clear"/>
            <w:tcMar>
              <w:top w:type="dxa" w:w="80"/>
              <w:left w:type="dxa" w:w="140"/>
              <w:bottom w:type="dxa" w:w="80"/>
              <w:right w:type="dxa" w:w="120"/>
            </w:tcMar>
          </w:tcPr>
          <w:p>
            <w:r>
              <w:rPr>
                <w:rFonts w:ascii="Arial" w:cs="Arial" w:eastAsia="Arial" w:hAnsi="Arial"/>
                <w:b w:val="false"/>
                <w:bCs w:val="false"/>
                <w:color w:val="444444"/>
                <w:sz w:val="18"/>
                <w:szCs w:val="18"/>
              </w:rPr>
              <w:t xml:space="preserve">cms:rhythmic_tempo</w:t>
            </w:r>
          </w:p>
        </w:tc>
        <w:tc>
          <w:tcPr>
            <w:tcW w:type="dxa" w:w="3680"/>
            <w:tcBorders>
              <w:top w:val="single" w:color="D0E4ED" w:sz="1"/>
              <w:left w:val="single" w:color="D0E4ED" w:sz="1"/>
              <w:bottom w:val="single" w:color="D0E4ED" w:sz="1"/>
              <w:right w:val="single" w:color="D0E4ED" w:sz="1"/>
            </w:tcBorders>
            <w:shd w:fill="F0F7FA" w:val="clear"/>
            <w:tcMar>
              <w:top w:type="dxa" w:w="80"/>
              <w:left w:type="dxa" w:w="140"/>
              <w:bottom w:type="dxa" w:w="80"/>
              <w:right w:type="dxa" w:w="120"/>
            </w:tcMar>
          </w:tcPr>
          <w:p>
            <w:r>
              <w:rPr>
                <w:rFonts w:ascii="Arial" w:cs="Arial" w:eastAsia="Arial" w:hAnsi="Arial"/>
                <w:b w:val="false"/>
                <w:bCs w:val="false"/>
                <w:color w:val="444444"/>
                <w:sz w:val="18"/>
                <w:szCs w:val="18"/>
              </w:rPr>
              <w:t xml:space="preserve">EBUCore audioFormat (extension)</w:t>
            </w:r>
          </w:p>
        </w:tc>
      </w:tr>
      <w:tr>
        <w:tc>
          <w:tcPr>
            <w:tcW w:type="dxa" w:w="2000"/>
            <w:tcBorders>
              <w:top w:val="single" w:color="D0E4ED" w:sz="1"/>
              <w:left w:val="single" w:color="D0E4ED" w:sz="1"/>
              <w:bottom w:val="single" w:color="D0E4ED" w:sz="1"/>
              <w:right w:val="single" w:color="D0E4ED" w:sz="1"/>
            </w:tcBorders>
            <w:shd w:fill="FFFFFF" w:val="clear"/>
            <w:tcMar>
              <w:top w:type="dxa" w:w="80"/>
              <w:left w:type="dxa" w:w="140"/>
              <w:bottom w:type="dxa" w:w="80"/>
              <w:right w:type="dxa" w:w="120"/>
            </w:tcMar>
          </w:tcPr>
          <w:p>
            <w:r>
              <w:rPr>
                <w:rFonts w:ascii="Arial" w:cs="Arial" w:eastAsia="Arial" w:hAnsi="Arial"/>
                <w:b/>
                <w:bCs/>
                <w:color w:val="003E6B"/>
                <w:sz w:val="18"/>
                <w:szCs w:val="18"/>
              </w:rPr>
              <w:t xml:space="preserve">Géographique</w:t>
            </w:r>
          </w:p>
        </w:tc>
        <w:tc>
          <w:tcPr>
            <w:tcW w:type="dxa" w:w="3680"/>
            <w:tcBorders>
              <w:top w:val="single" w:color="D0E4ED" w:sz="1"/>
              <w:left w:val="single" w:color="D0E4ED" w:sz="1"/>
              <w:bottom w:val="single" w:color="D0E4ED" w:sz="1"/>
              <w:right w:val="single" w:color="D0E4ED" w:sz="1"/>
            </w:tcBorders>
            <w:shd w:fill="FFFFFF" w:val="clear"/>
            <w:tcMar>
              <w:top w:type="dxa" w:w="80"/>
              <w:left w:type="dxa" w:w="140"/>
              <w:bottom w:type="dxa" w:w="80"/>
              <w:right w:type="dxa" w:w="120"/>
            </w:tcMar>
          </w:tcPr>
          <w:p>
            <w:r>
              <w:rPr>
                <w:rFonts w:ascii="Arial" w:cs="Arial" w:eastAsia="Arial" w:hAnsi="Arial"/>
                <w:b w:val="false"/>
                <w:bCs w:val="false"/>
                <w:color w:val="444444"/>
                <w:sz w:val="18"/>
                <w:szCs w:val="18"/>
              </w:rPr>
              <w:t xml:space="preserve">cms:territory, cms:environment</w:t>
            </w:r>
          </w:p>
        </w:tc>
        <w:tc>
          <w:tcPr>
            <w:tcW w:type="dxa" w:w="3680"/>
            <w:tcBorders>
              <w:top w:val="single" w:color="D0E4ED" w:sz="1"/>
              <w:left w:val="single" w:color="D0E4ED" w:sz="1"/>
              <w:bottom w:val="single" w:color="D0E4ED" w:sz="1"/>
              <w:right w:val="single" w:color="D0E4ED" w:sz="1"/>
            </w:tcBorders>
            <w:shd w:fill="FFFFFF" w:val="clear"/>
            <w:tcMar>
              <w:top w:type="dxa" w:w="80"/>
              <w:left w:type="dxa" w:w="140"/>
              <w:bottom w:type="dxa" w:w="80"/>
              <w:right w:type="dxa" w:w="120"/>
            </w:tcMar>
          </w:tcPr>
          <w:p>
            <w:r>
              <w:rPr>
                <w:rFonts w:ascii="Arial" w:cs="Arial" w:eastAsia="Arial" w:hAnsi="Arial"/>
                <w:b w:val="false"/>
                <w:bCs w:val="false"/>
                <w:color w:val="444444"/>
                <w:sz w:val="18"/>
                <w:szCs w:val="18"/>
              </w:rPr>
              <w:t xml:space="preserve">dc:coverage, schema:locationCreated, MARC 651</w:t>
            </w:r>
          </w:p>
        </w:tc>
      </w:tr>
      <w:tr>
        <w:tc>
          <w:tcPr>
            <w:tcW w:type="dxa" w:w="2000"/>
            <w:tcBorders>
              <w:top w:val="single" w:color="D0E4ED" w:sz="1"/>
              <w:left w:val="single" w:color="D0E4ED" w:sz="1"/>
              <w:bottom w:val="single" w:color="D0E4ED" w:sz="1"/>
              <w:right w:val="single" w:color="D0E4ED" w:sz="1"/>
            </w:tcBorders>
            <w:shd w:fill="F0F7FA" w:val="clear"/>
            <w:tcMar>
              <w:top w:type="dxa" w:w="80"/>
              <w:left w:type="dxa" w:w="140"/>
              <w:bottom w:type="dxa" w:w="80"/>
              <w:right w:type="dxa" w:w="120"/>
            </w:tcMar>
          </w:tcPr>
          <w:p>
            <w:r>
              <w:rPr>
                <w:rFonts w:ascii="Arial" w:cs="Arial" w:eastAsia="Arial" w:hAnsi="Arial"/>
                <w:b/>
                <w:bCs/>
                <w:color w:val="003E6B"/>
                <w:sz w:val="18"/>
                <w:szCs w:val="18"/>
              </w:rPr>
              <w:t xml:space="preserve">Socio-historique</w:t>
            </w:r>
          </w:p>
        </w:tc>
        <w:tc>
          <w:tcPr>
            <w:tcW w:type="dxa" w:w="3680"/>
            <w:tcBorders>
              <w:top w:val="single" w:color="D0E4ED" w:sz="1"/>
              <w:left w:val="single" w:color="D0E4ED" w:sz="1"/>
              <w:bottom w:val="single" w:color="D0E4ED" w:sz="1"/>
              <w:right w:val="single" w:color="D0E4ED" w:sz="1"/>
            </w:tcBorders>
            <w:shd w:fill="F0F7FA" w:val="clear"/>
            <w:tcMar>
              <w:top w:type="dxa" w:w="80"/>
              <w:left w:type="dxa" w:w="140"/>
              <w:bottom w:type="dxa" w:w="80"/>
              <w:right w:type="dxa" w:w="120"/>
            </w:tcMar>
          </w:tcPr>
          <w:p>
            <w:r>
              <w:rPr>
                <w:rFonts w:ascii="Arial" w:cs="Arial" w:eastAsia="Arial" w:hAnsi="Arial"/>
                <w:b w:val="false"/>
                <w:bCs w:val="false"/>
                <w:color w:val="444444"/>
                <w:sz w:val="18"/>
                <w:szCs w:val="18"/>
              </w:rPr>
              <w:t xml:space="preserve">cms:sociohistorical_markers[ ]</w:t>
            </w:r>
          </w:p>
        </w:tc>
        <w:tc>
          <w:tcPr>
            <w:tcW w:type="dxa" w:w="3680"/>
            <w:tcBorders>
              <w:top w:val="single" w:color="D0E4ED" w:sz="1"/>
              <w:left w:val="single" w:color="D0E4ED" w:sz="1"/>
              <w:bottom w:val="single" w:color="D0E4ED" w:sz="1"/>
              <w:right w:val="single" w:color="D0E4ED" w:sz="1"/>
            </w:tcBorders>
            <w:shd w:fill="F0F7FA" w:val="clear"/>
            <w:tcMar>
              <w:top w:type="dxa" w:w="80"/>
              <w:left w:type="dxa" w:w="140"/>
              <w:bottom w:type="dxa" w:w="80"/>
              <w:right w:type="dxa" w:w="120"/>
            </w:tcMar>
          </w:tcPr>
          <w:p>
            <w:r>
              <w:rPr>
                <w:rFonts w:ascii="Arial" w:cs="Arial" w:eastAsia="Arial" w:hAnsi="Arial"/>
                <w:b w:val="false"/>
                <w:bCs w:val="false"/>
                <w:color w:val="444444"/>
                <w:sz w:val="18"/>
                <w:szCs w:val="18"/>
              </w:rPr>
              <w:t xml:space="preserve">dc:subject, schema:about, MARC 650</w:t>
            </w:r>
          </w:p>
        </w:tc>
      </w:tr>
    </w:tbl>
    <w:p>
      <w:pPr>
        <w:spacing w:after="0" w:before="80"/>
      </w:pPr>
      <w:r>
        <w:t xml:space="preserve"/>
      </w:r>
    </w:p>
    <w:p>
      <w:pPr>
        <w:spacing w:after="60" w:before="60"/>
        <w:jc w:val="both"/>
      </w:pPr>
      <w:r>
        <w:rPr>
          <w:rFonts w:ascii="Arial" w:cs="Arial" w:eastAsia="Arial" w:hAnsi="Arial"/>
          <w:b w:val="false"/>
          <w:bCs w:val="false"/>
          <w:i w:val="false"/>
          <w:iCs w:val="false"/>
          <w:color w:val="333333"/>
          <w:sz w:val="20"/>
          <w:szCs w:val="20"/>
        </w:rPr>
        <w:t xml:space="preserve">Le CMS n'est pas un standard de remplacement. Il étend les standards existants par un espace de noms dédié (https://caribbeanmetadata.org/ns/) et des champs additionnels lisibles par les systèmes conformes à schema.org et Dublin Core.</w:t>
      </w:r>
    </w:p>
    <w:p>
      <w:pPr>
        <w:pBdr>
          <w:left w:val="single" w:color="00C2C7" w:sz="10" w:space="6"/>
        </w:pBdr>
        <w:spacing w:after="80" w:before="340"/>
        <w:ind w:left="140"/>
      </w:pPr>
      <w:r>
        <w:rPr>
          <w:rFonts w:ascii="Arial" w:cs="Arial" w:eastAsia="Arial" w:hAnsi="Arial"/>
          <w:b/>
          <w:bCs/>
          <w:color w:val="00C2C7"/>
          <w:spacing w:val="60"/>
          <w:sz w:val="17"/>
          <w:szCs w:val="17"/>
        </w:rPr>
        <w:t xml:space="preserve">3. CORPUS DE RÉFÉRENCE</w:t>
      </w:r>
    </w:p>
    <w:p>
      <w:pPr>
        <w:spacing w:after="60" w:before="60"/>
        <w:jc w:val="both"/>
      </w:pPr>
      <w:r>
        <w:rPr>
          <w:rFonts w:ascii="Arial" w:cs="Arial" w:eastAsia="Arial" w:hAnsi="Arial"/>
          <w:b w:val="false"/>
          <w:bCs w:val="false"/>
          <w:i w:val="false"/>
          <w:iCs w:val="false"/>
          <w:color w:val="333333"/>
          <w:sz w:val="20"/>
          <w:szCs w:val="20"/>
        </w:rPr>
        <w:t xml:space="preserve">Le CMS est accompagné d'un corpus de référence open data, premier ensemble de données culturelles caribéennes structurées et validées selon le standard :</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80"/>
      </w:tblGrid>
      <w:tr>
        <w:tc>
          <w:tcPr>
            <w:tcW w:type="dxa" w:w="1870"/>
            <w:tcBorders>
              <w:top w:val="single" w:color="D0E4ED" w:sz="1"/>
              <w:left w:val="single" w:color="D0E4ED" w:sz="1"/>
              <w:bottom w:val="single" w:color="D0E4ED" w:sz="1"/>
              <w:right w:val="single" w:color="D0E4ED" w:sz="1"/>
            </w:tcBorders>
            <w:shd w:fill="F0F7FA" w:val="clear"/>
            <w:tcMar>
              <w:top w:type="dxa" w:w="100"/>
              <w:left w:type="dxa" w:w="100"/>
              <w:bottom w:type="dxa" w:w="100"/>
              <w:right w:type="dxa" w:w="100"/>
            </w:tcMar>
            <w:vAlign w:val="center"/>
          </w:tcPr>
          <w:p>
            <w:pPr>
              <w:jc w:val="center"/>
            </w:pPr>
            <w:r>
              <w:rPr>
                <w:rFonts w:ascii="Arial" w:cs="Arial" w:eastAsia="Arial" w:hAnsi="Arial"/>
                <w:b/>
                <w:bCs/>
                <w:color w:val="00C2C7"/>
                <w:sz w:val="40"/>
                <w:szCs w:val="40"/>
              </w:rPr>
              <w:t xml:space="preserve">110</w:t>
            </w:r>
          </w:p>
          <w:p>
            <w:pPr>
              <w:jc w:val="center"/>
            </w:pPr>
            <w:r>
              <w:rPr>
                <w:rFonts w:ascii="Arial" w:cs="Arial" w:eastAsia="Arial" w:hAnsi="Arial"/>
                <w:color w:val="666666"/>
                <w:sz w:val="16"/>
                <w:szCs w:val="16"/>
              </w:rPr>
              <w:t xml:space="preserve">Enregistrements</w:t>
            </w:r>
          </w:p>
        </w:tc>
        <w:tc>
          <w:tcPr>
            <w:tcW w:type="dxa" w:w="1870"/>
            <w:tcBorders>
              <w:top w:val="single" w:color="D0E4ED" w:sz="1"/>
              <w:left w:val="single" w:color="D0E4ED" w:sz="1"/>
              <w:bottom w:val="single" w:color="D0E4ED" w:sz="1"/>
              <w:right w:val="single" w:color="D0E4ED" w:sz="1"/>
            </w:tcBorders>
            <w:shd w:fill="F0F7FA" w:val="clear"/>
            <w:tcMar>
              <w:top w:type="dxa" w:w="100"/>
              <w:left w:type="dxa" w:w="100"/>
              <w:bottom w:type="dxa" w:w="100"/>
              <w:right w:type="dxa" w:w="100"/>
            </w:tcMar>
            <w:vAlign w:val="center"/>
          </w:tcPr>
          <w:p>
            <w:pPr>
              <w:jc w:val="center"/>
            </w:pPr>
            <w:r>
              <w:rPr>
                <w:rFonts w:ascii="Arial" w:cs="Arial" w:eastAsia="Arial" w:hAnsi="Arial"/>
                <w:b/>
                <w:bCs/>
                <w:color w:val="00C2C7"/>
                <w:sz w:val="40"/>
                <w:szCs w:val="40"/>
              </w:rPr>
              <w:t xml:space="preserve">10</w:t>
            </w:r>
          </w:p>
          <w:p>
            <w:pPr>
              <w:jc w:val="center"/>
            </w:pPr>
            <w:r>
              <w:rPr>
                <w:rFonts w:ascii="Arial" w:cs="Arial" w:eastAsia="Arial" w:hAnsi="Arial"/>
                <w:color w:val="666666"/>
                <w:sz w:val="16"/>
                <w:szCs w:val="16"/>
              </w:rPr>
              <w:t xml:space="preserve">Langues</w:t>
            </w:r>
          </w:p>
        </w:tc>
        <w:tc>
          <w:tcPr>
            <w:tcW w:type="dxa" w:w="1870"/>
            <w:tcBorders>
              <w:top w:val="single" w:color="D0E4ED" w:sz="1"/>
              <w:left w:val="single" w:color="D0E4ED" w:sz="1"/>
              <w:bottom w:val="single" w:color="D0E4ED" w:sz="1"/>
              <w:right w:val="single" w:color="D0E4ED" w:sz="1"/>
            </w:tcBorders>
            <w:shd w:fill="F0F7FA" w:val="clear"/>
            <w:tcMar>
              <w:top w:type="dxa" w:w="100"/>
              <w:left w:type="dxa" w:w="100"/>
              <w:bottom w:type="dxa" w:w="100"/>
              <w:right w:type="dxa" w:w="100"/>
            </w:tcMar>
            <w:vAlign w:val="center"/>
          </w:tcPr>
          <w:p>
            <w:pPr>
              <w:jc w:val="center"/>
            </w:pPr>
            <w:r>
              <w:rPr>
                <w:rFonts w:ascii="Arial" w:cs="Arial" w:eastAsia="Arial" w:hAnsi="Arial"/>
                <w:b/>
                <w:bCs/>
                <w:color w:val="00C2C7"/>
                <w:sz w:val="40"/>
                <w:szCs w:val="40"/>
              </w:rPr>
              <w:t xml:space="preserve">27</w:t>
            </w:r>
          </w:p>
          <w:p>
            <w:pPr>
              <w:jc w:val="center"/>
            </w:pPr>
            <w:r>
              <w:rPr>
                <w:rFonts w:ascii="Arial" w:cs="Arial" w:eastAsia="Arial" w:hAnsi="Arial"/>
                <w:color w:val="666666"/>
                <w:sz w:val="16"/>
                <w:szCs w:val="16"/>
              </w:rPr>
              <w:t xml:space="preserve">Marqueurs culturels</w:t>
            </w:r>
          </w:p>
        </w:tc>
        <w:tc>
          <w:tcPr>
            <w:tcW w:type="dxa" w:w="1870"/>
            <w:tcBorders>
              <w:top w:val="single" w:color="D0E4ED" w:sz="1"/>
              <w:left w:val="single" w:color="D0E4ED" w:sz="1"/>
              <w:bottom w:val="single" w:color="D0E4ED" w:sz="1"/>
              <w:right w:val="single" w:color="D0E4ED" w:sz="1"/>
            </w:tcBorders>
            <w:shd w:fill="F0F7FA" w:val="clear"/>
            <w:tcMar>
              <w:top w:type="dxa" w:w="100"/>
              <w:left w:type="dxa" w:w="100"/>
              <w:bottom w:type="dxa" w:w="100"/>
              <w:right w:type="dxa" w:w="100"/>
            </w:tcMar>
            <w:vAlign w:val="center"/>
          </w:tcPr>
          <w:p>
            <w:pPr>
              <w:jc w:val="center"/>
            </w:pPr>
            <w:r>
              <w:rPr>
                <w:rFonts w:ascii="Arial" w:cs="Arial" w:eastAsia="Arial" w:hAnsi="Arial"/>
                <w:b/>
                <w:bCs/>
                <w:color w:val="00C2C7"/>
                <w:sz w:val="40"/>
                <w:szCs w:val="40"/>
              </w:rPr>
              <w:t xml:space="preserve">17</w:t>
            </w:r>
          </w:p>
          <w:p>
            <w:pPr>
              <w:jc w:val="center"/>
            </w:pPr>
            <w:r>
              <w:rPr>
                <w:rFonts w:ascii="Arial" w:cs="Arial" w:eastAsia="Arial" w:hAnsi="Arial"/>
                <w:color w:val="666666"/>
                <w:sz w:val="16"/>
                <w:szCs w:val="16"/>
              </w:rPr>
              <w:t xml:space="preserve">Territoires</w:t>
            </w:r>
          </w:p>
        </w:tc>
        <w:tc>
          <w:tcPr>
            <w:tcW w:type="dxa" w:w="1870"/>
            <w:tcBorders>
              <w:top w:val="single" w:color="D0E4ED" w:sz="1"/>
              <w:left w:val="single" w:color="D0E4ED" w:sz="1"/>
              <w:bottom w:val="single" w:color="D0E4ED" w:sz="1"/>
              <w:right w:val="single" w:color="D0E4ED" w:sz="1"/>
            </w:tcBorders>
            <w:shd w:fill="F0F7FA" w:val="clear"/>
            <w:tcMar>
              <w:top w:type="dxa" w:w="100"/>
              <w:left w:type="dxa" w:w="100"/>
              <w:bottom w:type="dxa" w:w="100"/>
              <w:right w:type="dxa" w:w="100"/>
            </w:tcMar>
            <w:vAlign w:val="center"/>
          </w:tcPr>
          <w:p>
            <w:pPr>
              <w:jc w:val="center"/>
            </w:pPr>
            <w:r>
              <w:rPr>
                <w:rFonts w:ascii="Arial" w:cs="Arial" w:eastAsia="Arial" w:hAnsi="Arial"/>
                <w:b/>
                <w:bCs/>
                <w:color w:val="00C2C7"/>
                <w:sz w:val="40"/>
                <w:szCs w:val="40"/>
              </w:rPr>
              <w:t xml:space="preserve">14</w:t>
            </w:r>
          </w:p>
          <w:p>
            <w:pPr>
              <w:jc w:val="center"/>
            </w:pPr>
            <w:r>
              <w:rPr>
                <w:rFonts w:ascii="Arial" w:cs="Arial" w:eastAsia="Arial" w:hAnsi="Arial"/>
                <w:color w:val="666666"/>
                <w:sz w:val="16"/>
                <w:szCs w:val="16"/>
              </w:rPr>
              <w:t xml:space="preserve">Domaines culturels</w:t>
            </w:r>
          </w:p>
        </w:tc>
      </w:tr>
    </w:tbl>
    <w:p>
      <w:pPr>
        <w:spacing w:after="0" w:before="80"/>
      </w:pPr>
      <w:r>
        <w:t xml:space="preserve"/>
      </w:r>
    </w:p>
    <w:p>
      <w:pPr>
        <w:spacing w:after="60" w:before="60"/>
        <w:jc w:val="both"/>
      </w:pPr>
      <w:r>
        <w:rPr>
          <w:rFonts w:ascii="Arial" w:cs="Arial" w:eastAsia="Arial" w:hAnsi="Arial"/>
          <w:b w:val="false"/>
          <w:bCs w:val="false"/>
          <w:i/>
          <w:iCs/>
          <w:color w:val="666666"/>
          <w:sz w:val="20"/>
          <w:szCs w:val="20"/>
        </w:rPr>
        <w:t xml:space="preserve">Licence CC-BY 4.0 · Disponible sur : github.com/heso73/cms-nlp-corpus</w:t>
      </w:r>
    </w:p>
    <w:p>
      <w:pPr>
        <w:pBdr>
          <w:left w:val="single" w:color="00C2C7" w:sz="10" w:space="6"/>
        </w:pBdr>
        <w:spacing w:after="80" w:before="340"/>
        <w:ind w:left="140"/>
      </w:pPr>
      <w:r>
        <w:rPr>
          <w:rFonts w:ascii="Arial" w:cs="Arial" w:eastAsia="Arial" w:hAnsi="Arial"/>
          <w:b/>
          <w:bCs/>
          <w:color w:val="00C2C7"/>
          <w:spacing w:val="60"/>
          <w:sz w:val="17"/>
          <w:szCs w:val="17"/>
        </w:rPr>
        <w:t xml:space="preserve">4. ALIGNEMENTS AVEC LES STANDARDS INTERNATIONAUX</w:t>
      </w:r>
    </w:p>
    <w:p>
      <w:pPr>
        <w:spacing w:after="60" w:before="60"/>
        <w:jc w:val="both"/>
      </w:pPr>
      <w:r>
        <w:rPr>
          <w:rFonts w:ascii="Arial" w:cs="Arial" w:eastAsia="Arial" w:hAnsi="Arial"/>
          <w:b w:val="false"/>
          <w:bCs w:val="false"/>
          <w:i w:val="false"/>
          <w:iCs w:val="false"/>
          <w:color w:val="333333"/>
          <w:sz w:val="20"/>
          <w:szCs w:val="20"/>
        </w:rPr>
        <w:t xml:space="preserve">Le CMS a été conçu en cohérence avec les principaux standards et frameworks de référence internationaux :</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E4ED" w:sz="1"/>
              <w:left w:val="single" w:color="D0E4ED" w:sz="1"/>
              <w:bottom w:val="single" w:color="D0E4ED" w:sz="1"/>
              <w:right w:val="single" w:color="D0E4ED" w:sz="1"/>
            </w:tcBorders>
            <w:shd w:fill="003E6B" w:val="clear"/>
            <w:tcMar>
              <w:top w:type="dxa" w:w="80"/>
              <w:left w:type="dxa" w:w="140"/>
              <w:bottom w:type="dxa" w:w="80"/>
              <w:right w:type="dxa" w:w="120"/>
            </w:tcMar>
          </w:tcPr>
          <w:p>
            <w:r>
              <w:rPr>
                <w:rFonts w:ascii="Arial" w:cs="Arial" w:eastAsia="Arial" w:hAnsi="Arial"/>
                <w:b/>
                <w:bCs/>
                <w:color w:val="FFFFFF"/>
                <w:sz w:val="18"/>
                <w:szCs w:val="18"/>
              </w:rPr>
              <w:t xml:space="preserve">Standard</w:t>
            </w:r>
          </w:p>
        </w:tc>
        <w:tc>
          <w:tcPr>
            <w:tcW w:type="dxa" w:w="6960"/>
            <w:tcBorders>
              <w:top w:val="single" w:color="D0E4ED" w:sz="1"/>
              <w:left w:val="single" w:color="D0E4ED" w:sz="1"/>
              <w:bottom w:val="single" w:color="D0E4ED" w:sz="1"/>
              <w:right w:val="single" w:color="D0E4ED" w:sz="1"/>
            </w:tcBorders>
            <w:shd w:fill="003E6B" w:val="clear"/>
            <w:tcMar>
              <w:top w:type="dxa" w:w="80"/>
              <w:left w:type="dxa" w:w="140"/>
              <w:bottom w:type="dxa" w:w="80"/>
              <w:right w:type="dxa" w:w="120"/>
            </w:tcMar>
          </w:tcPr>
          <w:p>
            <w:r>
              <w:rPr>
                <w:rFonts w:ascii="Arial" w:cs="Arial" w:eastAsia="Arial" w:hAnsi="Arial"/>
                <w:b/>
                <w:bCs/>
                <w:color w:val="FFFFFF"/>
                <w:sz w:val="18"/>
                <w:szCs w:val="18"/>
              </w:rPr>
              <w:t xml:space="preserve">Nature de l'alignement</w:t>
            </w:r>
          </w:p>
        </w:tc>
      </w:tr>
      <w:tr>
        <w:tc>
          <w:tcPr>
            <w:tcW w:type="dxa" w:w="2400"/>
            <w:tcBorders>
              <w:top w:val="single" w:color="D0E4ED" w:sz="1"/>
              <w:left w:val="single" w:color="D0E4ED" w:sz="1"/>
              <w:bottom w:val="single" w:color="D0E4ED" w:sz="1"/>
              <w:right w:val="single" w:color="D0E4ED" w:sz="1"/>
            </w:tcBorders>
            <w:shd w:fill="FFFFFF" w:val="clear"/>
            <w:tcMar>
              <w:top w:type="dxa" w:w="80"/>
              <w:left w:type="dxa" w:w="140"/>
              <w:bottom w:type="dxa" w:w="80"/>
              <w:right w:type="dxa" w:w="120"/>
            </w:tcMar>
          </w:tcPr>
          <w:p>
            <w:r>
              <w:rPr>
                <w:rFonts w:ascii="Arial" w:cs="Arial" w:eastAsia="Arial" w:hAnsi="Arial"/>
                <w:b/>
                <w:bCs/>
                <w:color w:val="003E6B"/>
                <w:sz w:val="18"/>
                <w:szCs w:val="18"/>
              </w:rPr>
              <w:t xml:space="preserve">Dublin Core</w:t>
            </w:r>
          </w:p>
        </w:tc>
        <w:tc>
          <w:tcPr>
            <w:tcW w:type="dxa" w:w="6960"/>
            <w:tcBorders>
              <w:top w:val="single" w:color="D0E4ED" w:sz="1"/>
              <w:left w:val="single" w:color="D0E4ED" w:sz="1"/>
              <w:bottom w:val="single" w:color="D0E4ED" w:sz="1"/>
              <w:right w:val="single" w:color="D0E4ED" w:sz="1"/>
            </w:tcBorders>
            <w:shd w:fill="FFFFFF" w:val="clear"/>
            <w:tcMar>
              <w:top w:type="dxa" w:w="80"/>
              <w:left w:type="dxa" w:w="140"/>
              <w:bottom w:type="dxa" w:w="80"/>
              <w:right w:type="dxa" w:w="120"/>
            </w:tcMar>
          </w:tcPr>
          <w:p>
            <w:r>
              <w:rPr>
                <w:rFonts w:ascii="Arial" w:cs="Arial" w:eastAsia="Arial" w:hAnsi="Arial"/>
                <w:b w:val="false"/>
                <w:bCs w:val="false"/>
                <w:color w:val="444444"/>
                <w:sz w:val="18"/>
                <w:szCs w:val="18"/>
              </w:rPr>
              <w:t xml:space="preserve">Extension directe — champs CMS mappables sur dc:subject, dc:language, dc:coverage, dc:type</w:t>
            </w:r>
          </w:p>
        </w:tc>
      </w:tr>
      <w:tr>
        <w:tc>
          <w:tcPr>
            <w:tcW w:type="dxa" w:w="2400"/>
            <w:tcBorders>
              <w:top w:val="single" w:color="D0E4ED" w:sz="1"/>
              <w:left w:val="single" w:color="D0E4ED" w:sz="1"/>
              <w:bottom w:val="single" w:color="D0E4ED" w:sz="1"/>
              <w:right w:val="single" w:color="D0E4ED" w:sz="1"/>
            </w:tcBorders>
            <w:shd w:fill="F0F7FA" w:val="clear"/>
            <w:tcMar>
              <w:top w:type="dxa" w:w="80"/>
              <w:left w:type="dxa" w:w="140"/>
              <w:bottom w:type="dxa" w:w="80"/>
              <w:right w:type="dxa" w:w="120"/>
            </w:tcMar>
          </w:tcPr>
          <w:p>
            <w:r>
              <w:rPr>
                <w:rFonts w:ascii="Arial" w:cs="Arial" w:eastAsia="Arial" w:hAnsi="Arial"/>
                <w:b/>
                <w:bCs/>
                <w:color w:val="003E6B"/>
                <w:sz w:val="18"/>
                <w:szCs w:val="18"/>
              </w:rPr>
              <w:t xml:space="preserve">schema.org</w:t>
            </w:r>
          </w:p>
        </w:tc>
        <w:tc>
          <w:tcPr>
            <w:tcW w:type="dxa" w:w="6960"/>
            <w:tcBorders>
              <w:top w:val="single" w:color="D0E4ED" w:sz="1"/>
              <w:left w:val="single" w:color="D0E4ED" w:sz="1"/>
              <w:bottom w:val="single" w:color="D0E4ED" w:sz="1"/>
              <w:right w:val="single" w:color="D0E4ED" w:sz="1"/>
            </w:tcBorders>
            <w:shd w:fill="F0F7FA" w:val="clear"/>
            <w:tcMar>
              <w:top w:type="dxa" w:w="80"/>
              <w:left w:type="dxa" w:w="140"/>
              <w:bottom w:type="dxa" w:w="80"/>
              <w:right w:type="dxa" w:w="120"/>
            </w:tcMar>
          </w:tcPr>
          <w:p>
            <w:r>
              <w:rPr>
                <w:rFonts w:ascii="Arial" w:cs="Arial" w:eastAsia="Arial" w:hAnsi="Arial"/>
                <w:b w:val="false"/>
                <w:bCs w:val="false"/>
                <w:color w:val="444444"/>
                <w:sz w:val="18"/>
                <w:szCs w:val="18"/>
              </w:rPr>
              <w:t xml:space="preserve">JSON-LD natif — champs CMS intégrés comme additionalProperty ou champs dédiés</w:t>
            </w:r>
          </w:p>
        </w:tc>
      </w:tr>
      <w:tr>
        <w:tc>
          <w:tcPr>
            <w:tcW w:type="dxa" w:w="2400"/>
            <w:tcBorders>
              <w:top w:val="single" w:color="D0E4ED" w:sz="1"/>
              <w:left w:val="single" w:color="D0E4ED" w:sz="1"/>
              <w:bottom w:val="single" w:color="D0E4ED" w:sz="1"/>
              <w:right w:val="single" w:color="D0E4ED" w:sz="1"/>
            </w:tcBorders>
            <w:shd w:fill="FFFFFF" w:val="clear"/>
            <w:tcMar>
              <w:top w:type="dxa" w:w="80"/>
              <w:left w:type="dxa" w:w="140"/>
              <w:bottom w:type="dxa" w:w="80"/>
              <w:right w:type="dxa" w:w="120"/>
            </w:tcMar>
          </w:tcPr>
          <w:p>
            <w:r>
              <w:rPr>
                <w:rFonts w:ascii="Arial" w:cs="Arial" w:eastAsia="Arial" w:hAnsi="Arial"/>
                <w:b/>
                <w:bCs/>
                <w:color w:val="003E6B"/>
                <w:sz w:val="18"/>
                <w:szCs w:val="18"/>
              </w:rPr>
              <w:t xml:space="preserve">EBUCore</w:t>
            </w:r>
          </w:p>
        </w:tc>
        <w:tc>
          <w:tcPr>
            <w:tcW w:type="dxa" w:w="6960"/>
            <w:tcBorders>
              <w:top w:val="single" w:color="D0E4ED" w:sz="1"/>
              <w:left w:val="single" w:color="D0E4ED" w:sz="1"/>
              <w:bottom w:val="single" w:color="D0E4ED" w:sz="1"/>
              <w:right w:val="single" w:color="D0E4ED" w:sz="1"/>
            </w:tcBorders>
            <w:shd w:fill="FFFFFF" w:val="clear"/>
            <w:tcMar>
              <w:top w:type="dxa" w:w="80"/>
              <w:left w:type="dxa" w:w="140"/>
              <w:bottom w:type="dxa" w:w="80"/>
              <w:right w:type="dxa" w:w="120"/>
            </w:tcMar>
          </w:tcPr>
          <w:p>
            <w:r>
              <w:rPr>
                <w:rFonts w:ascii="Arial" w:cs="Arial" w:eastAsia="Arial" w:hAnsi="Arial"/>
                <w:b w:val="false"/>
                <w:bCs w:val="false"/>
                <w:color w:val="444444"/>
                <w:sz w:val="18"/>
                <w:szCs w:val="18"/>
              </w:rPr>
              <w:t xml:space="preserve">Alignement audiovisuel — cms:narrative_genre et cms:rhythmic_tempo complémentaires à EBUCore contentType</w:t>
            </w:r>
          </w:p>
        </w:tc>
      </w:tr>
      <w:tr>
        <w:tc>
          <w:tcPr>
            <w:tcW w:type="dxa" w:w="2400"/>
            <w:tcBorders>
              <w:top w:val="single" w:color="D0E4ED" w:sz="1"/>
              <w:left w:val="single" w:color="D0E4ED" w:sz="1"/>
              <w:bottom w:val="single" w:color="D0E4ED" w:sz="1"/>
              <w:right w:val="single" w:color="D0E4ED" w:sz="1"/>
            </w:tcBorders>
            <w:shd w:fill="F0F7FA" w:val="clear"/>
            <w:tcMar>
              <w:top w:type="dxa" w:w="80"/>
              <w:left w:type="dxa" w:w="140"/>
              <w:bottom w:type="dxa" w:w="80"/>
              <w:right w:type="dxa" w:w="120"/>
            </w:tcMar>
          </w:tcPr>
          <w:p>
            <w:r>
              <w:rPr>
                <w:rFonts w:ascii="Arial" w:cs="Arial" w:eastAsia="Arial" w:hAnsi="Arial"/>
                <w:b/>
                <w:bCs/>
                <w:color w:val="003E6B"/>
                <w:sz w:val="18"/>
                <w:szCs w:val="18"/>
              </w:rPr>
              <w:t xml:space="preserve">MARC 21</w:t>
            </w:r>
          </w:p>
        </w:tc>
        <w:tc>
          <w:tcPr>
            <w:tcW w:type="dxa" w:w="6960"/>
            <w:tcBorders>
              <w:top w:val="single" w:color="D0E4ED" w:sz="1"/>
              <w:left w:val="single" w:color="D0E4ED" w:sz="1"/>
              <w:bottom w:val="single" w:color="D0E4ED" w:sz="1"/>
              <w:right w:val="single" w:color="D0E4ED" w:sz="1"/>
            </w:tcBorders>
            <w:shd w:fill="F0F7FA" w:val="clear"/>
            <w:tcMar>
              <w:top w:type="dxa" w:w="80"/>
              <w:left w:type="dxa" w:w="140"/>
              <w:bottom w:type="dxa" w:w="80"/>
              <w:right w:type="dxa" w:w="120"/>
            </w:tcMar>
          </w:tcPr>
          <w:p>
            <w:r>
              <w:rPr>
                <w:rFonts w:ascii="Arial" w:cs="Arial" w:eastAsia="Arial" w:hAnsi="Arial"/>
                <w:b w:val="false"/>
                <w:bCs w:val="false"/>
                <w:color w:val="444444"/>
                <w:sz w:val="18"/>
                <w:szCs w:val="18"/>
              </w:rPr>
              <w:t xml:space="preserve">Correspondances documentées pour les champs 041, 650, 651, 655 — compatible catalogage bibliothèque</w:t>
            </w:r>
          </w:p>
        </w:tc>
      </w:tr>
      <w:tr>
        <w:tc>
          <w:tcPr>
            <w:tcW w:type="dxa" w:w="2400"/>
            <w:tcBorders>
              <w:top w:val="single" w:color="D0E4ED" w:sz="1"/>
              <w:left w:val="single" w:color="D0E4ED" w:sz="1"/>
              <w:bottom w:val="single" w:color="D0E4ED" w:sz="1"/>
              <w:right w:val="single" w:color="D0E4ED" w:sz="1"/>
            </w:tcBorders>
            <w:shd w:fill="FFFFFF" w:val="clear"/>
            <w:tcMar>
              <w:top w:type="dxa" w:w="80"/>
              <w:left w:type="dxa" w:w="140"/>
              <w:bottom w:type="dxa" w:w="80"/>
              <w:right w:type="dxa" w:w="120"/>
            </w:tcMar>
          </w:tcPr>
          <w:p>
            <w:r>
              <w:rPr>
                <w:rFonts w:ascii="Arial" w:cs="Arial" w:eastAsia="Arial" w:hAnsi="Arial"/>
                <w:b/>
                <w:bCs/>
                <w:color w:val="003E6B"/>
                <w:sz w:val="18"/>
                <w:szCs w:val="18"/>
              </w:rPr>
              <w:t xml:space="preserve">IFLA LRM</w:t>
            </w:r>
          </w:p>
        </w:tc>
        <w:tc>
          <w:tcPr>
            <w:tcW w:type="dxa" w:w="6960"/>
            <w:tcBorders>
              <w:top w:val="single" w:color="D0E4ED" w:sz="1"/>
              <w:left w:val="single" w:color="D0E4ED" w:sz="1"/>
              <w:bottom w:val="single" w:color="D0E4ED" w:sz="1"/>
              <w:right w:val="single" w:color="D0E4ED" w:sz="1"/>
            </w:tcBorders>
            <w:shd w:fill="FFFFFF" w:val="clear"/>
            <w:tcMar>
              <w:top w:type="dxa" w:w="80"/>
              <w:left w:type="dxa" w:w="140"/>
              <w:bottom w:type="dxa" w:w="80"/>
              <w:right w:type="dxa" w:w="120"/>
            </w:tcMar>
          </w:tcPr>
          <w:p>
            <w:r>
              <w:rPr>
                <w:rFonts w:ascii="Arial" w:cs="Arial" w:eastAsia="Arial" w:hAnsi="Arial"/>
                <w:b w:val="false"/>
                <w:bCs w:val="false"/>
                <w:color w:val="444444"/>
                <w:sz w:val="18"/>
                <w:szCs w:val="18"/>
              </w:rPr>
              <w:t xml:space="preserve">Cohérence avec le modèle de référence bibliographique IFLA — entités Res, Agent, Place, Timespan</w:t>
            </w:r>
          </w:p>
        </w:tc>
      </w:tr>
      <w:tr>
        <w:tc>
          <w:tcPr>
            <w:tcW w:type="dxa" w:w="2400"/>
            <w:tcBorders>
              <w:top w:val="single" w:color="D0E4ED" w:sz="1"/>
              <w:left w:val="single" w:color="D0E4ED" w:sz="1"/>
              <w:bottom w:val="single" w:color="D0E4ED" w:sz="1"/>
              <w:right w:val="single" w:color="D0E4ED" w:sz="1"/>
            </w:tcBorders>
            <w:shd w:fill="F0F7FA" w:val="clear"/>
            <w:tcMar>
              <w:top w:type="dxa" w:w="80"/>
              <w:left w:type="dxa" w:w="140"/>
              <w:bottom w:type="dxa" w:w="80"/>
              <w:right w:type="dxa" w:w="120"/>
            </w:tcMar>
          </w:tcPr>
          <w:p>
            <w:r>
              <w:rPr>
                <w:rFonts w:ascii="Arial" w:cs="Arial" w:eastAsia="Arial" w:hAnsi="Arial"/>
                <w:b/>
                <w:bCs/>
                <w:color w:val="003E6B"/>
                <w:sz w:val="18"/>
                <w:szCs w:val="18"/>
              </w:rPr>
              <w:t xml:space="preserve">ISO 639-3</w:t>
            </w:r>
          </w:p>
        </w:tc>
        <w:tc>
          <w:tcPr>
            <w:tcW w:type="dxa" w:w="6960"/>
            <w:tcBorders>
              <w:top w:val="single" w:color="D0E4ED" w:sz="1"/>
              <w:left w:val="single" w:color="D0E4ED" w:sz="1"/>
              <w:bottom w:val="single" w:color="D0E4ED" w:sz="1"/>
              <w:right w:val="single" w:color="D0E4ED" w:sz="1"/>
            </w:tcBorders>
            <w:shd w:fill="F0F7FA" w:val="clear"/>
            <w:tcMar>
              <w:top w:type="dxa" w:w="80"/>
              <w:left w:type="dxa" w:w="140"/>
              <w:bottom w:type="dxa" w:w="80"/>
              <w:right w:type="dxa" w:w="120"/>
            </w:tcMar>
          </w:tcPr>
          <w:p>
            <w:r>
              <w:rPr>
                <w:rFonts w:ascii="Arial" w:cs="Arial" w:eastAsia="Arial" w:hAnsi="Arial"/>
                <w:b w:val="false"/>
                <w:bCs w:val="false"/>
                <w:color w:val="444444"/>
                <w:sz w:val="18"/>
                <w:szCs w:val="18"/>
              </w:rPr>
              <w:t xml:space="preserve">Codes de langue ISO 639-3 utilisés nativement pour toutes les langues caribéennes</w:t>
            </w:r>
          </w:p>
        </w:tc>
      </w:tr>
    </w:tbl>
    <w:p>
      <w:pPr>
        <w:pBdr>
          <w:left w:val="single" w:color="00C2C7" w:sz="10" w:space="6"/>
        </w:pBdr>
        <w:spacing w:after="80" w:before="340"/>
        <w:ind w:left="140"/>
      </w:pPr>
      <w:r>
        <w:rPr>
          <w:rFonts w:ascii="Arial" w:cs="Arial" w:eastAsia="Arial" w:hAnsi="Arial"/>
          <w:b/>
          <w:bCs/>
          <w:color w:val="00C2C7"/>
          <w:spacing w:val="60"/>
          <w:sz w:val="17"/>
          <w:szCs w:val="17"/>
        </w:rPr>
        <w:t xml:space="preserve">5. RECONNAISSANCE INTERNATIONALE EN COURS</w:t>
      </w:r>
    </w:p>
    <w:p>
      <w:pPr>
        <w:spacing w:after="60" w:before="60"/>
        <w:jc w:val="both"/>
      </w:pPr>
      <w:r>
        <w:rPr>
          <w:rFonts w:ascii="Arial" w:cs="Arial" w:eastAsia="Arial" w:hAnsi="Arial"/>
          <w:b w:val="false"/>
          <w:bCs w:val="false"/>
          <w:i w:val="false"/>
          <w:iCs w:val="false"/>
          <w:color w:val="333333"/>
          <w:sz w:val="20"/>
          <w:szCs w:val="20"/>
        </w:rPr>
        <w:t xml:space="preserve">Les démarches de reconnaissance formelle suivantes sont actuellement en cours :</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D0E4ED" w:sz="1"/>
              <w:left w:val="single" w:color="D0E4ED" w:sz="1"/>
              <w:bottom w:val="single" w:color="D0E4ED" w:sz="1"/>
              <w:right w:val="single" w:color="D0E4ED" w:sz="1"/>
            </w:tcBorders>
            <w:shd w:fill="003E6B" w:val="clear"/>
            <w:tcMar>
              <w:top w:type="dxa" w:w="80"/>
              <w:left w:type="dxa" w:w="140"/>
              <w:bottom w:type="dxa" w:w="80"/>
              <w:right w:type="dxa" w:w="120"/>
            </w:tcMar>
          </w:tcPr>
          <w:p>
            <w:r>
              <w:rPr>
                <w:rFonts w:ascii="Arial" w:cs="Arial" w:eastAsia="Arial" w:hAnsi="Arial"/>
                <w:b/>
                <w:bCs/>
                <w:color w:val="FFFFFF"/>
                <w:sz w:val="18"/>
                <w:szCs w:val="18"/>
              </w:rPr>
              <w:t xml:space="preserve">Institution</w:t>
            </w:r>
          </w:p>
        </w:tc>
        <w:tc>
          <w:tcPr>
            <w:tcW w:type="dxa" w:w="3080"/>
            <w:tcBorders>
              <w:top w:val="single" w:color="D0E4ED" w:sz="1"/>
              <w:left w:val="single" w:color="D0E4ED" w:sz="1"/>
              <w:bottom w:val="single" w:color="D0E4ED" w:sz="1"/>
              <w:right w:val="single" w:color="D0E4ED" w:sz="1"/>
            </w:tcBorders>
            <w:shd w:fill="003E6B" w:val="clear"/>
            <w:tcMar>
              <w:top w:type="dxa" w:w="80"/>
              <w:left w:type="dxa" w:w="140"/>
              <w:bottom w:type="dxa" w:w="80"/>
              <w:right w:type="dxa" w:w="120"/>
            </w:tcMar>
          </w:tcPr>
          <w:p>
            <w:r>
              <w:rPr>
                <w:rFonts w:ascii="Arial" w:cs="Arial" w:eastAsia="Arial" w:hAnsi="Arial"/>
                <w:b/>
                <w:bCs/>
                <w:color w:val="FFFFFF"/>
                <w:sz w:val="18"/>
                <w:szCs w:val="18"/>
              </w:rPr>
              <w:t xml:space="preserve">Démarche</w:t>
            </w:r>
          </w:p>
        </w:tc>
        <w:tc>
          <w:tcPr>
            <w:tcW w:type="dxa" w:w="3080"/>
            <w:tcBorders>
              <w:top w:val="single" w:color="D0E4ED" w:sz="1"/>
              <w:left w:val="single" w:color="D0E4ED" w:sz="1"/>
              <w:bottom w:val="single" w:color="D0E4ED" w:sz="1"/>
              <w:right w:val="single" w:color="D0E4ED" w:sz="1"/>
            </w:tcBorders>
            <w:shd w:fill="003E6B" w:val="clear"/>
            <w:tcMar>
              <w:top w:type="dxa" w:w="80"/>
              <w:left w:type="dxa" w:w="140"/>
              <w:bottom w:type="dxa" w:w="80"/>
              <w:right w:type="dxa" w:w="120"/>
            </w:tcMar>
          </w:tcPr>
          <w:p>
            <w:r>
              <w:rPr>
                <w:rFonts w:ascii="Arial" w:cs="Arial" w:eastAsia="Arial" w:hAnsi="Arial"/>
                <w:b/>
                <w:bCs/>
                <w:color w:val="FFFFFF"/>
                <w:sz w:val="18"/>
                <w:szCs w:val="18"/>
              </w:rPr>
              <w:t xml:space="preserve">Statut</w:t>
            </w:r>
          </w:p>
        </w:tc>
      </w:tr>
      <w:tr>
        <w:tc>
          <w:tcPr>
            <w:tcW w:type="dxa" w:w="3200"/>
            <w:tcBorders>
              <w:top w:val="single" w:color="D0E4ED" w:sz="1"/>
              <w:left w:val="single" w:color="D0E4ED" w:sz="1"/>
              <w:bottom w:val="single" w:color="D0E4ED" w:sz="1"/>
              <w:right w:val="single" w:color="D0E4ED" w:sz="1"/>
            </w:tcBorders>
            <w:shd w:fill="FFFFFF" w:val="clear"/>
            <w:tcMar>
              <w:top w:type="dxa" w:w="80"/>
              <w:left w:type="dxa" w:w="140"/>
              <w:bottom w:type="dxa" w:w="80"/>
              <w:right w:type="dxa" w:w="120"/>
            </w:tcMar>
          </w:tcPr>
          <w:p>
            <w:r>
              <w:rPr>
                <w:rFonts w:ascii="Arial" w:cs="Arial" w:eastAsia="Arial" w:hAnsi="Arial"/>
                <w:b/>
                <w:bCs/>
                <w:color w:val="003E6B"/>
                <w:sz w:val="18"/>
                <w:szCs w:val="18"/>
              </w:rPr>
              <w:t xml:space="preserve">IFLA METATEC</w:t>
            </w:r>
          </w:p>
        </w:tc>
        <w:tc>
          <w:tcPr>
            <w:tcW w:type="dxa" w:w="3080"/>
            <w:tcBorders>
              <w:top w:val="single" w:color="D0E4ED" w:sz="1"/>
              <w:left w:val="single" w:color="D0E4ED" w:sz="1"/>
              <w:bottom w:val="single" w:color="D0E4ED" w:sz="1"/>
              <w:right w:val="single" w:color="D0E4ED" w:sz="1"/>
            </w:tcBorders>
            <w:shd w:fill="FFFFFF" w:val="clear"/>
            <w:tcMar>
              <w:top w:type="dxa" w:w="80"/>
              <w:left w:type="dxa" w:w="140"/>
              <w:bottom w:type="dxa" w:w="80"/>
              <w:right w:type="dxa" w:w="120"/>
            </w:tcMar>
          </w:tcPr>
          <w:p>
            <w:r>
              <w:rPr>
                <w:rFonts w:ascii="Arial" w:cs="Arial" w:eastAsia="Arial" w:hAnsi="Arial"/>
                <w:b w:val="false"/>
                <w:bCs w:val="false"/>
                <w:color w:val="444444"/>
                <w:sz w:val="18"/>
                <w:szCs w:val="18"/>
              </w:rPr>
              <w:t xml:space="preserve">Examen pour intégration dans les recommandations métadonnées IFLA</w:t>
            </w:r>
          </w:p>
        </w:tc>
        <w:tc>
          <w:tcPr>
            <w:tcW w:type="dxa" w:w="3080"/>
            <w:tcBorders>
              <w:top w:val="single" w:color="D0E4ED" w:sz="1"/>
              <w:left w:val="single" w:color="D0E4ED" w:sz="1"/>
              <w:bottom w:val="single" w:color="D0E4ED" w:sz="1"/>
              <w:right w:val="single" w:color="D0E4ED" w:sz="1"/>
            </w:tcBorders>
            <w:shd w:fill="FFFFFF" w:val="clear"/>
            <w:tcMar>
              <w:top w:type="dxa" w:w="80"/>
              <w:left w:type="dxa" w:w="140"/>
              <w:bottom w:type="dxa" w:w="80"/>
              <w:right w:type="dxa" w:w="120"/>
            </w:tcMar>
          </w:tcPr>
          <w:p>
            <w:r>
              <w:rPr>
                <w:rFonts w:ascii="Arial" w:cs="Arial" w:eastAsia="Arial" w:hAnsi="Arial"/>
                <w:b w:val="false"/>
                <w:bCs w:val="false"/>
                <w:color w:val="444444"/>
                <w:sz w:val="18"/>
                <w:szCs w:val="18"/>
              </w:rPr>
              <w:t xml:space="preserve">Sous examen — Mai 2026</w:t>
            </w:r>
          </w:p>
        </w:tc>
      </w:tr>
      <w:tr>
        <w:tc>
          <w:tcPr>
            <w:tcW w:type="dxa" w:w="3200"/>
            <w:tcBorders>
              <w:top w:val="single" w:color="D0E4ED" w:sz="1"/>
              <w:left w:val="single" w:color="D0E4ED" w:sz="1"/>
              <w:bottom w:val="single" w:color="D0E4ED" w:sz="1"/>
              <w:right w:val="single" w:color="D0E4ED" w:sz="1"/>
            </w:tcBorders>
            <w:shd w:fill="F0F7FA" w:val="clear"/>
            <w:tcMar>
              <w:top w:type="dxa" w:w="80"/>
              <w:left w:type="dxa" w:w="140"/>
              <w:bottom w:type="dxa" w:w="80"/>
              <w:right w:type="dxa" w:w="120"/>
            </w:tcMar>
          </w:tcPr>
          <w:p>
            <w:r>
              <w:rPr>
                <w:rFonts w:ascii="Arial" w:cs="Arial" w:eastAsia="Arial" w:hAnsi="Arial"/>
                <w:b/>
                <w:bCs/>
                <w:color w:val="003E6B"/>
                <w:sz w:val="18"/>
                <w:szCs w:val="18"/>
              </w:rPr>
              <w:t xml:space="preserve">CROSQ CARICOM</w:t>
            </w:r>
          </w:p>
        </w:tc>
        <w:tc>
          <w:tcPr>
            <w:tcW w:type="dxa" w:w="3080"/>
            <w:tcBorders>
              <w:top w:val="single" w:color="D0E4ED" w:sz="1"/>
              <w:left w:val="single" w:color="D0E4ED" w:sz="1"/>
              <w:bottom w:val="single" w:color="D0E4ED" w:sz="1"/>
              <w:right w:val="single" w:color="D0E4ED" w:sz="1"/>
            </w:tcBorders>
            <w:shd w:fill="F0F7FA" w:val="clear"/>
            <w:tcMar>
              <w:top w:type="dxa" w:w="80"/>
              <w:left w:type="dxa" w:w="140"/>
              <w:bottom w:type="dxa" w:w="80"/>
              <w:right w:type="dxa" w:w="120"/>
            </w:tcMar>
          </w:tcPr>
          <w:p>
            <w:r>
              <w:rPr>
                <w:rFonts w:ascii="Arial" w:cs="Arial" w:eastAsia="Arial" w:hAnsi="Arial"/>
                <w:b w:val="false"/>
                <w:bCs w:val="false"/>
                <w:color w:val="444444"/>
                <w:sz w:val="18"/>
                <w:szCs w:val="18"/>
              </w:rPr>
              <w:t xml:space="preserve">New Work Item Proposal (NWIP) — standard régional Caraïbe</w:t>
            </w:r>
          </w:p>
        </w:tc>
        <w:tc>
          <w:tcPr>
            <w:tcW w:type="dxa" w:w="3080"/>
            <w:tcBorders>
              <w:top w:val="single" w:color="D0E4ED" w:sz="1"/>
              <w:left w:val="single" w:color="D0E4ED" w:sz="1"/>
              <w:bottom w:val="single" w:color="D0E4ED" w:sz="1"/>
              <w:right w:val="single" w:color="D0E4ED" w:sz="1"/>
            </w:tcBorders>
            <w:shd w:fill="F0F7FA" w:val="clear"/>
            <w:tcMar>
              <w:top w:type="dxa" w:w="80"/>
              <w:left w:type="dxa" w:w="140"/>
              <w:bottom w:type="dxa" w:w="80"/>
              <w:right w:type="dxa" w:w="120"/>
            </w:tcMar>
          </w:tcPr>
          <w:p>
            <w:r>
              <w:rPr>
                <w:rFonts w:ascii="Arial" w:cs="Arial" w:eastAsia="Arial" w:hAnsi="Arial"/>
                <w:b w:val="false"/>
                <w:bCs w:val="false"/>
                <w:color w:val="444444"/>
                <w:sz w:val="18"/>
                <w:szCs w:val="18"/>
              </w:rPr>
              <w:t xml:space="preserve">NWIP soumis — Mai 2026</w:t>
            </w:r>
          </w:p>
        </w:tc>
      </w:tr>
      <w:tr>
        <w:tc>
          <w:tcPr>
            <w:tcW w:type="dxa" w:w="3200"/>
            <w:tcBorders>
              <w:top w:val="single" w:color="D0E4ED" w:sz="1"/>
              <w:left w:val="single" w:color="D0E4ED" w:sz="1"/>
              <w:bottom w:val="single" w:color="D0E4ED" w:sz="1"/>
              <w:right w:val="single" w:color="D0E4ED" w:sz="1"/>
            </w:tcBorders>
            <w:shd w:fill="FFFFFF" w:val="clear"/>
            <w:tcMar>
              <w:top w:type="dxa" w:w="80"/>
              <w:left w:type="dxa" w:w="140"/>
              <w:bottom w:type="dxa" w:w="80"/>
              <w:right w:type="dxa" w:w="120"/>
            </w:tcMar>
          </w:tcPr>
          <w:p>
            <w:r>
              <w:rPr>
                <w:rFonts w:ascii="Arial" w:cs="Arial" w:eastAsia="Arial" w:hAnsi="Arial"/>
                <w:b/>
                <w:bCs/>
                <w:color w:val="003E6B"/>
                <w:sz w:val="18"/>
                <w:szCs w:val="18"/>
              </w:rPr>
              <w:t xml:space="preserve">AFNOR / ISO TC 46</w:t>
            </w:r>
          </w:p>
        </w:tc>
        <w:tc>
          <w:tcPr>
            <w:tcW w:type="dxa" w:w="3080"/>
            <w:tcBorders>
              <w:top w:val="single" w:color="D0E4ED" w:sz="1"/>
              <w:left w:val="single" w:color="D0E4ED" w:sz="1"/>
              <w:bottom w:val="single" w:color="D0E4ED" w:sz="1"/>
              <w:right w:val="single" w:color="D0E4ED" w:sz="1"/>
            </w:tcBorders>
            <w:shd w:fill="FFFFFF" w:val="clear"/>
            <w:tcMar>
              <w:top w:type="dxa" w:w="80"/>
              <w:left w:type="dxa" w:w="140"/>
              <w:bottom w:type="dxa" w:w="80"/>
              <w:right w:type="dxa" w:w="120"/>
            </w:tcMar>
          </w:tcPr>
          <w:p>
            <w:r>
              <w:rPr>
                <w:rFonts w:ascii="Arial" w:cs="Arial" w:eastAsia="Arial" w:hAnsi="Arial"/>
                <w:b w:val="false"/>
                <w:bCs w:val="false"/>
                <w:color w:val="444444"/>
                <w:sz w:val="18"/>
                <w:szCs w:val="18"/>
              </w:rPr>
              <w:t xml:space="preserve">Soumission au comité ISO Information et documentation</w:t>
            </w:r>
          </w:p>
        </w:tc>
        <w:tc>
          <w:tcPr>
            <w:tcW w:type="dxa" w:w="3080"/>
            <w:tcBorders>
              <w:top w:val="single" w:color="D0E4ED" w:sz="1"/>
              <w:left w:val="single" w:color="D0E4ED" w:sz="1"/>
              <w:bottom w:val="single" w:color="D0E4ED" w:sz="1"/>
              <w:right w:val="single" w:color="D0E4ED" w:sz="1"/>
            </w:tcBorders>
            <w:shd w:fill="FFFFFF" w:val="clear"/>
            <w:tcMar>
              <w:top w:type="dxa" w:w="80"/>
              <w:left w:type="dxa" w:w="140"/>
              <w:bottom w:type="dxa" w:w="80"/>
              <w:right w:type="dxa" w:w="120"/>
            </w:tcMar>
          </w:tcPr>
          <w:p>
            <w:r>
              <w:rPr>
                <w:rFonts w:ascii="Arial" w:cs="Arial" w:eastAsia="Arial" w:hAnsi="Arial"/>
                <w:b w:val="false"/>
                <w:bCs w:val="false"/>
                <w:color w:val="444444"/>
                <w:sz w:val="18"/>
                <w:szCs w:val="18"/>
              </w:rPr>
              <w:t xml:space="preserve">Soumis — Mai 2026</w:t>
            </w:r>
          </w:p>
        </w:tc>
      </w:tr>
      <w:tr>
        <w:tc>
          <w:tcPr>
            <w:tcW w:type="dxa" w:w="3200"/>
            <w:tcBorders>
              <w:top w:val="single" w:color="D0E4ED" w:sz="1"/>
              <w:left w:val="single" w:color="D0E4ED" w:sz="1"/>
              <w:bottom w:val="single" w:color="D0E4ED" w:sz="1"/>
              <w:right w:val="single" w:color="D0E4ED" w:sz="1"/>
            </w:tcBorders>
            <w:shd w:fill="F0F7FA" w:val="clear"/>
            <w:tcMar>
              <w:top w:type="dxa" w:w="80"/>
              <w:left w:type="dxa" w:w="140"/>
              <w:bottom w:type="dxa" w:w="80"/>
              <w:right w:type="dxa" w:w="120"/>
            </w:tcMar>
          </w:tcPr>
          <w:p>
            <w:r>
              <w:rPr>
                <w:rFonts w:ascii="Arial" w:cs="Arial" w:eastAsia="Arial" w:hAnsi="Arial"/>
                <w:b/>
                <w:bCs/>
                <w:color w:val="003E6B"/>
                <w:sz w:val="18"/>
                <w:szCs w:val="18"/>
              </w:rPr>
              <w:t xml:space="preserve">UNESCO — PCI</w:t>
            </w:r>
          </w:p>
        </w:tc>
        <w:tc>
          <w:tcPr>
            <w:tcW w:type="dxa" w:w="3080"/>
            <w:tcBorders>
              <w:top w:val="single" w:color="D0E4ED" w:sz="1"/>
              <w:left w:val="single" w:color="D0E4ED" w:sz="1"/>
              <w:bottom w:val="single" w:color="D0E4ED" w:sz="1"/>
              <w:right w:val="single" w:color="D0E4ED" w:sz="1"/>
            </w:tcBorders>
            <w:shd w:fill="F0F7FA" w:val="clear"/>
            <w:tcMar>
              <w:top w:type="dxa" w:w="80"/>
              <w:left w:type="dxa" w:w="140"/>
              <w:bottom w:type="dxa" w:w="80"/>
              <w:right w:type="dxa" w:w="120"/>
            </w:tcMar>
          </w:tcPr>
          <w:p>
            <w:r>
              <w:rPr>
                <w:rFonts w:ascii="Arial" w:cs="Arial" w:eastAsia="Arial" w:hAnsi="Arial"/>
                <w:b w:val="false"/>
                <w:bCs w:val="false"/>
                <w:color w:val="444444"/>
                <w:sz w:val="18"/>
                <w:szCs w:val="18"/>
              </w:rPr>
              <w:t xml:space="preserve">Alignement avec le programme Patrimoine Culturel Immatériel</w:t>
            </w:r>
          </w:p>
        </w:tc>
        <w:tc>
          <w:tcPr>
            <w:tcW w:type="dxa" w:w="3080"/>
            <w:tcBorders>
              <w:top w:val="single" w:color="D0E4ED" w:sz="1"/>
              <w:left w:val="single" w:color="D0E4ED" w:sz="1"/>
              <w:bottom w:val="single" w:color="D0E4ED" w:sz="1"/>
              <w:right w:val="single" w:color="D0E4ED" w:sz="1"/>
            </w:tcBorders>
            <w:shd w:fill="F0F7FA" w:val="clear"/>
            <w:tcMar>
              <w:top w:type="dxa" w:w="80"/>
              <w:left w:type="dxa" w:w="140"/>
              <w:bottom w:type="dxa" w:w="80"/>
              <w:right w:type="dxa" w:w="120"/>
            </w:tcMar>
          </w:tcPr>
          <w:p>
            <w:r>
              <w:rPr>
                <w:rFonts w:ascii="Arial" w:cs="Arial" w:eastAsia="Arial" w:hAnsi="Arial"/>
                <w:b w:val="false"/>
                <w:bCs w:val="false"/>
                <w:color w:val="444444"/>
                <w:sz w:val="18"/>
                <w:szCs w:val="18"/>
              </w:rPr>
              <w:t xml:space="preserve">Soumis — Mai 2026</w:t>
            </w:r>
          </w:p>
        </w:tc>
      </w:tr>
      <w:tr>
        <w:tc>
          <w:tcPr>
            <w:tcW w:type="dxa" w:w="3200"/>
            <w:tcBorders>
              <w:top w:val="single" w:color="D0E4ED" w:sz="1"/>
              <w:left w:val="single" w:color="D0E4ED" w:sz="1"/>
              <w:bottom w:val="single" w:color="D0E4ED" w:sz="1"/>
              <w:right w:val="single" w:color="D0E4ED" w:sz="1"/>
            </w:tcBorders>
            <w:shd w:fill="FFFFFF" w:val="clear"/>
            <w:tcMar>
              <w:top w:type="dxa" w:w="80"/>
              <w:left w:type="dxa" w:w="140"/>
              <w:bottom w:type="dxa" w:w="80"/>
              <w:right w:type="dxa" w:w="120"/>
            </w:tcMar>
          </w:tcPr>
          <w:p>
            <w:r>
              <w:rPr>
                <w:rFonts w:ascii="Arial" w:cs="Arial" w:eastAsia="Arial" w:hAnsi="Arial"/>
                <w:b/>
                <w:bCs/>
                <w:color w:val="003E6B"/>
                <w:sz w:val="18"/>
                <w:szCs w:val="18"/>
              </w:rPr>
              <w:t xml:space="preserve">W3C</w:t>
            </w:r>
          </w:p>
        </w:tc>
        <w:tc>
          <w:tcPr>
            <w:tcW w:type="dxa" w:w="3080"/>
            <w:tcBorders>
              <w:top w:val="single" w:color="D0E4ED" w:sz="1"/>
              <w:left w:val="single" w:color="D0E4ED" w:sz="1"/>
              <w:bottom w:val="single" w:color="D0E4ED" w:sz="1"/>
              <w:right w:val="single" w:color="D0E4ED" w:sz="1"/>
            </w:tcBorders>
            <w:shd w:fill="FFFFFF" w:val="clear"/>
            <w:tcMar>
              <w:top w:type="dxa" w:w="80"/>
              <w:left w:type="dxa" w:w="140"/>
              <w:bottom w:type="dxa" w:w="80"/>
              <w:right w:type="dxa" w:w="120"/>
            </w:tcMar>
          </w:tcPr>
          <w:p>
            <w:r>
              <w:rPr>
                <w:rFonts w:ascii="Arial" w:cs="Arial" w:eastAsia="Arial" w:hAnsi="Arial"/>
                <w:b w:val="false"/>
                <w:bCs w:val="false"/>
                <w:color w:val="444444"/>
                <w:sz w:val="18"/>
                <w:szCs w:val="18"/>
              </w:rPr>
              <w:t xml:space="preserve">Alignement schema.org / JSON-LD</w:t>
            </w:r>
          </w:p>
        </w:tc>
        <w:tc>
          <w:tcPr>
            <w:tcW w:type="dxa" w:w="3080"/>
            <w:tcBorders>
              <w:top w:val="single" w:color="D0E4ED" w:sz="1"/>
              <w:left w:val="single" w:color="D0E4ED" w:sz="1"/>
              <w:bottom w:val="single" w:color="D0E4ED" w:sz="1"/>
              <w:right w:val="single" w:color="D0E4ED" w:sz="1"/>
            </w:tcBorders>
            <w:shd w:fill="FFFFFF" w:val="clear"/>
            <w:tcMar>
              <w:top w:type="dxa" w:w="80"/>
              <w:left w:type="dxa" w:w="140"/>
              <w:bottom w:type="dxa" w:w="80"/>
              <w:right w:type="dxa" w:w="120"/>
            </w:tcMar>
          </w:tcPr>
          <w:p>
            <w:r>
              <w:rPr>
                <w:rFonts w:ascii="Arial" w:cs="Arial" w:eastAsia="Arial" w:hAnsi="Arial"/>
                <w:b w:val="false"/>
                <w:bCs w:val="false"/>
                <w:color w:val="444444"/>
                <w:sz w:val="18"/>
                <w:szCs w:val="18"/>
              </w:rPr>
              <w:t xml:space="preserve">Soumis — Mai 2026</w:t>
            </w:r>
          </w:p>
        </w:tc>
      </w:tr>
      <w:tr>
        <w:tc>
          <w:tcPr>
            <w:tcW w:type="dxa" w:w="3200"/>
            <w:tcBorders>
              <w:top w:val="single" w:color="D0E4ED" w:sz="1"/>
              <w:left w:val="single" w:color="D0E4ED" w:sz="1"/>
              <w:bottom w:val="single" w:color="D0E4ED" w:sz="1"/>
              <w:right w:val="single" w:color="D0E4ED" w:sz="1"/>
            </w:tcBorders>
            <w:shd w:fill="F0F7FA" w:val="clear"/>
            <w:tcMar>
              <w:top w:type="dxa" w:w="80"/>
              <w:left w:type="dxa" w:w="140"/>
              <w:bottom w:type="dxa" w:w="80"/>
              <w:right w:type="dxa" w:w="120"/>
            </w:tcMar>
          </w:tcPr>
          <w:p>
            <w:r>
              <w:rPr>
                <w:rFonts w:ascii="Arial" w:cs="Arial" w:eastAsia="Arial" w:hAnsi="Arial"/>
                <w:b/>
                <w:bCs/>
                <w:color w:val="003E6B"/>
                <w:sz w:val="18"/>
                <w:szCs w:val="18"/>
              </w:rPr>
              <w:t xml:space="preserve">Dublin Core Metadata Initiative</w:t>
            </w:r>
          </w:p>
        </w:tc>
        <w:tc>
          <w:tcPr>
            <w:tcW w:type="dxa" w:w="3080"/>
            <w:tcBorders>
              <w:top w:val="single" w:color="D0E4ED" w:sz="1"/>
              <w:left w:val="single" w:color="D0E4ED" w:sz="1"/>
              <w:bottom w:val="single" w:color="D0E4ED" w:sz="1"/>
              <w:right w:val="single" w:color="D0E4ED" w:sz="1"/>
            </w:tcBorders>
            <w:shd w:fill="F0F7FA" w:val="clear"/>
            <w:tcMar>
              <w:top w:type="dxa" w:w="80"/>
              <w:left w:type="dxa" w:w="140"/>
              <w:bottom w:type="dxa" w:w="80"/>
              <w:right w:type="dxa" w:w="120"/>
            </w:tcMar>
          </w:tcPr>
          <w:p>
            <w:r>
              <w:rPr>
                <w:rFonts w:ascii="Arial" w:cs="Arial" w:eastAsia="Arial" w:hAnsi="Arial"/>
                <w:b w:val="false"/>
                <w:bCs w:val="false"/>
                <w:color w:val="444444"/>
                <w:sz w:val="18"/>
                <w:szCs w:val="18"/>
              </w:rPr>
              <w:t xml:space="preserve">Extension du vocabulaire Dublin Core</w:t>
            </w:r>
          </w:p>
        </w:tc>
        <w:tc>
          <w:tcPr>
            <w:tcW w:type="dxa" w:w="3080"/>
            <w:tcBorders>
              <w:top w:val="single" w:color="D0E4ED" w:sz="1"/>
              <w:left w:val="single" w:color="D0E4ED" w:sz="1"/>
              <w:bottom w:val="single" w:color="D0E4ED" w:sz="1"/>
              <w:right w:val="single" w:color="D0E4ED" w:sz="1"/>
            </w:tcBorders>
            <w:shd w:fill="F0F7FA" w:val="clear"/>
            <w:tcMar>
              <w:top w:type="dxa" w:w="80"/>
              <w:left w:type="dxa" w:w="140"/>
              <w:bottom w:type="dxa" w:w="80"/>
              <w:right w:type="dxa" w:w="120"/>
            </w:tcMar>
          </w:tcPr>
          <w:p>
            <w:r>
              <w:rPr>
                <w:rFonts w:ascii="Arial" w:cs="Arial" w:eastAsia="Arial" w:hAnsi="Arial"/>
                <w:b w:val="false"/>
                <w:bCs w:val="false"/>
                <w:color w:val="444444"/>
                <w:sz w:val="18"/>
                <w:szCs w:val="18"/>
              </w:rPr>
              <w:t xml:space="preserve">Soumis — Mai 2026</w:t>
            </w:r>
          </w:p>
        </w:tc>
      </w:tr>
      <w:tr>
        <w:tc>
          <w:tcPr>
            <w:tcW w:type="dxa" w:w="3200"/>
            <w:tcBorders>
              <w:top w:val="single" w:color="D0E4ED" w:sz="1"/>
              <w:left w:val="single" w:color="D0E4ED" w:sz="1"/>
              <w:bottom w:val="single" w:color="D0E4ED" w:sz="1"/>
              <w:right w:val="single" w:color="D0E4ED" w:sz="1"/>
            </w:tcBorders>
            <w:shd w:fill="FFFFFF" w:val="clear"/>
            <w:tcMar>
              <w:top w:type="dxa" w:w="80"/>
              <w:left w:type="dxa" w:w="140"/>
              <w:bottom w:type="dxa" w:w="80"/>
              <w:right w:type="dxa" w:w="120"/>
            </w:tcMar>
          </w:tcPr>
          <w:p>
            <w:r>
              <w:rPr>
                <w:rFonts w:ascii="Arial" w:cs="Arial" w:eastAsia="Arial" w:hAnsi="Arial"/>
                <w:b/>
                <w:bCs/>
                <w:color w:val="003E6B"/>
                <w:sz w:val="18"/>
                <w:szCs w:val="18"/>
              </w:rPr>
              <w:t xml:space="preserve">WIPO</w:t>
            </w:r>
          </w:p>
        </w:tc>
        <w:tc>
          <w:tcPr>
            <w:tcW w:type="dxa" w:w="3080"/>
            <w:tcBorders>
              <w:top w:val="single" w:color="D0E4ED" w:sz="1"/>
              <w:left w:val="single" w:color="D0E4ED" w:sz="1"/>
              <w:bottom w:val="single" w:color="D0E4ED" w:sz="1"/>
              <w:right w:val="single" w:color="D0E4ED" w:sz="1"/>
            </w:tcBorders>
            <w:shd w:fill="FFFFFF" w:val="clear"/>
            <w:tcMar>
              <w:top w:type="dxa" w:w="80"/>
              <w:left w:type="dxa" w:w="140"/>
              <w:bottom w:type="dxa" w:w="80"/>
              <w:right w:type="dxa" w:w="120"/>
            </w:tcMar>
          </w:tcPr>
          <w:p>
            <w:r>
              <w:rPr>
                <w:rFonts w:ascii="Arial" w:cs="Arial" w:eastAsia="Arial" w:hAnsi="Arial"/>
                <w:b w:val="false"/>
                <w:bCs w:val="false"/>
                <w:color w:val="444444"/>
                <w:sz w:val="18"/>
                <w:szCs w:val="18"/>
              </w:rPr>
              <w:t xml:space="preserve">Métadonnées droits et propriété intellectuelle</w:t>
            </w:r>
          </w:p>
        </w:tc>
        <w:tc>
          <w:tcPr>
            <w:tcW w:type="dxa" w:w="3080"/>
            <w:tcBorders>
              <w:top w:val="single" w:color="D0E4ED" w:sz="1"/>
              <w:left w:val="single" w:color="D0E4ED" w:sz="1"/>
              <w:bottom w:val="single" w:color="D0E4ED" w:sz="1"/>
              <w:right w:val="single" w:color="D0E4ED" w:sz="1"/>
            </w:tcBorders>
            <w:shd w:fill="FFFFFF" w:val="clear"/>
            <w:tcMar>
              <w:top w:type="dxa" w:w="80"/>
              <w:left w:type="dxa" w:w="140"/>
              <w:bottom w:type="dxa" w:w="80"/>
              <w:right w:type="dxa" w:w="120"/>
            </w:tcMar>
          </w:tcPr>
          <w:p>
            <w:r>
              <w:rPr>
                <w:rFonts w:ascii="Arial" w:cs="Arial" w:eastAsia="Arial" w:hAnsi="Arial"/>
                <w:b w:val="false"/>
                <w:bCs w:val="false"/>
                <w:color w:val="444444"/>
                <w:sz w:val="18"/>
                <w:szCs w:val="18"/>
              </w:rPr>
              <w:t xml:space="preserve">Soumis — Mai 2026</w:t>
            </w:r>
          </w:p>
        </w:tc>
      </w:tr>
      <w:tr>
        <w:tc>
          <w:tcPr>
            <w:tcW w:type="dxa" w:w="3200"/>
            <w:tcBorders>
              <w:top w:val="single" w:color="D0E4ED" w:sz="1"/>
              <w:left w:val="single" w:color="D0E4ED" w:sz="1"/>
              <w:bottom w:val="single" w:color="D0E4ED" w:sz="1"/>
              <w:right w:val="single" w:color="D0E4ED" w:sz="1"/>
            </w:tcBorders>
            <w:shd w:fill="F0F7FA" w:val="clear"/>
            <w:tcMar>
              <w:top w:type="dxa" w:w="80"/>
              <w:left w:type="dxa" w:w="140"/>
              <w:bottom w:type="dxa" w:w="80"/>
              <w:right w:type="dxa" w:w="120"/>
            </w:tcMar>
          </w:tcPr>
          <w:p>
            <w:r>
              <w:rPr>
                <w:rFonts w:ascii="Arial" w:cs="Arial" w:eastAsia="Arial" w:hAnsi="Arial"/>
                <w:b/>
                <w:bCs/>
                <w:color w:val="003E6B"/>
                <w:sz w:val="18"/>
                <w:szCs w:val="18"/>
              </w:rPr>
              <w:t xml:space="preserve">ACURIL</w:t>
            </w:r>
          </w:p>
        </w:tc>
        <w:tc>
          <w:tcPr>
            <w:tcW w:type="dxa" w:w="3080"/>
            <w:tcBorders>
              <w:top w:val="single" w:color="D0E4ED" w:sz="1"/>
              <w:left w:val="single" w:color="D0E4ED" w:sz="1"/>
              <w:bottom w:val="single" w:color="D0E4ED" w:sz="1"/>
              <w:right w:val="single" w:color="D0E4ED" w:sz="1"/>
            </w:tcBorders>
            <w:shd w:fill="F0F7FA" w:val="clear"/>
            <w:tcMar>
              <w:top w:type="dxa" w:w="80"/>
              <w:left w:type="dxa" w:w="140"/>
              <w:bottom w:type="dxa" w:w="80"/>
              <w:right w:type="dxa" w:w="120"/>
            </w:tcMar>
          </w:tcPr>
          <w:p>
            <w:r>
              <w:rPr>
                <w:rFonts w:ascii="Arial" w:cs="Arial" w:eastAsia="Arial" w:hAnsi="Arial"/>
                <w:b w:val="false"/>
                <w:bCs w:val="false"/>
                <w:color w:val="444444"/>
                <w:sz w:val="18"/>
                <w:szCs w:val="18"/>
              </w:rPr>
              <w:t xml:space="preserve">Association des bibliothèques des Caraïbes</w:t>
            </w:r>
          </w:p>
        </w:tc>
        <w:tc>
          <w:tcPr>
            <w:tcW w:type="dxa" w:w="3080"/>
            <w:tcBorders>
              <w:top w:val="single" w:color="D0E4ED" w:sz="1"/>
              <w:left w:val="single" w:color="D0E4ED" w:sz="1"/>
              <w:bottom w:val="single" w:color="D0E4ED" w:sz="1"/>
              <w:right w:val="single" w:color="D0E4ED" w:sz="1"/>
            </w:tcBorders>
            <w:shd w:fill="F0F7FA" w:val="clear"/>
            <w:tcMar>
              <w:top w:type="dxa" w:w="80"/>
              <w:left w:type="dxa" w:w="140"/>
              <w:bottom w:type="dxa" w:w="80"/>
              <w:right w:type="dxa" w:w="120"/>
            </w:tcMar>
          </w:tcPr>
          <w:p>
            <w:r>
              <w:rPr>
                <w:rFonts w:ascii="Arial" w:cs="Arial" w:eastAsia="Arial" w:hAnsi="Arial"/>
                <w:b w:val="false"/>
                <w:bCs w:val="false"/>
                <w:color w:val="444444"/>
                <w:sz w:val="18"/>
                <w:szCs w:val="18"/>
              </w:rPr>
              <w:t xml:space="preserve">Soumis — Mai 2026</w:t>
            </w:r>
          </w:p>
        </w:tc>
      </w:tr>
      <w:tr>
        <w:tc>
          <w:tcPr>
            <w:tcW w:type="dxa" w:w="3200"/>
            <w:tcBorders>
              <w:top w:val="single" w:color="D0E4ED" w:sz="1"/>
              <w:left w:val="single" w:color="D0E4ED" w:sz="1"/>
              <w:bottom w:val="single" w:color="D0E4ED" w:sz="1"/>
              <w:right w:val="single" w:color="D0E4ED" w:sz="1"/>
            </w:tcBorders>
            <w:shd w:fill="FFFFFF" w:val="clear"/>
            <w:tcMar>
              <w:top w:type="dxa" w:w="80"/>
              <w:left w:type="dxa" w:w="140"/>
              <w:bottom w:type="dxa" w:w="80"/>
              <w:right w:type="dxa" w:w="120"/>
            </w:tcMar>
          </w:tcPr>
          <w:p>
            <w:r>
              <w:rPr>
                <w:rFonts w:ascii="Arial" w:cs="Arial" w:eastAsia="Arial" w:hAnsi="Arial"/>
                <w:b/>
                <w:bCs/>
                <w:color w:val="003E6B"/>
                <w:sz w:val="18"/>
                <w:szCs w:val="18"/>
              </w:rPr>
              <w:t xml:space="preserve">ACS-AEC</w:t>
            </w:r>
          </w:p>
        </w:tc>
        <w:tc>
          <w:tcPr>
            <w:tcW w:type="dxa" w:w="3080"/>
            <w:tcBorders>
              <w:top w:val="single" w:color="D0E4ED" w:sz="1"/>
              <w:left w:val="single" w:color="D0E4ED" w:sz="1"/>
              <w:bottom w:val="single" w:color="D0E4ED" w:sz="1"/>
              <w:right w:val="single" w:color="D0E4ED" w:sz="1"/>
            </w:tcBorders>
            <w:shd w:fill="FFFFFF" w:val="clear"/>
            <w:tcMar>
              <w:top w:type="dxa" w:w="80"/>
              <w:left w:type="dxa" w:w="140"/>
              <w:bottom w:type="dxa" w:w="80"/>
              <w:right w:type="dxa" w:w="120"/>
            </w:tcMar>
          </w:tcPr>
          <w:p>
            <w:r>
              <w:rPr>
                <w:rFonts w:ascii="Arial" w:cs="Arial" w:eastAsia="Arial" w:hAnsi="Arial"/>
                <w:b w:val="false"/>
                <w:bCs w:val="false"/>
                <w:color w:val="444444"/>
                <w:sz w:val="18"/>
                <w:szCs w:val="18"/>
              </w:rPr>
              <w:t xml:space="preserve">Association des États de la Caraïbe</w:t>
            </w:r>
          </w:p>
        </w:tc>
        <w:tc>
          <w:tcPr>
            <w:tcW w:type="dxa" w:w="3080"/>
            <w:tcBorders>
              <w:top w:val="single" w:color="D0E4ED" w:sz="1"/>
              <w:left w:val="single" w:color="D0E4ED" w:sz="1"/>
              <w:bottom w:val="single" w:color="D0E4ED" w:sz="1"/>
              <w:right w:val="single" w:color="D0E4ED" w:sz="1"/>
            </w:tcBorders>
            <w:shd w:fill="FFFFFF" w:val="clear"/>
            <w:tcMar>
              <w:top w:type="dxa" w:w="80"/>
              <w:left w:type="dxa" w:w="140"/>
              <w:bottom w:type="dxa" w:w="80"/>
              <w:right w:type="dxa" w:w="120"/>
            </w:tcMar>
          </w:tcPr>
          <w:p>
            <w:r>
              <w:rPr>
                <w:rFonts w:ascii="Arial" w:cs="Arial" w:eastAsia="Arial" w:hAnsi="Arial"/>
                <w:b w:val="false"/>
                <w:bCs w:val="false"/>
                <w:color w:val="444444"/>
                <w:sz w:val="18"/>
                <w:szCs w:val="18"/>
              </w:rPr>
              <w:t xml:space="preserve">Soumis — Mai 2026</w:t>
            </w:r>
          </w:p>
        </w:tc>
      </w:tr>
    </w:tbl>
    <w:p>
      <w:pPr>
        <w:pBdr>
          <w:left w:val="single" w:color="00C2C7" w:sz="10" w:space="6"/>
        </w:pBdr>
        <w:spacing w:after="80" w:before="340"/>
        <w:ind w:left="140"/>
      </w:pPr>
      <w:r>
        <w:rPr>
          <w:rFonts w:ascii="Arial" w:cs="Arial" w:eastAsia="Arial" w:hAnsi="Arial"/>
          <w:b/>
          <w:bCs/>
          <w:color w:val="00C2C7"/>
          <w:spacing w:val="60"/>
          <w:sz w:val="17"/>
          <w:szCs w:val="17"/>
        </w:rPr>
        <w:t xml:space="preserve">6. GOUVERNANCE ET NATURE OUVERTE</w:t>
      </w:r>
    </w:p>
    <w:p>
      <w:pPr>
        <w:spacing w:after="60" w:before="60"/>
        <w:jc w:val="both"/>
      </w:pPr>
      <w:r>
        <w:rPr>
          <w:rFonts w:ascii="Arial" w:cs="Arial" w:eastAsia="Arial" w:hAnsi="Arial"/>
          <w:b w:val="false"/>
          <w:bCs w:val="false"/>
          <w:i w:val="false"/>
          <w:iCs w:val="false"/>
          <w:color w:val="333333"/>
          <w:sz w:val="20"/>
          <w:szCs w:val="20"/>
        </w:rPr>
        <w:t xml:space="preserve">Le CMS est un bien commun régional caribéen, géré selon les principes suivants :</w:t>
      </w:r>
    </w:p>
    <w:p>
      <w:pPr>
        <w:pStyle w:val="ListParagraph"/>
        <w:numPr>
          <w:ilvl w:val="0"/>
          <w:numId w:val="2"/>
        </w:numPr>
        <w:spacing w:after="40" w:before="40"/>
      </w:pPr>
      <w:r>
        <w:rPr>
          <w:rFonts w:ascii="Arial" w:cs="Arial" w:eastAsia="Arial" w:hAnsi="Arial"/>
          <w:color w:val="333333"/>
          <w:sz w:val="20"/>
          <w:szCs w:val="20"/>
        </w:rPr>
        <w:t xml:space="preserve">Standard entièrement ouvert — licence CC-BY 4.0, libre d'usage, d'adaptation et de redistribution</w:t>
      </w:r>
    </w:p>
    <w:p>
      <w:pPr>
        <w:pStyle w:val="ListParagraph"/>
        <w:numPr>
          <w:ilvl w:val="0"/>
          <w:numId w:val="2"/>
        </w:numPr>
        <w:spacing w:after="40" w:before="40"/>
      </w:pPr>
      <w:r>
        <w:rPr>
          <w:rFonts w:ascii="Arial" w:cs="Arial" w:eastAsia="Arial" w:hAnsi="Arial"/>
          <w:color w:val="333333"/>
          <w:sz w:val="20"/>
          <w:szCs w:val="20"/>
        </w:rPr>
        <w:t xml:space="preserve">Aucune contrepartie commerciale — adhésion et utilisation gratuites</w:t>
      </w:r>
    </w:p>
    <w:p>
      <w:pPr>
        <w:pStyle w:val="ListParagraph"/>
        <w:numPr>
          <w:ilvl w:val="0"/>
          <w:numId w:val="2"/>
        </w:numPr>
        <w:spacing w:after="40" w:before="40"/>
      </w:pPr>
      <w:r>
        <w:rPr>
          <w:rFonts w:ascii="Arial" w:cs="Arial" w:eastAsia="Arial" w:hAnsi="Arial"/>
          <w:color w:val="333333"/>
          <w:sz w:val="20"/>
          <w:szCs w:val="20"/>
        </w:rPr>
        <w:t xml:space="preserve">Gouvernance de transition — le Caribwood Language Lab assure actuellement la gestion opérationnelle et s'engage à transférer la gouvernance à un Comité Technique caribéen indépendant dès que 5 institutions caribéennes auront officiellement adhéré</w:t>
      </w:r>
    </w:p>
    <w:p>
      <w:pPr>
        <w:pStyle w:val="ListParagraph"/>
        <w:numPr>
          <w:ilvl w:val="0"/>
          <w:numId w:val="2"/>
        </w:numPr>
        <w:spacing w:after="40" w:before="40"/>
      </w:pPr>
      <w:r>
        <w:rPr>
          <w:rFonts w:ascii="Arial" w:cs="Arial" w:eastAsia="Arial" w:hAnsi="Arial"/>
          <w:color w:val="333333"/>
          <w:sz w:val="20"/>
          <w:szCs w:val="20"/>
        </w:rPr>
        <w:t xml:space="preserve">Évolution participative — toute institution caribéenne peut proposer de nouveaux marqueurs ou champs via le processus documenté sur GitHub</w:t>
      </w:r>
    </w:p>
    <w:p>
      <w:pPr>
        <w:spacing w:after="0" w:before="120"/>
      </w:pPr>
      <w:r>
        <w:t xml:space="preserve"/>
      </w:r>
    </w:p>
    <w:p>
      <w:pPr>
        <w:pBdr>
          <w:left w:val="single" w:color="00C2C7" w:sz="12" w:space="8"/>
        </w:pBdr>
        <w:spacing w:after="80" w:before="80"/>
        <w:ind w:left="400"/>
      </w:pPr>
      <w:r>
        <w:rPr>
          <w:rFonts w:ascii="Arial" w:cs="Arial" w:eastAsia="Arial" w:hAnsi="Arial"/>
          <w:i/>
          <w:iCs/>
          <w:color w:val="003E6B"/>
          <w:sz w:val="20"/>
          <w:szCs w:val="20"/>
        </w:rPr>
        <w:t xml:space="preserve">"Le CMS est plus qu'un outil technique. C'est une déclaration de souveraineté culturelle."</w:t>
      </w:r>
    </w:p>
    <w:p>
      <w:pPr>
        <w:pBdr>
          <w:left w:val="single" w:color="00C2C7" w:sz="10" w:space="6"/>
        </w:pBdr>
        <w:spacing w:after="80" w:before="340"/>
        <w:ind w:left="140"/>
      </w:pPr>
      <w:r>
        <w:rPr>
          <w:rFonts w:ascii="Arial" w:cs="Arial" w:eastAsia="Arial" w:hAnsi="Arial"/>
          <w:b/>
          <w:bCs/>
          <w:color w:val="00C2C7"/>
          <w:spacing w:val="60"/>
          <w:sz w:val="17"/>
          <w:szCs w:val="17"/>
        </w:rPr>
        <w:t xml:space="preserve">7. INVITATION À LA COOPÉRATION</w:t>
      </w:r>
    </w:p>
    <w:p>
      <w:pPr>
        <w:spacing w:after="60" w:before="60"/>
        <w:jc w:val="both"/>
      </w:pPr>
      <w:r>
        <w:rPr>
          <w:rFonts w:ascii="Arial" w:cs="Arial" w:eastAsia="Arial" w:hAnsi="Arial"/>
          <w:b w:val="false"/>
          <w:bCs w:val="false"/>
          <w:i w:val="false"/>
          <w:iCs w:val="false"/>
          <w:color w:val="333333"/>
          <w:sz w:val="20"/>
          <w:szCs w:val="20"/>
        </w:rPr>
        <w:t xml:space="preserve">Le Caribwood Language Lab invite les organismes et institutions intéressés à :</w:t>
      </w:r>
    </w:p>
    <w:p>
      <w:pPr>
        <w:pStyle w:val="ListParagraph"/>
        <w:numPr>
          <w:ilvl w:val="0"/>
          <w:numId w:val="2"/>
        </w:numPr>
        <w:spacing w:after="40" w:before="40"/>
      </w:pPr>
      <w:r>
        <w:rPr>
          <w:rFonts w:ascii="Arial" w:cs="Arial" w:eastAsia="Arial" w:hAnsi="Arial"/>
          <w:color w:val="333333"/>
          <w:sz w:val="20"/>
          <w:szCs w:val="20"/>
        </w:rPr>
        <w:t xml:space="preserve">Examiner la documentation technique disponible sur caribbeanmetadata.org et github.com/heso73/cms-nlp-corpus</w:t>
      </w:r>
    </w:p>
    <w:p>
      <w:pPr>
        <w:pStyle w:val="ListParagraph"/>
        <w:numPr>
          <w:ilvl w:val="0"/>
          <w:numId w:val="2"/>
        </w:numPr>
        <w:spacing w:after="40" w:before="40"/>
      </w:pPr>
      <w:r>
        <w:rPr>
          <w:rFonts w:ascii="Arial" w:cs="Arial" w:eastAsia="Arial" w:hAnsi="Arial"/>
          <w:color w:val="333333"/>
          <w:sz w:val="20"/>
          <w:szCs w:val="20"/>
        </w:rPr>
        <w:t xml:space="preserve">Engager un dialogue technique sur les modalités d'alignement du CMS avec leurs cadres de référence respectifs</w:t>
      </w:r>
    </w:p>
    <w:p>
      <w:pPr>
        <w:pStyle w:val="ListParagraph"/>
        <w:numPr>
          <w:ilvl w:val="0"/>
          <w:numId w:val="2"/>
        </w:numPr>
        <w:spacing w:after="40" w:before="40"/>
      </w:pPr>
      <w:r>
        <w:rPr>
          <w:rFonts w:ascii="Arial" w:cs="Arial" w:eastAsia="Arial" w:hAnsi="Arial"/>
          <w:color w:val="333333"/>
          <w:sz w:val="20"/>
          <w:szCs w:val="20"/>
        </w:rPr>
        <w:t xml:space="preserve">Formaliser leur soutien ou leur partenariat via la convention d'adhésion disponible sur demande</w:t>
      </w:r>
    </w:p>
    <w:p>
      <w:pPr>
        <w:pStyle w:val="ListParagraph"/>
        <w:numPr>
          <w:ilvl w:val="0"/>
          <w:numId w:val="2"/>
        </w:numPr>
        <w:spacing w:after="40" w:before="40"/>
      </w:pPr>
      <w:r>
        <w:rPr>
          <w:rFonts w:ascii="Arial" w:cs="Arial" w:eastAsia="Arial" w:hAnsi="Arial"/>
          <w:color w:val="333333"/>
          <w:sz w:val="20"/>
          <w:szCs w:val="20"/>
        </w:rPr>
        <w:t xml:space="preserve">Contribuer à l'enrichissement du corpus et à l'évolution du standard</w:t>
      </w:r>
    </w:p>
    <w:p>
      <w:pPr>
        <w:spacing w:after="0" w:before="80"/>
      </w:pPr>
      <w:r>
        <w:t xml:space="preserve"/>
      </w:r>
    </w:p>
    <w:p>
      <w:pPr>
        <w:spacing w:after="60" w:before="60"/>
        <w:jc w:val="both"/>
      </w:pPr>
      <w:r>
        <w:rPr>
          <w:rFonts w:ascii="Arial" w:cs="Arial" w:eastAsia="Arial" w:hAnsi="Arial"/>
          <w:b w:val="false"/>
          <w:bCs w:val="false"/>
          <w:i w:val="false"/>
          <w:iCs w:val="false"/>
          <w:color w:val="333333"/>
          <w:sz w:val="20"/>
          <w:szCs w:val="20"/>
        </w:rPr>
        <w:t xml:space="preserve">Toutes les demandes d'information, de collaboration technique ou institutionnelle sont à adresser à :</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E4ED" w:sz="1"/>
              <w:left w:val="single" w:color="D0E4ED" w:sz="1"/>
              <w:bottom w:val="single" w:color="D0E4ED" w:sz="1"/>
              <w:right w:val="single" w:color="D0E4ED" w:sz="1"/>
            </w:tcBorders>
            <w:shd w:fill="F0F7FA" w:val="clear"/>
            <w:tcMar>
              <w:top w:type="dxa" w:w="160"/>
              <w:left w:type="dxa" w:w="240"/>
              <w:bottom w:type="dxa" w:w="160"/>
              <w:right w:type="dxa" w:w="240"/>
            </w:tcMar>
          </w:tcPr>
          <w:p>
            <w:pPr>
              <w:spacing w:after="60" w:before="0"/>
            </w:pPr>
            <w:r>
              <w:rPr>
                <w:rFonts w:ascii="Arial" w:cs="Arial" w:eastAsia="Arial" w:hAnsi="Arial"/>
                <w:b/>
                <w:bCs/>
                <w:color w:val="003E6B"/>
                <w:sz w:val="21"/>
                <w:szCs w:val="21"/>
              </w:rPr>
              <w:t xml:space="preserve">Caribbean Metadata Standard — Caribwood Language Lab</w:t>
            </w:r>
          </w:p>
          <w:p>
            <w:pPr>
              <w:spacing w:after="60" w:before="0"/>
            </w:pPr>
            <w:r>
              <w:rPr>
                <w:rFonts w:ascii="Arial" w:cs="Arial" w:eastAsia="Arial" w:hAnsi="Arial"/>
                <w:color w:val="666666"/>
                <w:sz w:val="20"/>
                <w:szCs w:val="20"/>
              </w:rPr>
              <w:t xml:space="preserve">Guadeloupe, Caraïbe</w:t>
            </w:r>
          </w:p>
          <w:p>
            <w:pPr>
              <w:spacing w:after="0" w:before="0"/>
            </w:pPr>
            <w:r>
              <w:rPr>
                <w:rFonts w:ascii="Arial" w:cs="Arial" w:eastAsia="Arial" w:hAnsi="Arial"/>
                <w:color w:val="00C2C7"/>
                <w:sz w:val="20"/>
                <w:szCs w:val="20"/>
              </w:rPr>
              <w:t xml:space="preserve">contact@caribbeanmetadata.org  ·  caribbeanmetadata.org</w:t>
            </w:r>
          </w:p>
        </w:tc>
      </w:tr>
    </w:tbl>
    <w:p>
      <w:pPr>
        <w:spacing w:after="0" w:before="160"/>
      </w:pPr>
      <w:r>
        <w:t xml:space="preserve"/>
      </w:r>
    </w:p>
    <w:p>
      <w:pPr>
        <w:pBdr>
          <w:bottom w:val="single" w:color="00C2C7" w:sz="3" w:space="1"/>
        </w:pBdr>
        <w:spacing w:after="140" w:before="0"/>
      </w:pPr>
      <w:r>
        <w:t xml:space="preserve"/>
      </w:r>
    </w:p>
    <w:p>
      <w:pPr>
        <w:spacing w:after="0" w:before="80"/>
        <w:jc w:val="center"/>
      </w:pPr>
      <w:r>
        <w:rPr>
          <w:rFonts w:ascii="Arial" w:cs="Arial" w:eastAsia="Arial" w:hAnsi="Arial"/>
          <w:i/>
          <w:iCs/>
          <w:color w:val="666666"/>
          <w:sz w:val="16"/>
          <w:szCs w:val="16"/>
        </w:rPr>
        <w:t xml:space="preserve">Caribbean Metadata Standard v2.0 · CC-BY 4.0 · Caribwood Language Lab, Guadeloupe · caribbeanmetadata.org · Juin 2026</w:t>
      </w:r>
    </w:p>
    <w:sectPr>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2026-06-06T21:28:46.031Z</dcterms:created>
  <dcterms:modified xsi:type="dcterms:W3CDTF">2026-06-06T21:28:46.031Z</dcterms:modified>
</cp:coreProperties>
</file>

<file path=docProps/custom.xml><?xml version="1.0" encoding="utf-8"?>
<Properties xmlns="http://schemas.openxmlformats.org/officeDocument/2006/custom-properties" xmlns:vt="http://schemas.openxmlformats.org/officeDocument/2006/docPropsVTypes"/>
</file>