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0"/>
      </w:pPr>
      <w:r>
        <w:rPr>
          <w:rFonts w:ascii="Arial" w:cs="Arial" w:eastAsia="Arial" w:hAnsi="Arial"/>
          <w:b/>
          <w:bCs/>
          <w:color w:val="003E6B"/>
          <w:sz w:val="72"/>
          <w:szCs w:val="72"/>
        </w:rPr>
        <w:t xml:space="preserve">CMS</w:t>
      </w:r>
    </w:p>
    <w:p>
      <w:pPr>
        <w:spacing w:after="80" w:before="0"/>
      </w:pPr>
      <w:r>
        <w:rPr>
          <w:rFonts w:ascii="Arial" w:cs="Arial" w:eastAsia="Arial" w:hAnsi="Arial"/>
          <w:color w:val="00C2C7"/>
          <w:sz w:val="28"/>
          <w:szCs w:val="28"/>
        </w:rPr>
        <w:t xml:space="preserve">Gouvernance du Caribbean Metadata Standard</w:t>
      </w:r>
    </w:p>
    <w:p>
      <w:pPr>
        <w:spacing w:after="80" w:before="0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Document officiel v2.0  ·  Mai 2026</w:t>
      </w:r>
    </w:p>
    <w:p>
      <w:pPr>
        <w:pBdr>
          <w:bottom w:val="single" w:color="00C2C7" w:sz="6"/>
        </w:pBdr>
        <w:spacing w:after="320" w:before="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475569"/>
          <w:sz w:val="22"/>
          <w:szCs w:val="22"/>
        </w:rPr>
        <w:t xml:space="preserve">Ce document établit les principes et la structure de gouvernance du Caribbean Metadata Standard (CMS). Il garantit que le CMS reste une norme souveraine, transparente et ouverte — contrôlée par la communauté caribéenne, pour la communauté caribéenne.</w:t>
      </w:r>
    </w:p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03E6B"/>
          <w:sz w:val="28"/>
          <w:szCs w:val="28"/>
        </w:rPr>
        <w:t xml:space="preserve">1. Principes fondateurs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gouvernance du CMS repose sur trois principes non négociables :</w:t>
      </w:r>
    </w:p>
    <w:p>
      <w:pPr>
        <w:spacing w:after="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Souveraineté partagée — Aucune institution, aucun pays, aucune personne ne détient un droit de veto absolu. Le CMS appartient à la Caraïbe dans son ensemble.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Transparence — Toutes les délibérations, votes et décisions sont publics et archivés sur le dépôt GitHub officiel.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Ouverture — Toute institution caribéenne remplissant les critères peut rejoindre le comité de gouvernance.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6F61" w:sz="1"/>
              <w:left w:val="single" w:color="FF6F61" w:sz="1"/>
              <w:bottom w:val="single" w:color="FF6F61" w:sz="1"/>
              <w:right w:val="single" w:color="FF6F61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6F61"/>
                <w:sz w:val="22"/>
                <w:szCs w:val="22"/>
              </w:rPr>
              <w:t xml:space="preserve">Principe de souveraineté des données</w:t>
            </w:r>
          </w:p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Toutes les données du corpus CMS sont hébergées sous juridiction caribéenne ou française (Guadeloupe/Martinique) — jamais exclusivement sur des serveurs d'entreprises tierces non caribéennes. La souveraineté technique est une condition de la souveraineté culturelle.</w:t>
            </w:r>
          </w:p>
        </w:tc>
      </w:tr>
    </w:tbl>
    <w:p>
      <w:pPr>
        <w:pBdr>
          <w:bottom w:val="single" w:color="E0E6ED" w:sz="3"/>
        </w:pBdr>
        <w:spacing w:after="220" w:before="22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03E6B"/>
          <w:sz w:val="28"/>
          <w:szCs w:val="28"/>
        </w:rPr>
        <w:t xml:space="preserve">2. Structure de gouvernance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CMS est gouverné par trois instances complémentaires et hiérarchisées :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0C2C7"/>
          <w:sz w:val="24"/>
          <w:szCs w:val="24"/>
        </w:rPr>
        <w:t xml:space="preserve">2.1 Assemblée générale des signataires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3E6B"/>
                <w:sz w:val="18"/>
                <w:szCs w:val="18"/>
              </w:rPr>
              <w:t xml:space="preserve">Rôle</w:t>
            </w:r>
          </w:p>
        </w:tc>
        <w:tc>
          <w:tcPr>
            <w:tcW w:type="dxa" w:w="71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Valide les grandes orientations stratégiques du CMS (tous les 2 ans)</w:t>
            </w:r>
          </w:p>
        </w:tc>
      </w:tr>
      <w:tr>
        <w:tc>
          <w:tcPr>
            <w:tcW w:type="dxa" w:w="22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3E6B"/>
                <w:sz w:val="18"/>
                <w:szCs w:val="18"/>
              </w:rPr>
              <w:t xml:space="preserve">Membres</w:t>
            </w:r>
          </w:p>
        </w:tc>
        <w:tc>
          <w:tcPr>
            <w:tcW w:type="dxa" w:w="71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Toute institution ayant officiellement adopté le CMS</w:t>
            </w:r>
          </w:p>
        </w:tc>
      </w:tr>
      <w:tr>
        <w:tc>
          <w:tcPr>
            <w:tcW w:type="dxa" w:w="22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3E6B"/>
                <w:sz w:val="18"/>
                <w:szCs w:val="18"/>
              </w:rPr>
              <w:t xml:space="preserve">Décision</w:t>
            </w:r>
          </w:p>
        </w:tc>
        <w:tc>
          <w:tcPr>
            <w:tcW w:type="dxa" w:w="71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Majorité simple des présents (quorum : 1/3 des membres)</w:t>
            </w:r>
          </w:p>
        </w:tc>
      </w:tr>
      <w:tr>
        <w:tc>
          <w:tcPr>
            <w:tcW w:type="dxa" w:w="22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3E6B"/>
                <w:sz w:val="18"/>
                <w:szCs w:val="18"/>
              </w:rPr>
              <w:t xml:space="preserve">Fréquence</w:t>
            </w:r>
          </w:p>
        </w:tc>
        <w:tc>
          <w:tcPr>
            <w:tcW w:type="dxa" w:w="71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Tous les 2 ans — session extraordinaire possible à la demande de 1/3 des membres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0C2C7"/>
          <w:sz w:val="24"/>
          <w:szCs w:val="24"/>
        </w:rPr>
        <w:t xml:space="preserve">2.2 Comité technique (instance permanente)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3E6B"/>
                <w:sz w:val="18"/>
                <w:szCs w:val="18"/>
              </w:rPr>
              <w:t xml:space="preserve">Rôle</w:t>
            </w:r>
          </w:p>
        </w:tc>
        <w:tc>
          <w:tcPr>
            <w:tcW w:type="dxa" w:w="71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Valide les évolutions du standard : nouveaux marqueurs, corrections, versions</w:t>
            </w:r>
          </w:p>
        </w:tc>
      </w:tr>
      <w:tr>
        <w:tc>
          <w:tcPr>
            <w:tcW w:type="dxa" w:w="22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3E6B"/>
                <w:sz w:val="18"/>
                <w:szCs w:val="18"/>
              </w:rPr>
              <w:t xml:space="preserve">Composition</w:t>
            </w:r>
          </w:p>
        </w:tc>
        <w:tc>
          <w:tcPr>
            <w:tcW w:type="dxa" w:w="71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 à 9 experts — dont obligatoirement : 1 linguiste créoliste, 1 data scientist NLP, représentants d'au moins 3 territoires caribéens distincts</w:t>
            </w:r>
          </w:p>
        </w:tc>
      </w:tr>
      <w:tr>
        <w:tc>
          <w:tcPr>
            <w:tcW w:type="dxa" w:w="22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3E6B"/>
                <w:sz w:val="18"/>
                <w:szCs w:val="18"/>
              </w:rPr>
              <w:t xml:space="preserve">Mandat</w:t>
            </w:r>
          </w:p>
        </w:tc>
        <w:tc>
          <w:tcPr>
            <w:tcW w:type="dxa" w:w="71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 ans, renouvelable une fois — désignés par l'Assemblée générale</w:t>
            </w:r>
          </w:p>
        </w:tc>
      </w:tr>
      <w:tr>
        <w:tc>
          <w:tcPr>
            <w:tcW w:type="dxa" w:w="22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3E6B"/>
                <w:sz w:val="18"/>
                <w:szCs w:val="18"/>
              </w:rPr>
              <w:t xml:space="preserve">Décision</w:t>
            </w:r>
          </w:p>
        </w:tc>
        <w:tc>
          <w:tcPr>
            <w:tcW w:type="dxa" w:w="71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Consensus recherché. À défaut : majorité des 2/3</w:t>
            </w:r>
          </w:p>
        </w:tc>
      </w:tr>
      <w:tr>
        <w:tc>
          <w:tcPr>
            <w:tcW w:type="dxa" w:w="22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3E6B"/>
                <w:sz w:val="18"/>
                <w:szCs w:val="18"/>
              </w:rPr>
              <w:t xml:space="preserve">Réunions</w:t>
            </w:r>
          </w:p>
        </w:tc>
        <w:tc>
          <w:tcPr>
            <w:tcW w:type="dxa" w:w="71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Minimum une par trimestre en visioconférence — comptes-rendus publics sur GitHub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0C2C7"/>
          <w:sz w:val="24"/>
          <w:szCs w:val="24"/>
        </w:rPr>
        <w:t xml:space="preserve">2.3 Secrétariat exécutif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3E6B"/>
                <w:sz w:val="18"/>
                <w:szCs w:val="18"/>
              </w:rPr>
              <w:t xml:space="preserve">Rôle</w:t>
            </w:r>
          </w:p>
        </w:tc>
        <w:tc>
          <w:tcPr>
            <w:tcW w:type="dxa" w:w="71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Anime le comité technique, gère le site, le corpus GitHub, les accréditations CMS-Certified</w:t>
            </w:r>
          </w:p>
        </w:tc>
      </w:tr>
      <w:tr>
        <w:tc>
          <w:tcPr>
            <w:tcW w:type="dxa" w:w="22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3E6B"/>
                <w:sz w:val="18"/>
                <w:szCs w:val="18"/>
              </w:rPr>
              <w:t xml:space="preserve">Membres</w:t>
            </w:r>
          </w:p>
        </w:tc>
        <w:tc>
          <w:tcPr>
            <w:tcW w:type="dxa" w:w="71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 à 3 personnes salariées ou détachées par une institution membre</w:t>
            </w:r>
          </w:p>
        </w:tc>
      </w:tr>
      <w:tr>
        <w:tc>
          <w:tcPr>
            <w:tcW w:type="dxa" w:w="22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3E6B"/>
                <w:sz w:val="18"/>
                <w:szCs w:val="18"/>
              </w:rPr>
              <w:t xml:space="preserve">Responsabilité</w:t>
            </w:r>
          </w:p>
        </w:tc>
        <w:tc>
          <w:tcPr>
            <w:tcW w:type="dxa" w:w="71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Rend compte au comité technique chaque mois — rapport public</w:t>
            </w:r>
          </w:p>
        </w:tc>
      </w:tr>
      <w:tr>
        <w:tc>
          <w:tcPr>
            <w:tcW w:type="dxa" w:w="22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3E6B"/>
                <w:sz w:val="18"/>
                <w:szCs w:val="18"/>
              </w:rPr>
              <w:t xml:space="preserve">Hébergement</w:t>
            </w:r>
          </w:p>
        </w:tc>
        <w:tc>
          <w:tcPr>
            <w:tcW w:type="dxa" w:w="71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Basé en Guadeloupe ou Martinique — peut opérer à distance</w:t>
            </w:r>
          </w:p>
        </w:tc>
      </w:tr>
    </w:tbl>
    <w:p>
      <w:pPr>
        <w:pBdr>
          <w:bottom w:val="single" w:color="E0E6ED" w:sz="3"/>
        </w:pBdr>
        <w:spacing w:after="220" w:before="22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03E6B"/>
          <w:sz w:val="28"/>
          <w:szCs w:val="28"/>
        </w:rPr>
        <w:t xml:space="preserve">3. Processus d'évolution du standard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Toute modification du standard CMS suit un processus formalisé et public :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2960"/>
        <w:gridCol w:w="3400"/>
      </w:tblGrid>
      <w:tr>
        <w:tc>
          <w:tcPr>
            <w:tcW w:type="dxa" w:w="600"/>
            <w:tcBorders>
              <w:top w:val="single" w:color="003E6B" w:sz="1"/>
              <w:left w:val="single" w:color="003E6B" w:sz="1"/>
              <w:bottom w:val="single" w:color="003E6B" w:sz="1"/>
              <w:right w:val="single" w:color="003E6B" w:sz="1"/>
            </w:tcBorders>
            <w:shd w:fill="003E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Étape</w:t>
            </w:r>
          </w:p>
        </w:tc>
        <w:tc>
          <w:tcPr>
            <w:tcW w:type="dxa" w:w="2400"/>
            <w:tcBorders>
              <w:top w:val="single" w:color="003E6B" w:sz="1"/>
              <w:left w:val="single" w:color="003E6B" w:sz="1"/>
              <w:bottom w:val="single" w:color="003E6B" w:sz="1"/>
              <w:right w:val="single" w:color="003E6B" w:sz="1"/>
            </w:tcBorders>
            <w:shd w:fill="003E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960"/>
            <w:tcBorders>
              <w:top w:val="single" w:color="003E6B" w:sz="1"/>
              <w:left w:val="single" w:color="003E6B" w:sz="1"/>
              <w:bottom w:val="single" w:color="003E6B" w:sz="1"/>
              <w:right w:val="single" w:color="003E6B" w:sz="1"/>
            </w:tcBorders>
            <w:shd w:fill="003E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Délai</w:t>
            </w:r>
          </w:p>
        </w:tc>
        <w:tc>
          <w:tcPr>
            <w:tcW w:type="dxa" w:w="3400"/>
            <w:tcBorders>
              <w:top w:val="single" w:color="003E6B" w:sz="1"/>
              <w:left w:val="single" w:color="003E6B" w:sz="1"/>
              <w:bottom w:val="single" w:color="003E6B" w:sz="1"/>
              <w:right w:val="single" w:color="003E6B" w:sz="1"/>
            </w:tcBorders>
            <w:shd w:fill="003E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</w:tr>
      <w:tr>
        <w:tc>
          <w:tcPr>
            <w:tcW w:type="dxa" w:w="6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C2C7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Proposition de modification</w:t>
            </w:r>
          </w:p>
        </w:tc>
        <w:tc>
          <w:tcPr>
            <w:tcW w:type="dxa" w:w="29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Jour 0</w:t>
            </w:r>
          </w:p>
        </w:tc>
        <w:tc>
          <w:tcPr>
            <w:tcW w:type="dxa" w:w="34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Tout membre de l'Assemblée</w:t>
            </w:r>
          </w:p>
        </w:tc>
      </w:tr>
      <w:tr>
        <w:tc>
          <w:tcPr>
            <w:tcW w:type="dxa" w:w="6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C2C7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Discussion publique (forum · GitHub Issues)</w:t>
            </w:r>
          </w:p>
        </w:tc>
        <w:tc>
          <w:tcPr>
            <w:tcW w:type="dxa" w:w="29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30 jours</w:t>
            </w:r>
          </w:p>
        </w:tc>
        <w:tc>
          <w:tcPr>
            <w:tcW w:type="dxa" w:w="34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Secrétariat</w:t>
            </w:r>
          </w:p>
        </w:tc>
      </w:tr>
      <w:tr>
        <w:tc>
          <w:tcPr>
            <w:tcW w:type="dxa" w:w="6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C2C7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Vote du comité technique</w:t>
            </w:r>
          </w:p>
        </w:tc>
        <w:tc>
          <w:tcPr>
            <w:tcW w:type="dxa" w:w="29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15 jours</w:t>
            </w:r>
          </w:p>
        </w:tc>
        <w:tc>
          <w:tcPr>
            <w:tcW w:type="dxa" w:w="34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Comité technique</w:t>
            </w:r>
          </w:p>
        </w:tc>
      </w:tr>
      <w:tr>
        <w:tc>
          <w:tcPr>
            <w:tcW w:type="dxa" w:w="6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C2C7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Validation finale (si changement majeur)</w:t>
            </w:r>
          </w:p>
        </w:tc>
        <w:tc>
          <w:tcPr>
            <w:tcW w:type="dxa" w:w="29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30 jours</w:t>
            </w:r>
          </w:p>
        </w:tc>
        <w:tc>
          <w:tcPr>
            <w:tcW w:type="dxa" w:w="34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Assemblée générale</w:t>
            </w:r>
          </w:p>
        </w:tc>
      </w:tr>
      <w:tr>
        <w:tc>
          <w:tcPr>
            <w:tcW w:type="dxa" w:w="6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C2C7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Publication version mineure (v1.x)</w:t>
            </w:r>
          </w:p>
        </w:tc>
        <w:tc>
          <w:tcPr>
            <w:tcW w:type="dxa" w:w="29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Immédiat après vote</w:t>
            </w:r>
          </w:p>
        </w:tc>
        <w:tc>
          <w:tcPr>
            <w:tcW w:type="dxa" w:w="34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Secrétariat</w:t>
            </w:r>
          </w:p>
        </w:tc>
      </w:tr>
      <w:tr>
        <w:tc>
          <w:tcPr>
            <w:tcW w:type="dxa" w:w="6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C2C7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Publication version majeure (v2.0)</w:t>
            </w:r>
          </w:p>
        </w:tc>
        <w:tc>
          <w:tcPr>
            <w:tcW w:type="dxa" w:w="296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Après étape 4</w:t>
            </w:r>
          </w:p>
        </w:tc>
        <w:tc>
          <w:tcPr>
            <w:tcW w:type="dxa" w:w="34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Secrétariat</w:t>
            </w:r>
          </w:p>
        </w:tc>
      </w:tr>
    </w:tbl>
    <w:p>
      <w:pPr>
        <w:pBdr>
          <w:bottom w:val="single" w:color="E0E6ED" w:sz="3"/>
        </w:pBdr>
        <w:spacing w:after="220" w:before="22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03E6B"/>
          <w:sz w:val="28"/>
          <w:szCs w:val="28"/>
        </w:rPr>
        <w:t xml:space="preserve">4. Procédure d'adoption officielle par la CARICOM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procédure pour obtenir la reconnaissance du CMS comme Norme Régionale Caribéenne (CRS) par la CARICOM via le CROSQ :</w:t>
      </w:r>
    </w:p>
    <w:p>
      <w:pPr>
        <w:spacing w:after="0" w:before="10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Dépôt du dossier — Le Secrétariat soumet le CMS v2.0 au CROSQ (New Work Item Proposal — soumis en mai 2026).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Période d'essai — 12 mois d'utilisation volontaire par au moins 3 États membres CARICOM.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Évaluation — Rapport d'impact présenté au CROSQ et à la CARICOM : nombre d'œuvres certifiées, impact économique, retours des plateformes.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Recommandation — Le CROSQ propose l'adoption comme Norme Régionale Caribéenne (CRS).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Validation — Vote du Conseil des Ministres de la CARICOM (COTED).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C2C7" w:sz="1"/>
              <w:left w:val="single" w:color="00C2C7" w:sz="1"/>
              <w:bottom w:val="single" w:color="00C2C7" w:sz="1"/>
              <w:right w:val="single" w:color="00C2C7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0C2C7"/>
                <w:sz w:val="22"/>
                <w:szCs w:val="22"/>
              </w:rPr>
              <w:t xml:space="preserve">Statut actuel</w:t>
            </w:r>
          </w:p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NWIP soumis au CROSQ en mai 2026. Proposition également soumise à IFLA METATEC, AFNOR/ISO TC 46, UNESCO ICH, WIPO, W3C, Dublin Core, ACS-AEC, et ACURIL. Corpus NLP officiel publié sur GitHub : github.com/heso73/caribbeanmetadata.org</w:t>
            </w:r>
          </w:p>
        </w:tc>
      </w:tr>
    </w:tbl>
    <w:p>
      <w:pPr>
        <w:pBdr>
          <w:bottom w:val="single" w:color="E0E6ED" w:sz="3"/>
        </w:pBdr>
        <w:spacing w:after="220" w:before="22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03E6B"/>
          <w:sz w:val="28"/>
          <w:szCs w:val="28"/>
        </w:rPr>
        <w:t xml:space="preserve">5. Engagement de maintenance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03E6B" w:sz="1"/>
              <w:left w:val="single" w:color="003E6B" w:sz="1"/>
              <w:bottom w:val="single" w:color="003E6B" w:sz="1"/>
              <w:right w:val="single" w:color="003E6B" w:sz="1"/>
            </w:tcBorders>
            <w:shd w:fill="003E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d'intervention</w:t>
            </w:r>
          </w:p>
        </w:tc>
        <w:tc>
          <w:tcPr>
            <w:tcW w:type="dxa" w:w="4680"/>
            <w:tcBorders>
              <w:top w:val="single" w:color="003E6B" w:sz="1"/>
              <w:left w:val="single" w:color="003E6B" w:sz="1"/>
              <w:bottom w:val="single" w:color="003E6B" w:sz="1"/>
              <w:right w:val="single" w:color="003E6B" w:sz="1"/>
            </w:tcBorders>
            <w:shd w:fill="003E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Délai maximum</w:t>
            </w:r>
          </w:p>
        </w:tc>
      </w:tr>
      <w:tr>
        <w:tc>
          <w:tcPr>
            <w:tcW w:type="dxa" w:w="468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3E6B"/>
                <w:sz w:val="18"/>
                <w:szCs w:val="18"/>
              </w:rPr>
              <w:t xml:space="preserve">Correction d'erreur critique</w:t>
            </w:r>
          </w:p>
        </w:tc>
        <w:tc>
          <w:tcPr>
            <w:tcW w:type="dxa" w:w="468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15 jours ouvrés</w:t>
            </w:r>
          </w:p>
        </w:tc>
      </w:tr>
      <w:tr>
        <w:tc>
          <w:tcPr>
            <w:tcW w:type="dxa" w:w="468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3E6B"/>
                <w:sz w:val="18"/>
                <w:szCs w:val="18"/>
              </w:rPr>
              <w:t xml:space="preserve">Version mineure (v1.x)</w:t>
            </w:r>
          </w:p>
        </w:tc>
        <w:tc>
          <w:tcPr>
            <w:tcW w:type="dxa" w:w="468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 mois</w:t>
            </w:r>
          </w:p>
        </w:tc>
      </w:tr>
      <w:tr>
        <w:tc>
          <w:tcPr>
            <w:tcW w:type="dxa" w:w="468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3E6B"/>
                <w:sz w:val="18"/>
                <w:szCs w:val="18"/>
              </w:rPr>
              <w:t xml:space="preserve">Version majeure (v2.0)</w:t>
            </w:r>
          </w:p>
        </w:tc>
        <w:tc>
          <w:tcPr>
            <w:tcW w:type="dxa" w:w="468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18 mois (cycle prévisible et annoncé)</w:t>
            </w:r>
          </w:p>
        </w:tc>
      </w:tr>
      <w:tr>
        <w:tc>
          <w:tcPr>
            <w:tcW w:type="dxa" w:w="468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3E6B"/>
                <w:sz w:val="18"/>
                <w:szCs w:val="18"/>
              </w:rPr>
              <w:t xml:space="preserve">Rapport d'activité public</w:t>
            </w:r>
          </w:p>
        </w:tc>
        <w:tc>
          <w:tcPr>
            <w:tcW w:type="dxa" w:w="468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Mensuel — publié sur GitHub</w:t>
            </w:r>
          </w:p>
        </w:tc>
      </w:tr>
    </w:tbl>
    <w:p>
      <w:pPr>
        <w:pBdr>
          <w:bottom w:val="single" w:color="E0E6ED" w:sz="3"/>
        </w:pBdr>
        <w:spacing w:after="220" w:before="22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03E6B"/>
          <w:sz w:val="28"/>
          <w:szCs w:val="28"/>
        </w:rPr>
        <w:t xml:space="preserve">6. Souveraineté des données — Clause fondamentale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Le corpus NLP caribéen est hébergé sur GitHub sous compte caribéen (heso73/caribbeanmetadata.org) avec licence CC-BY 4.0.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Les données de certification (fiches CMS) sont hébergées sur des serveurs à juridiction caribéenne ou française.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Aucune donnée personnelle d'ayant droit n'est transmise à des tiers sans consentement explicite.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 cas de dissolution du CMS, toutes les données sont transférées à une institution caribéenne désignée par l'Assemblée générale.</w:t>
      </w:r>
    </w:p>
    <w:p>
      <w:pPr>
        <w:spacing w:after="0" w:before="100"/>
      </w:pPr>
      <w:r>
        <w:t xml:space="preserve"/>
      </w:r>
    </w:p>
    <w:p>
      <w:pPr>
        <w:pBdr>
          <w:bottom w:val="single" w:color="E0E6ED" w:sz="3"/>
        </w:pBdr>
        <w:spacing w:after="220" w:before="22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94A3B8"/>
          <w:sz w:val="22"/>
          <w:szCs w:val="22"/>
        </w:rPr>
        <w:t xml:space="preserve">Document officiel v2.0 — À discuter et amender par les membres fondateurs.</w:t>
      </w:r>
    </w:p>
    <w:p>
      <w:pPr>
        <w:spacing w:after="0" w:before="10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94A3B8"/>
          <w:sz w:val="22"/>
          <w:szCs w:val="22"/>
        </w:rPr>
        <w:t xml:space="preserve">Caribbean Metadata Standard Initiative  ·  caribbeanmetadata.org  ·  Mai 2026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6ED" w:sz="3"/>
      </w:pBdr>
      <w:spacing w:before="120"/>
      <w:jc w:val="right"/>
    </w:pPr>
    <w:r>
      <w:rPr>
        <w:rFonts w:ascii="Arial" w:cs="Arial" w:eastAsia="Arial" w:hAnsi="Arial"/>
        <w:color w:val="94A3B8"/>
        <w:sz w:val="18"/>
        <w:szCs w:val="18"/>
      </w:rPr>
      <w:t xml:space="preserve">caribbeanmetadata.org  ·  github.com/heso73/cms-nlp-corpus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C2C7" w:sz="3"/>
      </w:pBdr>
      <w:spacing w:after="160" w:before="0"/>
    </w:pPr>
    <w:r>
      <w:rPr>
        <w:rFonts w:ascii="Arial" w:cs="Arial" w:eastAsia="Arial" w:hAnsi="Arial"/>
        <w:color w:val="94A3B8"/>
        <w:sz w:val="18"/>
        <w:szCs w:val="18"/>
      </w:rPr>
      <w:t xml:space="preserve">Caribbean Metadata Standard v2.0  |  </w:t>
    </w:r>
    <w:r>
      <w:rPr>
        <w:rFonts w:ascii="Arial" w:cs="Arial" w:eastAsia="Arial" w:hAnsi="Arial"/>
        <w:b/>
        <w:bCs/>
        <w:color w:val="003E6B"/>
        <w:sz w:val="18"/>
        <w:szCs w:val="18"/>
      </w:rPr>
      <w:t xml:space="preserve">Gouvernance du Caribbean Metadata Standard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upperLetter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003E6B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00C2C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2026-05-12T12:49:57.500Z</dcterms:created>
  <dcterms:modified xsi:type="dcterms:W3CDTF">2026-05-12T12:49:57.518Z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