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3E6B" w:val="clear"/>
        <w:spacing w:after="0" w:before="0"/>
        <w:ind w:left="200"/>
      </w:pPr>
      <w:r>
        <w:rPr>
          <w:rFonts w:ascii="Arial" w:cs="Arial" w:eastAsia="Arial" w:hAnsi="Arial"/>
          <w:b/>
          <w:bCs/>
          <w:color w:val="FFFFFF"/>
          <w:spacing w:val="120"/>
          <w:sz w:val="20"/>
          <w:szCs w:val="20"/>
        </w:rPr>
        <w:t xml:space="preserve">CARIBBEAN METADATA STANDARD</w:t>
      </w:r>
    </w:p>
    <w:p>
      <w:pPr>
        <w:shd w:fill="003E6B" w:val="clear"/>
        <w:spacing w:after="0" w:before="0"/>
        <w:ind w:left="200"/>
      </w:pPr>
      <w:r>
        <w:rPr>
          <w:rFonts w:ascii="Arial" w:cs="Arial" w:eastAsia="Arial" w:hAnsi="Arial"/>
          <w:b/>
          <w:bCs/>
          <w:color w:val="00C2C7"/>
          <w:sz w:val="22"/>
          <w:szCs w:val="22"/>
        </w:rPr>
        <w:t xml:space="preserve">Partner Adoption Agreement</w:t>
      </w:r>
    </w:p>
    <w:p>
      <w:pPr>
        <w:shd w:fill="003E6B" w:val="clear"/>
        <w:spacing w:after="200" w:before="0"/>
        <w:ind w:left="200"/>
      </w:pPr>
      <w:r>
        <w:rPr>
          <w:rFonts w:ascii="Arial" w:cs="Arial" w:eastAsia="Arial" w:hAnsi="Arial"/>
          <w:color w:val="A8CCDD"/>
          <w:sz w:val="16"/>
          <w:szCs w:val="16"/>
        </w:rPr>
        <w:t xml:space="preserve">caribbeanmetadata.org  ·  contact@caribbeanmetadata.org</w:t>
      </w:r>
    </w:p>
    <w:p>
      <w:pPr>
        <w:spacing w:after="0" w:before="200"/>
      </w:pPr>
      <w:r>
        <w:t xml:space="preserve"/>
      </w:r>
    </w:p>
    <w:p>
      <w:pPr>
        <w:spacing w:after="40" w:before="0"/>
      </w:pPr>
      <w:r>
        <w:rPr>
          <w:rFonts w:ascii="Arial" w:cs="Arial" w:eastAsia="Arial" w:hAnsi="Arial"/>
          <w:b/>
          <w:bCs/>
          <w:color w:val="003E6B"/>
          <w:sz w:val="36"/>
          <w:szCs w:val="36"/>
        </w:rPr>
        <w:t xml:space="preserve">Partner Adoption Agreement —</w:t>
      </w:r>
    </w:p>
    <w:p>
      <w:pPr>
        <w:spacing w:after="160" w:before="0"/>
      </w:pPr>
      <w:r>
        <w:rPr>
          <w:rFonts w:ascii="Arial" w:cs="Arial" w:eastAsia="Arial" w:hAnsi="Arial"/>
          <w:b/>
          <w:bCs/>
          <w:color w:val="00C2C7"/>
          <w:sz w:val="36"/>
          <w:szCs w:val="36"/>
        </w:rPr>
        <w:t xml:space="preserve">Caribbean Metadata Standard</w:t>
      </w:r>
    </w:p>
    <w:p>
      <w:pPr>
        <w:pBdr>
          <w:bottom w:val="single" w:color="00C2C7" w:sz="4" w:space="1"/>
        </w:pBdr>
        <w:spacing w:after="160" w:before="0"/>
      </w:pPr>
      <w:r>
        <w:t xml:space="preserve"/>
      </w:r>
    </w:p>
    <w:p>
      <w:pPr>
        <w:spacing w:after="100" w:before="0"/>
      </w:pPr>
      <w:r>
        <w:rPr>
          <w:rFonts w:ascii="Arial" w:cs="Arial" w:eastAsia="Arial" w:hAnsi="Arial"/>
          <w:b/>
          <w:bCs/>
          <w:color w:val="00C2C7"/>
          <w:spacing w:val="80"/>
          <w:sz w:val="18"/>
          <w:szCs w:val="18"/>
        </w:rPr>
        <w:t xml:space="preserve">PREAMBLE</w:t>
      </w:r>
    </w:p>
    <w:p>
      <w:pPr>
        <w:spacing w:after="60" w:before="60"/>
        <w:jc w:val="both"/>
      </w:pPr>
      <w:r>
        <w:rPr>
          <w:rFonts w:ascii="Arial" w:cs="Arial" w:eastAsia="Arial" w:hAnsi="Arial"/>
          <w:b w:val="false"/>
          <w:bCs w:val="false"/>
          <w:i w:val="false"/>
          <w:iCs w:val="false"/>
          <w:color w:val="333333"/>
          <w:sz w:val="21"/>
          <w:szCs w:val="21"/>
        </w:rPr>
        <w:t xml:space="preserve">The Caribbean Metadata Standard (CMS) is the first open metadata framework designed to describe, certify and index Caribbean works on global platforms. Developed by the Caribwood Language Lab (Guadeloupe), it is made freely available to any Caribbean institution or international partner, in the spirit of cultural sovereignty and regional public interest.</w:t>
      </w:r>
    </w:p>
    <w:p>
      <w:pPr>
        <w:spacing w:after="0" w:before="60"/>
      </w:pPr>
      <w:r>
        <w:t xml:space="preserve"/>
      </w:r>
    </w:p>
    <w:p>
      <w:pPr>
        <w:spacing w:after="60" w:before="60"/>
        <w:jc w:val="both"/>
      </w:pPr>
      <w:r>
        <w:rPr>
          <w:rFonts w:ascii="Arial" w:cs="Arial" w:eastAsia="Arial" w:hAnsi="Arial"/>
          <w:b w:val="false"/>
          <w:bCs w:val="false"/>
          <w:i w:val="false"/>
          <w:iCs w:val="false"/>
          <w:color w:val="333333"/>
          <w:sz w:val="21"/>
          <w:szCs w:val="21"/>
        </w:rPr>
        <w:t xml:space="preserve">This agreement formalises the voluntary adoption of the CMS by the Partner Institution. It entails no commercial, financial or exclusive obligation.</w:t>
      </w:r>
    </w:p>
    <w:p>
      <w:pPr>
        <w:spacing w:after="0" w:before="80"/>
      </w:pPr>
      <w:r>
        <w:t xml:space="preserve"/>
      </w:r>
    </w:p>
    <w:p>
      <w:pPr>
        <w:spacing w:after="100" w:before="0"/>
      </w:pPr>
      <w:r>
        <w:rPr>
          <w:rFonts w:ascii="Arial" w:cs="Arial" w:eastAsia="Arial" w:hAnsi="Arial"/>
          <w:b/>
          <w:bCs/>
          <w:color w:val="00C2C7"/>
          <w:spacing w:val="80"/>
          <w:sz w:val="18"/>
          <w:szCs w:val="18"/>
        </w:rPr>
        <w:t xml:space="preserve">BETWEEN THE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E4ED" w:sz="1"/>
              <w:left w:val="single" w:color="D0E4ED" w:sz="1"/>
              <w:bottom w:val="single" w:color="D0E4ED" w:sz="1"/>
              <w:right w:val="single" w:color="D0E4ED" w:sz="1"/>
            </w:tcBorders>
            <w:shd w:fill="F0F7FA" w:val="clear"/>
            <w:tcMar>
              <w:top w:type="dxa" w:w="160"/>
              <w:left w:type="dxa" w:w="200"/>
              <w:bottom w:type="dxa" w:w="160"/>
              <w:right w:type="dxa" w:w="160"/>
            </w:tcMar>
          </w:tcPr>
          <w:p>
            <w:pPr>
              <w:spacing w:after="80" w:before="0"/>
            </w:pPr>
            <w:r>
              <w:rPr>
                <w:rFonts w:ascii="Arial" w:cs="Arial" w:eastAsia="Arial" w:hAnsi="Arial"/>
                <w:b/>
                <w:bCs/>
                <w:color w:val="003E6B"/>
                <w:sz w:val="19"/>
                <w:szCs w:val="19"/>
              </w:rPr>
              <w:t xml:space="preserve">The Standard Promoter</w:t>
            </w:r>
          </w:p>
          <w:p>
            <w:pPr>
              <w:spacing w:after="40" w:before="0"/>
            </w:pPr>
            <w:r>
              <w:rPr>
                <w:rFonts w:ascii="Arial" w:cs="Arial" w:eastAsia="Arial" w:hAnsi="Arial"/>
                <w:b/>
                <w:bCs/>
                <w:color w:val="00C2C7"/>
                <w:sz w:val="20"/>
                <w:szCs w:val="20"/>
              </w:rPr>
              <w:t xml:space="preserve">Caribwood Language Lab</w:t>
            </w:r>
          </w:p>
          <w:p>
            <w:pPr>
              <w:spacing w:after="40" w:before="0"/>
            </w:pPr>
            <w:r>
              <w:rPr>
                <w:rFonts w:ascii="Arial" w:cs="Arial" w:eastAsia="Arial" w:hAnsi="Arial"/>
                <w:color w:val="444444"/>
                <w:sz w:val="19"/>
                <w:szCs w:val="19"/>
              </w:rPr>
              <w:t xml:space="preserve">Guadeloupe, Caribbean</w:t>
            </w:r>
          </w:p>
          <w:p>
            <w:pPr>
              <w:spacing w:after="0" w:before="0"/>
            </w:pPr>
            <w:r>
              <w:rPr>
                <w:rFonts w:ascii="Arial" w:cs="Arial" w:eastAsia="Arial" w:hAnsi="Arial"/>
                <w:color w:val="666666"/>
                <w:sz w:val="19"/>
                <w:szCs w:val="19"/>
              </w:rPr>
              <w:t xml:space="preserve">contact@caribbeanmetadata.org</w:t>
            </w:r>
          </w:p>
        </w:tc>
        <w:tc>
          <w:tcPr>
            <w:tcW w:type="dxa" w:w="4680"/>
            <w:tcBorders>
              <w:top w:val="single" w:color="D0E4ED" w:sz="1"/>
              <w:left w:val="single" w:color="D0E4ED" w:sz="1"/>
              <w:bottom w:val="single" w:color="D0E4ED" w:sz="1"/>
              <w:right w:val="single" w:color="D0E4ED" w:sz="1"/>
            </w:tcBorders>
            <w:shd w:fill="FFFFFF" w:val="clear"/>
            <w:tcMar>
              <w:top w:type="dxa" w:w="160"/>
              <w:left w:type="dxa" w:w="200"/>
              <w:bottom w:type="dxa" w:w="160"/>
              <w:right w:type="dxa" w:w="160"/>
            </w:tcMar>
          </w:tcPr>
          <w:p>
            <w:pPr>
              <w:spacing w:after="80" w:before="0"/>
            </w:pPr>
            <w:r>
              <w:rPr>
                <w:rFonts w:ascii="Arial" w:cs="Arial" w:eastAsia="Arial" w:hAnsi="Arial"/>
                <w:b/>
                <w:bCs/>
                <w:color w:val="003E6B"/>
                <w:sz w:val="19"/>
                <w:szCs w:val="19"/>
              </w:rPr>
              <w:t xml:space="preserve">The Partner Institution</w:t>
            </w:r>
          </w:p>
          <w:p>
            <w:pPr>
              <w:spacing w:after="0" w:before="0"/>
            </w:pPr>
            <w:r>
              <w:rPr>
                <w:rFonts w:ascii="Arial" w:cs="Arial" w:eastAsia="Arial" w:hAnsi="Arial"/>
                <w:color w:val="666666"/>
                <w:sz w:val="18"/>
                <w:szCs w:val="18"/>
              </w:rPr>
              <w:t xml:space="preserve">Name :</w:t>
            </w:r>
          </w:p>
          <w:p>
            <w:pPr>
              <w:pBdr>
                <w:bottom w:val="single" w:color="CCCCCC" w:sz="2" w:space="1"/>
              </w:pBdr>
              <w:spacing w:after="80" w:before="200"/>
            </w:pPr>
            <w:r>
              <w:t xml:space="preserve">  </w:t>
            </w:r>
          </w:p>
          <w:p>
            <w:pPr>
              <w:spacing w:after="0" w:before="40"/>
            </w:pPr>
            <w:r>
              <w:rPr>
                <w:rFonts w:ascii="Arial" w:cs="Arial" w:eastAsia="Arial" w:hAnsi="Arial"/>
                <w:color w:val="666666"/>
                <w:sz w:val="18"/>
                <w:szCs w:val="18"/>
              </w:rPr>
              <w:t xml:space="preserve">Country / Territory :</w:t>
            </w:r>
          </w:p>
          <w:p>
            <w:pPr>
              <w:pBdr>
                <w:bottom w:val="single" w:color="CCCCCC" w:sz="2" w:space="1"/>
              </w:pBdr>
              <w:spacing w:after="80" w:before="200"/>
            </w:pPr>
            <w:r>
              <w:t xml:space="preserve">  </w:t>
            </w:r>
          </w:p>
          <w:p>
            <w:pPr>
              <w:spacing w:after="0" w:before="40"/>
            </w:pPr>
            <w:r>
              <w:rPr>
                <w:rFonts w:ascii="Arial" w:cs="Arial" w:eastAsia="Arial" w:hAnsi="Arial"/>
                <w:color w:val="666666"/>
                <w:sz w:val="18"/>
                <w:szCs w:val="18"/>
              </w:rPr>
              <w:t xml:space="preserve">Legal representative :</w:t>
            </w:r>
          </w:p>
          <w:p>
            <w:pPr>
              <w:pBdr>
                <w:bottom w:val="single" w:color="CCCCCC" w:sz="2" w:space="1"/>
              </w:pBdr>
              <w:spacing w:after="0" w:before="200"/>
            </w:pPr>
            <w:r>
              <w:t xml:space="preserve">  </w:t>
            </w:r>
          </w:p>
        </w:tc>
      </w:tr>
    </w:tbl>
    <w:p>
      <w:pPr>
        <w:spacing w:after="0" w:before="140"/>
      </w:pPr>
      <w:r>
        <w:t xml:space="preserve"/>
      </w:r>
    </w:p>
    <w:p>
      <w:pPr>
        <w:pBdr>
          <w:left w:val="single" w:color="00C2C7" w:sz="12" w:space="8"/>
        </w:pBdr>
        <w:spacing w:after="100" w:before="320"/>
        <w:ind w:left="160"/>
      </w:pPr>
      <w:r>
        <w:rPr>
          <w:rFonts w:ascii="Arial" w:cs="Arial" w:eastAsia="Arial" w:hAnsi="Arial"/>
          <w:b/>
          <w:bCs/>
          <w:color w:val="00C2C7"/>
          <w:sz w:val="22"/>
          <w:szCs w:val="22"/>
        </w:rPr>
        <w:t xml:space="preserve">Article 1 — </w:t>
      </w:r>
      <w:r>
        <w:rPr>
          <w:rFonts w:ascii="Arial" w:cs="Arial" w:eastAsia="Arial" w:hAnsi="Arial"/>
          <w:b/>
          <w:bCs/>
          <w:color w:val="003E6B"/>
          <w:sz w:val="22"/>
          <w:szCs w:val="22"/>
        </w:rPr>
        <w:t xml:space="preserve">Purpose</w:t>
      </w:r>
    </w:p>
    <w:p>
      <w:pPr>
        <w:spacing w:after="60" w:before="60"/>
        <w:jc w:val="both"/>
      </w:pPr>
      <w:r>
        <w:rPr>
          <w:rFonts w:ascii="Arial" w:cs="Arial" w:eastAsia="Arial" w:hAnsi="Arial"/>
          <w:b w:val="false"/>
          <w:bCs w:val="false"/>
          <w:i w:val="false"/>
          <w:iCs w:val="false"/>
          <w:color w:val="333333"/>
          <w:sz w:val="21"/>
          <w:szCs w:val="21"/>
        </w:rPr>
        <w:t xml:space="preserve">This agreement sets out the terms under which the Partner Institution adopts the Caribbean Metadata Standard (CMS v2.0). It defines the mutual rights and commitments of both parties within an open, non-exclusive framework with no commercial consideration.</w:t>
      </w:r>
    </w:p>
    <w:p>
      <w:pPr>
        <w:pBdr>
          <w:left w:val="single" w:color="00C2C7" w:sz="12" w:space="8"/>
        </w:pBdr>
        <w:spacing w:after="100" w:before="320"/>
        <w:ind w:left="160"/>
      </w:pPr>
      <w:r>
        <w:rPr>
          <w:rFonts w:ascii="Arial" w:cs="Arial" w:eastAsia="Arial" w:hAnsi="Arial"/>
          <w:b/>
          <w:bCs/>
          <w:color w:val="00C2C7"/>
          <w:sz w:val="22"/>
          <w:szCs w:val="22"/>
        </w:rPr>
        <w:t xml:space="preserve">Article 2 — </w:t>
      </w:r>
      <w:r>
        <w:rPr>
          <w:rFonts w:ascii="Arial" w:cs="Arial" w:eastAsia="Arial" w:hAnsi="Arial"/>
          <w:b/>
          <w:bCs/>
          <w:color w:val="003E6B"/>
          <w:sz w:val="22"/>
          <w:szCs w:val="22"/>
        </w:rPr>
        <w:t xml:space="preserve">Nature of the Standard — Public Interest</w:t>
      </w:r>
    </w:p>
    <w:p>
      <w:pPr>
        <w:spacing w:after="60" w:before="60"/>
        <w:jc w:val="both"/>
      </w:pPr>
      <w:r>
        <w:rPr>
          <w:rFonts w:ascii="Arial" w:cs="Arial" w:eastAsia="Arial" w:hAnsi="Arial"/>
          <w:b w:val="false"/>
          <w:bCs w:val="false"/>
          <w:i w:val="false"/>
          <w:iCs w:val="false"/>
          <w:color w:val="333333"/>
          <w:sz w:val="21"/>
          <w:szCs w:val="21"/>
        </w:rPr>
        <w:t xml:space="preserve">The CMS is a Caribbean regional common good. Adoption is:</w:t>
      </w:r>
    </w:p>
    <w:p>
      <w:pPr>
        <w:pStyle w:val="ListParagraph"/>
        <w:numPr>
          <w:ilvl w:val="0"/>
          <w:numId w:val="2"/>
        </w:numPr>
        <w:spacing w:after="40" w:before="40"/>
      </w:pPr>
      <w:r>
        <w:rPr>
          <w:rFonts w:ascii="Arial" w:cs="Arial" w:eastAsia="Arial" w:hAnsi="Arial"/>
          <w:color w:val="333333"/>
          <w:sz w:val="21"/>
          <w:szCs w:val="21"/>
        </w:rPr>
        <w:t xml:space="preserve">Entirely free — no royalty, no entry fee, no subscription</w:t>
      </w:r>
    </w:p>
    <w:p>
      <w:pPr>
        <w:pStyle w:val="ListParagraph"/>
        <w:numPr>
          <w:ilvl w:val="0"/>
          <w:numId w:val="2"/>
        </w:numPr>
        <w:spacing w:after="40" w:before="40"/>
      </w:pPr>
      <w:r>
        <w:rPr>
          <w:rFonts w:ascii="Arial" w:cs="Arial" w:eastAsia="Arial" w:hAnsi="Arial"/>
          <w:color w:val="333333"/>
          <w:sz w:val="21"/>
          <w:szCs w:val="21"/>
        </w:rPr>
        <w:t xml:space="preserve">Non-exclusive — the Partner Institution remains free to use any other standard or system</w:t>
      </w:r>
    </w:p>
    <w:p>
      <w:pPr>
        <w:pStyle w:val="ListParagraph"/>
        <w:numPr>
          <w:ilvl w:val="0"/>
          <w:numId w:val="2"/>
        </w:numPr>
        <w:spacing w:after="40" w:before="40"/>
      </w:pPr>
      <w:r>
        <w:rPr>
          <w:rFonts w:ascii="Arial" w:cs="Arial" w:eastAsia="Arial" w:hAnsi="Arial"/>
          <w:color w:val="333333"/>
          <w:sz w:val="21"/>
          <w:szCs w:val="21"/>
        </w:rPr>
        <w:t xml:space="preserve">Without transfer of intellectual property — the Partner Institution retains full rights over its own content</w:t>
      </w:r>
    </w:p>
    <w:p>
      <w:pPr>
        <w:pStyle w:val="ListParagraph"/>
        <w:numPr>
          <w:ilvl w:val="0"/>
          <w:numId w:val="2"/>
        </w:numPr>
        <w:spacing w:after="40" w:before="40"/>
      </w:pPr>
      <w:r>
        <w:rPr>
          <w:rFonts w:ascii="Arial" w:cs="Arial" w:eastAsia="Arial" w:hAnsi="Arial"/>
          <w:color w:val="333333"/>
          <w:sz w:val="21"/>
          <w:szCs w:val="21"/>
        </w:rPr>
        <w:t xml:space="preserve">Revocable at any time by simple written notice, without penalty</w:t>
      </w:r>
    </w:p>
    <w:p>
      <w:pPr>
        <w:pBdr>
          <w:left w:val="single" w:color="00C2C7" w:sz="12" w:space="8"/>
        </w:pBdr>
        <w:spacing w:after="100" w:before="320"/>
        <w:ind w:left="160"/>
      </w:pPr>
      <w:r>
        <w:rPr>
          <w:rFonts w:ascii="Arial" w:cs="Arial" w:eastAsia="Arial" w:hAnsi="Arial"/>
          <w:b/>
          <w:bCs/>
          <w:color w:val="00C2C7"/>
          <w:sz w:val="22"/>
          <w:szCs w:val="22"/>
        </w:rPr>
        <w:t xml:space="preserve">Article 3 — </w:t>
      </w:r>
      <w:r>
        <w:rPr>
          <w:rFonts w:ascii="Arial" w:cs="Arial" w:eastAsia="Arial" w:hAnsi="Arial"/>
          <w:b/>
          <w:bCs/>
          <w:color w:val="003E6B"/>
          <w:sz w:val="22"/>
          <w:szCs w:val="22"/>
        </w:rPr>
        <w:t xml:space="preserve">Commitments of the Caribwood Language Lab</w:t>
      </w:r>
    </w:p>
    <w:p>
      <w:pPr>
        <w:spacing w:after="60" w:before="60"/>
        <w:jc w:val="both"/>
      </w:pPr>
      <w:r>
        <w:rPr>
          <w:rFonts w:ascii="Arial" w:cs="Arial" w:eastAsia="Arial" w:hAnsi="Arial"/>
          <w:b w:val="false"/>
          <w:bCs w:val="false"/>
          <w:i w:val="false"/>
          <w:iCs w:val="false"/>
          <w:color w:val="333333"/>
          <w:sz w:val="21"/>
          <w:szCs w:val="21"/>
        </w:rPr>
        <w:t xml:space="preserve">As promoter of the standard, the Caribwood Language Lab undertakes to:</w:t>
      </w:r>
    </w:p>
    <w:p>
      <w:pPr>
        <w:pStyle w:val="ListParagraph"/>
        <w:numPr>
          <w:ilvl w:val="0"/>
          <w:numId w:val="2"/>
        </w:numPr>
        <w:spacing w:after="40" w:before="40"/>
      </w:pPr>
      <w:r>
        <w:rPr>
          <w:rFonts w:ascii="Arial" w:cs="Arial" w:eastAsia="Arial" w:hAnsi="Arial"/>
          <w:color w:val="333333"/>
          <w:sz w:val="21"/>
          <w:szCs w:val="21"/>
        </w:rPr>
        <w:t xml:space="preserve">Provide the CMS standard, its technical documentation and tools free of charge</w:t>
      </w:r>
    </w:p>
    <w:p>
      <w:pPr>
        <w:pStyle w:val="ListParagraph"/>
        <w:numPr>
          <w:ilvl w:val="0"/>
          <w:numId w:val="2"/>
        </w:numPr>
        <w:spacing w:after="40" w:before="40"/>
      </w:pPr>
      <w:r>
        <w:rPr>
          <w:rFonts w:ascii="Arial" w:cs="Arial" w:eastAsia="Arial" w:hAnsi="Arial"/>
          <w:color w:val="333333"/>
          <w:sz w:val="21"/>
          <w:szCs w:val="21"/>
        </w:rPr>
        <w:t xml:space="preserve">Notify the Partner Institution of any major evolution of the standard (minor version: 30 days; major version: 90 days)</w:t>
      </w:r>
    </w:p>
    <w:p>
      <w:pPr>
        <w:pStyle w:val="ListParagraph"/>
        <w:numPr>
          <w:ilvl w:val="0"/>
          <w:numId w:val="2"/>
        </w:numPr>
        <w:spacing w:after="40" w:before="40"/>
      </w:pPr>
      <w:r>
        <w:rPr>
          <w:rFonts w:ascii="Arial" w:cs="Arial" w:eastAsia="Arial" w:hAnsi="Arial"/>
          <w:color w:val="333333"/>
          <w:sz w:val="21"/>
          <w:szCs w:val="21"/>
        </w:rPr>
        <w:t xml:space="preserve">Publicly acknowledge the Partner Institution in the official CMS adopters list</w:t>
      </w:r>
    </w:p>
    <w:p>
      <w:pPr>
        <w:pStyle w:val="ListParagraph"/>
        <w:numPr>
          <w:ilvl w:val="0"/>
          <w:numId w:val="2"/>
        </w:numPr>
        <w:spacing w:after="40" w:before="40"/>
      </w:pPr>
      <w:r>
        <w:rPr>
          <w:rFonts w:ascii="Arial" w:cs="Arial" w:eastAsia="Arial" w:hAnsi="Arial"/>
          <w:color w:val="333333"/>
          <w:sz w:val="21"/>
          <w:szCs w:val="21"/>
        </w:rPr>
        <w:t xml:space="preserve">Involve the Partner Institution in consultations on standard evolution</w:t>
      </w:r>
    </w:p>
    <w:p>
      <w:pPr>
        <w:pStyle w:val="ListParagraph"/>
        <w:numPr>
          <w:ilvl w:val="0"/>
          <w:numId w:val="2"/>
        </w:numPr>
        <w:spacing w:after="40" w:before="40"/>
      </w:pPr>
      <w:r>
        <w:rPr>
          <w:rFonts w:ascii="Arial" w:cs="Arial" w:eastAsia="Arial" w:hAnsi="Arial"/>
          <w:color w:val="333333"/>
          <w:sz w:val="21"/>
          <w:szCs w:val="21"/>
        </w:rPr>
        <w:t xml:space="preserve">Transfer standard governance to an independent Technical Committee once 5 Caribbean institutions have officially adopted the CMS</w:t>
      </w:r>
    </w:p>
    <w:p>
      <w:pPr>
        <w:pBdr>
          <w:left w:val="single" w:color="00C2C7" w:sz="12" w:space="8"/>
        </w:pBdr>
        <w:spacing w:after="100" w:before="320"/>
        <w:ind w:left="160"/>
      </w:pPr>
      <w:r>
        <w:rPr>
          <w:rFonts w:ascii="Arial" w:cs="Arial" w:eastAsia="Arial" w:hAnsi="Arial"/>
          <w:b/>
          <w:bCs/>
          <w:color w:val="00C2C7"/>
          <w:sz w:val="22"/>
          <w:szCs w:val="22"/>
        </w:rPr>
        <w:t xml:space="preserve">Article 4 — </w:t>
      </w:r>
      <w:r>
        <w:rPr>
          <w:rFonts w:ascii="Arial" w:cs="Arial" w:eastAsia="Arial" w:hAnsi="Arial"/>
          <w:b/>
          <w:bCs/>
          <w:color w:val="003E6B"/>
          <w:sz w:val="22"/>
          <w:szCs w:val="22"/>
        </w:rPr>
        <w:t xml:space="preserve">Commitments of the Partner Institution</w:t>
      </w:r>
    </w:p>
    <w:p>
      <w:pPr>
        <w:spacing w:after="60" w:before="60"/>
        <w:jc w:val="both"/>
      </w:pPr>
      <w:r>
        <w:rPr>
          <w:rFonts w:ascii="Arial" w:cs="Arial" w:eastAsia="Arial" w:hAnsi="Arial"/>
          <w:b w:val="false"/>
          <w:bCs w:val="false"/>
          <w:i w:val="false"/>
          <w:iCs w:val="false"/>
          <w:color w:val="333333"/>
          <w:sz w:val="21"/>
          <w:szCs w:val="21"/>
        </w:rPr>
        <w:t xml:space="preserve">By adopting the CMS, the Partner Institution undertakes to:</w:t>
      </w:r>
    </w:p>
    <w:p>
      <w:pPr>
        <w:pStyle w:val="ListParagraph"/>
        <w:numPr>
          <w:ilvl w:val="0"/>
          <w:numId w:val="2"/>
        </w:numPr>
        <w:spacing w:after="40" w:before="40"/>
      </w:pPr>
      <w:r>
        <w:rPr>
          <w:rFonts w:ascii="Arial" w:cs="Arial" w:eastAsia="Arial" w:hAnsi="Arial"/>
          <w:color w:val="333333"/>
          <w:sz w:val="21"/>
          <w:szCs w:val="21"/>
        </w:rPr>
        <w:t xml:space="preserve">Integrate CMS metadata into at least one cataloguing, indexing or distribution process, according to the chosen integration level (Basic, Structured or Native)</w:t>
      </w:r>
    </w:p>
    <w:p>
      <w:pPr>
        <w:pStyle w:val="ListParagraph"/>
        <w:numPr>
          <w:ilvl w:val="0"/>
          <w:numId w:val="2"/>
        </w:numPr>
        <w:spacing w:after="40" w:before="40"/>
      </w:pPr>
      <w:r>
        <w:rPr>
          <w:rFonts w:ascii="Arial" w:cs="Arial" w:eastAsia="Arial" w:hAnsi="Arial"/>
          <w:color w:val="333333"/>
          <w:sz w:val="21"/>
          <w:szCs w:val="21"/>
        </w:rPr>
        <w:t xml:space="preserve">Acknowledge CMS compatibility in relevant communications and tools</w:t>
      </w:r>
    </w:p>
    <w:p>
      <w:pPr>
        <w:pStyle w:val="ListParagraph"/>
        <w:numPr>
          <w:ilvl w:val="0"/>
          <w:numId w:val="2"/>
        </w:numPr>
        <w:spacing w:after="40" w:before="40"/>
      </w:pPr>
      <w:r>
        <w:rPr>
          <w:rFonts w:ascii="Arial" w:cs="Arial" w:eastAsia="Arial" w:hAnsi="Arial"/>
          <w:color w:val="333333"/>
          <w:sz w:val="21"/>
          <w:szCs w:val="21"/>
        </w:rPr>
        <w:t xml:space="preserve">Report to the Caribwood Language Lab any malfunction or inadequacy of the standard observed in practice</w:t>
      </w:r>
    </w:p>
    <w:p>
      <w:pPr>
        <w:pStyle w:val="ListParagraph"/>
        <w:numPr>
          <w:ilvl w:val="0"/>
          <w:numId w:val="2"/>
        </w:numPr>
        <w:spacing w:after="40" w:before="40"/>
      </w:pPr>
      <w:r>
        <w:rPr>
          <w:rFonts w:ascii="Arial" w:cs="Arial" w:eastAsia="Arial" w:hAnsi="Arial"/>
          <w:color w:val="333333"/>
          <w:sz w:val="21"/>
          <w:szCs w:val="21"/>
        </w:rPr>
        <w:t xml:space="preserve">Not use the CMS label for commercial purposes without prior written agreement</w:t>
      </w:r>
    </w:p>
    <w:p>
      <w:pPr>
        <w:pBdr>
          <w:left w:val="single" w:color="00C2C7" w:sz="12" w:space="8"/>
        </w:pBdr>
        <w:spacing w:after="100" w:before="320"/>
        <w:ind w:left="160"/>
      </w:pPr>
      <w:r>
        <w:rPr>
          <w:rFonts w:ascii="Arial" w:cs="Arial" w:eastAsia="Arial" w:hAnsi="Arial"/>
          <w:b/>
          <w:bCs/>
          <w:color w:val="00C2C7"/>
          <w:sz w:val="22"/>
          <w:szCs w:val="22"/>
        </w:rPr>
        <w:t xml:space="preserve">Article 5 — </w:t>
      </w:r>
      <w:r>
        <w:rPr>
          <w:rFonts w:ascii="Arial" w:cs="Arial" w:eastAsia="Arial" w:hAnsi="Arial"/>
          <w:b/>
          <w:bCs/>
          <w:color w:val="003E6B"/>
          <w:sz w:val="22"/>
          <w:szCs w:val="22"/>
        </w:rPr>
        <w:t xml:space="preserve">Integration Levels</w:t>
      </w:r>
    </w:p>
    <w:p>
      <w:pPr>
        <w:spacing w:after="60" w:before="60"/>
        <w:jc w:val="both"/>
      </w:pPr>
      <w:r>
        <w:rPr>
          <w:rFonts w:ascii="Arial" w:cs="Arial" w:eastAsia="Arial" w:hAnsi="Arial"/>
          <w:b w:val="false"/>
          <w:bCs w:val="false"/>
          <w:i w:val="false"/>
          <w:iCs w:val="false"/>
          <w:color w:val="333333"/>
          <w:sz w:val="21"/>
          <w:szCs w:val="21"/>
        </w:rPr>
        <w:t xml:space="preserve">The Partner Institution freely selects its integration level at the time of adoption: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660"/>
        <w:gridCol w:w="2000"/>
      </w:tblGrid>
      <w:tr>
        <w:tc>
          <w:tcPr>
            <w:tcW w:type="dxa" w:w="500"/>
            <w:tcBorders>
              <w:top w:val="single" w:color="D0E4ED" w:sz="1"/>
              <w:left w:val="single" w:color="D0E4ED" w:sz="1"/>
              <w:bottom w:val="single" w:color="D0E4ED" w:sz="1"/>
              <w:right w:val="single" w:color="D0E4ED" w:sz="1"/>
            </w:tcBorders>
            <w:shd w:fill="003E6B" w:val="clear"/>
            <w:tcMar>
              <w:top w:type="dxa" w:w="100"/>
              <w:left w:type="dxa" w:w="120"/>
              <w:bottom w:type="dxa" w:w="100"/>
              <w:right w:type="dxa" w:w="120"/>
            </w:tcMar>
          </w:tcPr>
          <w:p>
            <w:r>
              <w:rPr>
                <w:rFonts w:ascii="Arial" w:cs="Arial" w:eastAsia="Arial" w:hAnsi="Arial"/>
                <w:b/>
                <w:bCs/>
                <w:color w:val="FFFFFF"/>
                <w:sz w:val="18"/>
                <w:szCs w:val="18"/>
              </w:rPr>
              <w:t xml:space="preserve">Lv.</w:t>
            </w:r>
          </w:p>
        </w:tc>
        <w:tc>
          <w:tcPr>
            <w:tcW w:type="dxa" w:w="2200"/>
            <w:tcBorders>
              <w:top w:val="single" w:color="D0E4ED" w:sz="1"/>
              <w:left w:val="single" w:color="D0E4ED" w:sz="1"/>
              <w:bottom w:val="single" w:color="D0E4ED" w:sz="1"/>
              <w:right w:val="single" w:color="D0E4ED" w:sz="1"/>
            </w:tcBorders>
            <w:shd w:fill="003E6B" w:val="clear"/>
            <w:tcMar>
              <w:top w:type="dxa" w:w="100"/>
              <w:left w:type="dxa" w:w="160"/>
              <w:bottom w:type="dxa" w:w="100"/>
              <w:right w:type="dxa" w:w="120"/>
            </w:tcMar>
          </w:tcPr>
          <w:p>
            <w:r>
              <w:rPr>
                <w:rFonts w:ascii="Arial" w:cs="Arial" w:eastAsia="Arial" w:hAnsi="Arial"/>
                <w:b/>
                <w:bCs/>
                <w:color w:val="FFFFFF"/>
                <w:sz w:val="18"/>
                <w:szCs w:val="18"/>
              </w:rPr>
              <w:t xml:space="preserve">Name</w:t>
            </w:r>
          </w:p>
        </w:tc>
        <w:tc>
          <w:tcPr>
            <w:tcW w:type="dxa" w:w="4660"/>
            <w:tcBorders>
              <w:top w:val="single" w:color="D0E4ED" w:sz="1"/>
              <w:left w:val="single" w:color="D0E4ED" w:sz="1"/>
              <w:bottom w:val="single" w:color="D0E4ED" w:sz="1"/>
              <w:right w:val="single" w:color="D0E4ED" w:sz="1"/>
            </w:tcBorders>
            <w:shd w:fill="003E6B" w:val="clear"/>
            <w:tcMar>
              <w:top w:type="dxa" w:w="100"/>
              <w:left w:type="dxa" w:w="160"/>
              <w:bottom w:type="dxa" w:w="100"/>
              <w:right w:type="dxa" w:w="120"/>
            </w:tcMar>
          </w:tcPr>
          <w:p>
            <w:r>
              <w:rPr>
                <w:rFonts w:ascii="Arial" w:cs="Arial" w:eastAsia="Arial" w:hAnsi="Arial"/>
                <w:b/>
                <w:bCs/>
                <w:color w:val="FFFFFF"/>
                <w:sz w:val="18"/>
                <w:szCs w:val="18"/>
              </w:rPr>
              <w:t xml:space="preserve">Description</w:t>
            </w:r>
          </w:p>
        </w:tc>
        <w:tc>
          <w:tcPr>
            <w:tcW w:type="dxa" w:w="2000"/>
            <w:tcBorders>
              <w:top w:val="single" w:color="D0E4ED" w:sz="1"/>
              <w:left w:val="single" w:color="D0E4ED" w:sz="1"/>
              <w:bottom w:val="single" w:color="D0E4ED" w:sz="1"/>
              <w:right w:val="single" w:color="D0E4ED" w:sz="1"/>
            </w:tcBorders>
            <w:shd w:fill="003E6B" w:val="clear"/>
            <w:tcMar>
              <w:top w:type="dxa" w:w="100"/>
              <w:left w:type="dxa" w:w="160"/>
              <w:bottom w:type="dxa" w:w="100"/>
              <w:right w:type="dxa" w:w="120"/>
            </w:tcMar>
          </w:tcPr>
          <w:p>
            <w:r>
              <w:rPr>
                <w:rFonts w:ascii="Arial" w:cs="Arial" w:eastAsia="Arial" w:hAnsi="Arial"/>
                <w:b/>
                <w:bCs/>
                <w:color w:val="FFFFFF"/>
                <w:sz w:val="18"/>
                <w:szCs w:val="18"/>
              </w:rPr>
              <w:t xml:space="preserve">Estimated effort</w:t>
            </w:r>
          </w:p>
        </w:tc>
      </w:tr>
      <w:tr>
        <w:tc>
          <w:tcPr>
            <w:tcW w:type="dxa" w:w="500"/>
            <w:tcBorders>
              <w:top w:val="single" w:color="D0E4ED" w:sz="1"/>
              <w:left w:val="single" w:color="D0E4ED" w:sz="1"/>
              <w:bottom w:val="single" w:color="D0E4ED" w:sz="1"/>
              <w:right w:val="single" w:color="D0E4ED" w:sz="1"/>
            </w:tcBorders>
            <w:shd w:fill="FFFFFF" w:val="clear"/>
            <w:tcMar>
              <w:top w:type="dxa" w:w="100"/>
              <w:left w:type="dxa" w:w="120"/>
              <w:bottom w:type="dxa" w:w="100"/>
              <w:right w:type="dxa" w:w="120"/>
            </w:tcMar>
          </w:tcPr>
          <w:p>
            <w:r>
              <w:rPr>
                <w:rFonts w:ascii="Arial" w:cs="Arial" w:eastAsia="Arial" w:hAnsi="Arial"/>
                <w:b/>
                <w:bCs/>
                <w:color w:val="00C2C7"/>
                <w:sz w:val="19"/>
                <w:szCs w:val="19"/>
              </w:rPr>
              <w:t xml:space="preserve">1</w:t>
            </w:r>
          </w:p>
        </w:tc>
        <w:tc>
          <w:tcPr>
            <w:tcW w:type="dxa" w:w="2200"/>
            <w:tcBorders>
              <w:top w:val="single" w:color="D0E4ED" w:sz="1"/>
              <w:left w:val="single" w:color="D0E4ED" w:sz="1"/>
              <w:bottom w:val="single" w:color="D0E4ED" w:sz="1"/>
              <w:right w:val="single" w:color="D0E4ED" w:sz="1"/>
            </w:tcBorders>
            <w:shd w:fill="FFFFFF" w:val="clear"/>
            <w:tcMar>
              <w:top w:type="dxa" w:w="100"/>
              <w:left w:type="dxa" w:w="160"/>
              <w:bottom w:type="dxa" w:w="100"/>
              <w:right w:type="dxa" w:w="120"/>
            </w:tcMar>
          </w:tcPr>
          <w:p>
            <w:r>
              <w:rPr>
                <w:rFonts w:ascii="Arial" w:cs="Arial" w:eastAsia="Arial" w:hAnsi="Arial"/>
                <w:b w:val="false"/>
                <w:bCs w:val="false"/>
                <w:color w:val="444444"/>
                <w:sz w:val="19"/>
                <w:szCs w:val="19"/>
              </w:rPr>
              <w:t xml:space="preserve">Basic</w:t>
            </w:r>
          </w:p>
        </w:tc>
        <w:tc>
          <w:tcPr>
            <w:tcW w:type="dxa" w:w="4660"/>
            <w:tcBorders>
              <w:top w:val="single" w:color="D0E4ED" w:sz="1"/>
              <w:left w:val="single" w:color="D0E4ED" w:sz="1"/>
              <w:bottom w:val="single" w:color="D0E4ED" w:sz="1"/>
              <w:right w:val="single" w:color="D0E4ED" w:sz="1"/>
            </w:tcBorders>
            <w:shd w:fill="FFFFFF" w:val="clear"/>
            <w:tcMar>
              <w:top w:type="dxa" w:w="100"/>
              <w:left w:type="dxa" w:w="160"/>
              <w:bottom w:type="dxa" w:w="100"/>
              <w:right w:type="dxa" w:w="120"/>
            </w:tcMar>
          </w:tcPr>
          <w:p>
            <w:r>
              <w:rPr>
                <w:rFonts w:ascii="Arial" w:cs="Arial" w:eastAsia="Arial" w:hAnsi="Arial"/>
                <w:b w:val="false"/>
                <w:bCs w:val="false"/>
                <w:color w:val="444444"/>
                <w:sz w:val="19"/>
                <w:szCs w:val="19"/>
              </w:rPr>
              <w:t xml:space="preserve">CMS tags integrated as keywords in existing fields</w:t>
            </w:r>
          </w:p>
        </w:tc>
        <w:tc>
          <w:tcPr>
            <w:tcW w:type="dxa" w:w="2000"/>
            <w:tcBorders>
              <w:top w:val="single" w:color="D0E4ED" w:sz="1"/>
              <w:left w:val="single" w:color="D0E4ED" w:sz="1"/>
              <w:bottom w:val="single" w:color="D0E4ED" w:sz="1"/>
              <w:right w:val="single" w:color="D0E4ED" w:sz="1"/>
            </w:tcBorders>
            <w:shd w:fill="FFFFFF" w:val="clear"/>
            <w:tcMar>
              <w:top w:type="dxa" w:w="100"/>
              <w:left w:type="dxa" w:w="160"/>
              <w:bottom w:type="dxa" w:w="100"/>
              <w:right w:type="dxa" w:w="120"/>
            </w:tcMar>
          </w:tcPr>
          <w:p>
            <w:r>
              <w:rPr>
                <w:rFonts w:ascii="Arial" w:cs="Arial" w:eastAsia="Arial" w:hAnsi="Arial"/>
                <w:b w:val="false"/>
                <w:bCs w:val="false"/>
                <w:color w:val="444444"/>
                <w:sz w:val="19"/>
                <w:szCs w:val="19"/>
              </w:rPr>
              <w:t xml:space="preserve">A few hours</w:t>
            </w:r>
          </w:p>
        </w:tc>
      </w:tr>
      <w:tr>
        <w:tc>
          <w:tcPr>
            <w:tcW w:type="dxa" w:w="500"/>
            <w:tcBorders>
              <w:top w:val="single" w:color="D0E4ED" w:sz="1"/>
              <w:left w:val="single" w:color="D0E4ED" w:sz="1"/>
              <w:bottom w:val="single" w:color="D0E4ED" w:sz="1"/>
              <w:right w:val="single" w:color="D0E4ED" w:sz="1"/>
            </w:tcBorders>
            <w:shd w:fill="F0F7FA" w:val="clear"/>
            <w:tcMar>
              <w:top w:type="dxa" w:w="100"/>
              <w:left w:type="dxa" w:w="120"/>
              <w:bottom w:type="dxa" w:w="100"/>
              <w:right w:type="dxa" w:w="120"/>
            </w:tcMar>
          </w:tcPr>
          <w:p>
            <w:r>
              <w:rPr>
                <w:rFonts w:ascii="Arial" w:cs="Arial" w:eastAsia="Arial" w:hAnsi="Arial"/>
                <w:b/>
                <w:bCs/>
                <w:color w:val="00C2C7"/>
                <w:sz w:val="19"/>
                <w:szCs w:val="19"/>
              </w:rPr>
              <w:t xml:space="preserve">2</w:t>
            </w:r>
          </w:p>
        </w:tc>
        <w:tc>
          <w:tcPr>
            <w:tcW w:type="dxa" w:w="2200"/>
            <w:tcBorders>
              <w:top w:val="single" w:color="D0E4ED" w:sz="1"/>
              <w:left w:val="single" w:color="D0E4ED" w:sz="1"/>
              <w:bottom w:val="single" w:color="D0E4ED" w:sz="1"/>
              <w:right w:val="single" w:color="D0E4ED" w:sz="1"/>
            </w:tcBorders>
            <w:shd w:fill="F0F7FA" w:val="clear"/>
            <w:tcMar>
              <w:top w:type="dxa" w:w="100"/>
              <w:left w:type="dxa" w:w="160"/>
              <w:bottom w:type="dxa" w:w="100"/>
              <w:right w:type="dxa" w:w="120"/>
            </w:tcMar>
          </w:tcPr>
          <w:p>
            <w:r>
              <w:rPr>
                <w:rFonts w:ascii="Arial" w:cs="Arial" w:eastAsia="Arial" w:hAnsi="Arial"/>
                <w:b w:val="false"/>
                <w:bCs w:val="false"/>
                <w:color w:val="444444"/>
                <w:sz w:val="19"/>
                <w:szCs w:val="19"/>
              </w:rPr>
              <w:t xml:space="preserve">Structured</w:t>
            </w:r>
          </w:p>
        </w:tc>
        <w:tc>
          <w:tcPr>
            <w:tcW w:type="dxa" w:w="4660"/>
            <w:tcBorders>
              <w:top w:val="single" w:color="D0E4ED" w:sz="1"/>
              <w:left w:val="single" w:color="D0E4ED" w:sz="1"/>
              <w:bottom w:val="single" w:color="D0E4ED" w:sz="1"/>
              <w:right w:val="single" w:color="D0E4ED" w:sz="1"/>
            </w:tcBorders>
            <w:shd w:fill="F0F7FA" w:val="clear"/>
            <w:tcMar>
              <w:top w:type="dxa" w:w="100"/>
              <w:left w:type="dxa" w:w="160"/>
              <w:bottom w:type="dxa" w:w="100"/>
              <w:right w:type="dxa" w:w="120"/>
            </w:tcMar>
          </w:tcPr>
          <w:p>
            <w:r>
              <w:rPr>
                <w:rFonts w:ascii="Arial" w:cs="Arial" w:eastAsia="Arial" w:hAnsi="Arial"/>
                <w:b w:val="false"/>
                <w:bCs w:val="false"/>
                <w:color w:val="444444"/>
                <w:sz w:val="19"/>
                <w:szCs w:val="19"/>
              </w:rPr>
              <w:t xml:space="preserve">6 CMS families mapped to dedicated fields</w:t>
            </w:r>
          </w:p>
        </w:tc>
        <w:tc>
          <w:tcPr>
            <w:tcW w:type="dxa" w:w="2000"/>
            <w:tcBorders>
              <w:top w:val="single" w:color="D0E4ED" w:sz="1"/>
              <w:left w:val="single" w:color="D0E4ED" w:sz="1"/>
              <w:bottom w:val="single" w:color="D0E4ED" w:sz="1"/>
              <w:right w:val="single" w:color="D0E4ED" w:sz="1"/>
            </w:tcBorders>
            <w:shd w:fill="F0F7FA" w:val="clear"/>
            <w:tcMar>
              <w:top w:type="dxa" w:w="100"/>
              <w:left w:type="dxa" w:w="160"/>
              <w:bottom w:type="dxa" w:w="100"/>
              <w:right w:type="dxa" w:w="120"/>
            </w:tcMar>
          </w:tcPr>
          <w:p>
            <w:r>
              <w:rPr>
                <w:rFonts w:ascii="Arial" w:cs="Arial" w:eastAsia="Arial" w:hAnsi="Arial"/>
                <w:b w:val="false"/>
                <w:bCs w:val="false"/>
                <w:color w:val="444444"/>
                <w:sz w:val="19"/>
                <w:szCs w:val="19"/>
              </w:rPr>
              <w:t xml:space="preserve">A few days</w:t>
            </w:r>
          </w:p>
        </w:tc>
      </w:tr>
      <w:tr>
        <w:tc>
          <w:tcPr>
            <w:tcW w:type="dxa" w:w="500"/>
            <w:tcBorders>
              <w:top w:val="single" w:color="D0E4ED" w:sz="1"/>
              <w:left w:val="single" w:color="D0E4ED" w:sz="1"/>
              <w:bottom w:val="single" w:color="D0E4ED" w:sz="1"/>
              <w:right w:val="single" w:color="D0E4ED" w:sz="1"/>
            </w:tcBorders>
            <w:shd w:fill="FFFFFF" w:val="clear"/>
            <w:tcMar>
              <w:top w:type="dxa" w:w="100"/>
              <w:left w:type="dxa" w:w="120"/>
              <w:bottom w:type="dxa" w:w="100"/>
              <w:right w:type="dxa" w:w="120"/>
            </w:tcMar>
          </w:tcPr>
          <w:p>
            <w:r>
              <w:rPr>
                <w:rFonts w:ascii="Arial" w:cs="Arial" w:eastAsia="Arial" w:hAnsi="Arial"/>
                <w:b/>
                <w:bCs/>
                <w:color w:val="00C2C7"/>
                <w:sz w:val="19"/>
                <w:szCs w:val="19"/>
              </w:rPr>
              <w:t xml:space="preserve">3</w:t>
            </w:r>
          </w:p>
        </w:tc>
        <w:tc>
          <w:tcPr>
            <w:tcW w:type="dxa" w:w="2200"/>
            <w:tcBorders>
              <w:top w:val="single" w:color="D0E4ED" w:sz="1"/>
              <w:left w:val="single" w:color="D0E4ED" w:sz="1"/>
              <w:bottom w:val="single" w:color="D0E4ED" w:sz="1"/>
              <w:right w:val="single" w:color="D0E4ED" w:sz="1"/>
            </w:tcBorders>
            <w:shd w:fill="FFFFFF" w:val="clear"/>
            <w:tcMar>
              <w:top w:type="dxa" w:w="100"/>
              <w:left w:type="dxa" w:w="160"/>
              <w:bottom w:type="dxa" w:w="100"/>
              <w:right w:type="dxa" w:w="120"/>
            </w:tcMar>
          </w:tcPr>
          <w:p>
            <w:r>
              <w:rPr>
                <w:rFonts w:ascii="Arial" w:cs="Arial" w:eastAsia="Arial" w:hAnsi="Arial"/>
                <w:b w:val="false"/>
                <w:bCs w:val="false"/>
                <w:color w:val="444444"/>
                <w:sz w:val="19"/>
                <w:szCs w:val="19"/>
              </w:rPr>
              <w:t xml:space="preserve">Native</w:t>
            </w:r>
          </w:p>
        </w:tc>
        <w:tc>
          <w:tcPr>
            <w:tcW w:type="dxa" w:w="4660"/>
            <w:tcBorders>
              <w:top w:val="single" w:color="D0E4ED" w:sz="1"/>
              <w:left w:val="single" w:color="D0E4ED" w:sz="1"/>
              <w:bottom w:val="single" w:color="D0E4ED" w:sz="1"/>
              <w:right w:val="single" w:color="D0E4ED" w:sz="1"/>
            </w:tcBorders>
            <w:shd w:fill="FFFFFF" w:val="clear"/>
            <w:tcMar>
              <w:top w:type="dxa" w:w="100"/>
              <w:left w:type="dxa" w:w="160"/>
              <w:bottom w:type="dxa" w:w="100"/>
              <w:right w:type="dxa" w:w="120"/>
            </w:tcMar>
          </w:tcPr>
          <w:p>
            <w:r>
              <w:rPr>
                <w:rFonts w:ascii="Arial" w:cs="Arial" w:eastAsia="Arial" w:hAnsi="Arial"/>
                <w:b w:val="false"/>
                <w:bCs w:val="false"/>
                <w:color w:val="444444"/>
                <w:sz w:val="19"/>
                <w:szCs w:val="19"/>
              </w:rPr>
              <w:t xml:space="preserve">Full integration of all 6 families as first-class fields</w:t>
            </w:r>
          </w:p>
        </w:tc>
        <w:tc>
          <w:tcPr>
            <w:tcW w:type="dxa" w:w="2000"/>
            <w:tcBorders>
              <w:top w:val="single" w:color="D0E4ED" w:sz="1"/>
              <w:left w:val="single" w:color="D0E4ED" w:sz="1"/>
              <w:bottom w:val="single" w:color="D0E4ED" w:sz="1"/>
              <w:right w:val="single" w:color="D0E4ED" w:sz="1"/>
            </w:tcBorders>
            <w:shd w:fill="FFFFFF" w:val="clear"/>
            <w:tcMar>
              <w:top w:type="dxa" w:w="100"/>
              <w:left w:type="dxa" w:w="160"/>
              <w:bottom w:type="dxa" w:w="100"/>
              <w:right w:type="dxa" w:w="120"/>
            </w:tcMar>
          </w:tcPr>
          <w:p>
            <w:r>
              <w:rPr>
                <w:rFonts w:ascii="Arial" w:cs="Arial" w:eastAsia="Arial" w:hAnsi="Arial"/>
                <w:b w:val="false"/>
                <w:bCs w:val="false"/>
                <w:color w:val="444444"/>
                <w:sz w:val="19"/>
                <w:szCs w:val="19"/>
              </w:rPr>
              <w:t xml:space="preserve">A few weeks</w:t>
            </w:r>
          </w:p>
        </w:tc>
      </w:tr>
    </w:tbl>
    <w:p>
      <w:pPr>
        <w:spacing w:after="0" w:before="80"/>
      </w:pPr>
      <w:r>
        <w:t xml:space="preserve"/>
      </w:r>
    </w:p>
    <w:p>
      <w:pPr>
        <w:spacing w:after="80" w:before="80"/>
      </w:pPr>
      <w:r>
        <w:rPr>
          <w:rFonts w:ascii="Arial" w:cs="Arial" w:eastAsia="Arial" w:hAnsi="Arial"/>
          <w:color w:val="333333"/>
          <w:sz w:val="21"/>
          <w:szCs w:val="21"/>
        </w:rPr>
        <w:t xml:space="preserve">Integration level chosen by the Partner Institution: </w:t>
      </w:r>
      <w:r>
        <w:rPr>
          <w:rFonts w:ascii="Arial" w:cs="Arial" w:eastAsia="Arial" w:hAnsi="Arial"/>
          <w:b/>
          <w:bCs/>
          <w:color w:val="003E6B"/>
          <w:sz w:val="21"/>
          <w:szCs w:val="21"/>
        </w:rPr>
        <w:t xml:space="preserve">  ☐ 1 — Basic     ☐ 2 — Structured     ☐ 3 — Native</w:t>
      </w:r>
    </w:p>
    <w:p>
      <w:pPr>
        <w:pBdr>
          <w:left w:val="single" w:color="00C2C7" w:sz="12" w:space="8"/>
        </w:pBdr>
        <w:spacing w:after="100" w:before="320"/>
        <w:ind w:left="160"/>
      </w:pPr>
      <w:r>
        <w:rPr>
          <w:rFonts w:ascii="Arial" w:cs="Arial" w:eastAsia="Arial" w:hAnsi="Arial"/>
          <w:b/>
          <w:bCs/>
          <w:color w:val="00C2C7"/>
          <w:sz w:val="22"/>
          <w:szCs w:val="22"/>
        </w:rPr>
        <w:t xml:space="preserve">Article 6 — </w:t>
      </w:r>
      <w:r>
        <w:rPr>
          <w:rFonts w:ascii="Arial" w:cs="Arial" w:eastAsia="Arial" w:hAnsi="Arial"/>
          <w:b/>
          <w:bCs/>
          <w:color w:val="003E6B"/>
          <w:sz w:val="22"/>
          <w:szCs w:val="22"/>
        </w:rPr>
        <w:t xml:space="preserve">Intellectual Property and Licence</w:t>
      </w:r>
    </w:p>
    <w:p>
      <w:pPr>
        <w:spacing w:after="60" w:before="60"/>
        <w:jc w:val="both"/>
      </w:pPr>
      <w:r>
        <w:rPr>
          <w:rFonts w:ascii="Arial" w:cs="Arial" w:eastAsia="Arial" w:hAnsi="Arial"/>
          <w:b w:val="false"/>
          <w:bCs w:val="false"/>
          <w:i w:val="false"/>
          <w:iCs w:val="false"/>
          <w:color w:val="333333"/>
          <w:sz w:val="21"/>
          <w:szCs w:val="21"/>
        </w:rPr>
        <w:t xml:space="preserve">The Caribbean Metadata Standard is published under the Creative Commons CC-BY 4.0 licence. The Partner Institution is free to use, adapt and redistribute it with attribution. No property rights over the standard are transferred by this agreement. The Partner Institution retains full rights over its own content, catalogues and data.</w:t>
      </w:r>
    </w:p>
    <w:p>
      <w:pPr>
        <w:pBdr>
          <w:left w:val="single" w:color="00C2C7" w:sz="12" w:space="8"/>
        </w:pBdr>
        <w:spacing w:after="100" w:before="320"/>
        <w:ind w:left="160"/>
      </w:pPr>
      <w:r>
        <w:rPr>
          <w:rFonts w:ascii="Arial" w:cs="Arial" w:eastAsia="Arial" w:hAnsi="Arial"/>
          <w:b/>
          <w:bCs/>
          <w:color w:val="00C2C7"/>
          <w:sz w:val="22"/>
          <w:szCs w:val="22"/>
        </w:rPr>
        <w:t xml:space="preserve">Article 7 — </w:t>
      </w:r>
      <w:r>
        <w:rPr>
          <w:rFonts w:ascii="Arial" w:cs="Arial" w:eastAsia="Arial" w:hAnsi="Arial"/>
          <w:b/>
          <w:bCs/>
          <w:color w:val="003E6B"/>
          <w:sz w:val="22"/>
          <w:szCs w:val="22"/>
        </w:rPr>
        <w:t xml:space="preserve">Confidentiality</w:t>
      </w:r>
    </w:p>
    <w:p>
      <w:pPr>
        <w:spacing w:after="60" w:before="60"/>
        <w:jc w:val="both"/>
      </w:pPr>
      <w:r>
        <w:rPr>
          <w:rFonts w:ascii="Arial" w:cs="Arial" w:eastAsia="Arial" w:hAnsi="Arial"/>
          <w:b w:val="false"/>
          <w:bCs w:val="false"/>
          <w:i w:val="false"/>
          <w:iCs w:val="false"/>
          <w:color w:val="333333"/>
          <w:sz w:val="21"/>
          <w:szCs w:val="21"/>
        </w:rPr>
        <w:t xml:space="preserve">This agreement is a public document. The Partner Institution accepts that its name and adoption level may be mentioned on caribbeanmetadata.org and in official CMS communications. Any information exchanged in the context of technical collaboration remains confidential unless otherwise agreed in writing.</w:t>
      </w:r>
    </w:p>
    <w:p>
      <w:pPr>
        <w:pBdr>
          <w:left w:val="single" w:color="00C2C7" w:sz="12" w:space="8"/>
        </w:pBdr>
        <w:spacing w:after="100" w:before="320"/>
        <w:ind w:left="160"/>
      </w:pPr>
      <w:r>
        <w:rPr>
          <w:rFonts w:ascii="Arial" w:cs="Arial" w:eastAsia="Arial" w:hAnsi="Arial"/>
          <w:b/>
          <w:bCs/>
          <w:color w:val="00C2C7"/>
          <w:sz w:val="22"/>
          <w:szCs w:val="22"/>
        </w:rPr>
        <w:t xml:space="preserve">Article 8 — </w:t>
      </w:r>
      <w:r>
        <w:rPr>
          <w:rFonts w:ascii="Arial" w:cs="Arial" w:eastAsia="Arial" w:hAnsi="Arial"/>
          <w:b/>
          <w:bCs/>
          <w:color w:val="003E6B"/>
          <w:sz w:val="22"/>
          <w:szCs w:val="22"/>
        </w:rPr>
        <w:t xml:space="preserve">Term and Termination</w:t>
      </w:r>
    </w:p>
    <w:p>
      <w:pPr>
        <w:spacing w:after="60" w:before="60"/>
        <w:jc w:val="both"/>
      </w:pPr>
      <w:r>
        <w:rPr>
          <w:rFonts w:ascii="Arial" w:cs="Arial" w:eastAsia="Arial" w:hAnsi="Arial"/>
          <w:b w:val="false"/>
          <w:bCs w:val="false"/>
          <w:i w:val="false"/>
          <w:iCs w:val="false"/>
          <w:color w:val="333333"/>
          <w:sz w:val="21"/>
          <w:szCs w:val="21"/>
        </w:rPr>
        <w:t xml:space="preserve">This agreement is concluded for an indefinite period, taking effect on the date of signature. Either party may terminate it at any time by written notice with 30 days' prior notice, without penalty or requirement to provide reasons.</w:t>
      </w:r>
    </w:p>
    <w:p>
      <w:pPr>
        <w:pBdr>
          <w:left w:val="single" w:color="00C2C7" w:sz="12" w:space="8"/>
        </w:pBdr>
        <w:spacing w:after="100" w:before="320"/>
        <w:ind w:left="160"/>
      </w:pPr>
      <w:r>
        <w:rPr>
          <w:rFonts w:ascii="Arial" w:cs="Arial" w:eastAsia="Arial" w:hAnsi="Arial"/>
          <w:b/>
          <w:bCs/>
          <w:color w:val="00C2C7"/>
          <w:sz w:val="22"/>
          <w:szCs w:val="22"/>
        </w:rPr>
        <w:t xml:space="preserve">Article 9 — </w:t>
      </w:r>
      <w:r>
        <w:rPr>
          <w:rFonts w:ascii="Arial" w:cs="Arial" w:eastAsia="Arial" w:hAnsi="Arial"/>
          <w:b/>
          <w:bCs/>
          <w:color w:val="003E6B"/>
          <w:sz w:val="22"/>
          <w:szCs w:val="22"/>
        </w:rPr>
        <w:t xml:space="preserve">Governance and Standard Evolution</w:t>
      </w:r>
    </w:p>
    <w:p>
      <w:pPr>
        <w:spacing w:after="60" w:before="60"/>
        <w:jc w:val="both"/>
      </w:pPr>
      <w:r>
        <w:rPr>
          <w:rFonts w:ascii="Arial" w:cs="Arial" w:eastAsia="Arial" w:hAnsi="Arial"/>
          <w:b w:val="false"/>
          <w:bCs w:val="false"/>
          <w:i w:val="false"/>
          <w:iCs w:val="false"/>
          <w:color w:val="333333"/>
          <w:sz w:val="21"/>
          <w:szCs w:val="21"/>
        </w:rPr>
        <w:t xml:space="preserve">The Caribwood Language Lab undertakes to transfer CMS governance to an independent Caribbean Technical Committee once 5 institutions have officially adopted the standard. The Partner Institution, as an official adopter, shall have consultation rights and one vote in the Technical Committee upon this transfer.</w:t>
      </w:r>
    </w:p>
    <w:p>
      <w:pPr>
        <w:pBdr>
          <w:left w:val="single" w:color="00C2C7" w:sz="12" w:space="8"/>
        </w:pBdr>
        <w:spacing w:after="100" w:before="320"/>
        <w:ind w:left="160"/>
      </w:pPr>
      <w:r>
        <w:rPr>
          <w:rFonts w:ascii="Arial" w:cs="Arial" w:eastAsia="Arial" w:hAnsi="Arial"/>
          <w:b/>
          <w:bCs/>
          <w:color w:val="00C2C7"/>
          <w:sz w:val="22"/>
          <w:szCs w:val="22"/>
        </w:rPr>
        <w:t xml:space="preserve">Article 10 — </w:t>
      </w:r>
      <w:r>
        <w:rPr>
          <w:rFonts w:ascii="Arial" w:cs="Arial" w:eastAsia="Arial" w:hAnsi="Arial"/>
          <w:b/>
          <w:bCs/>
          <w:color w:val="003E6B"/>
          <w:sz w:val="22"/>
          <w:szCs w:val="22"/>
        </w:rPr>
        <w:t xml:space="preserve">Applicable Law</w:t>
      </w:r>
    </w:p>
    <w:p>
      <w:pPr>
        <w:spacing w:after="60" w:before="60"/>
        <w:jc w:val="both"/>
      </w:pPr>
      <w:r>
        <w:rPr>
          <w:rFonts w:ascii="Arial" w:cs="Arial" w:eastAsia="Arial" w:hAnsi="Arial"/>
          <w:b w:val="false"/>
          <w:bCs w:val="false"/>
          <w:i w:val="false"/>
          <w:iCs w:val="false"/>
          <w:color w:val="333333"/>
          <w:sz w:val="21"/>
          <w:szCs w:val="21"/>
        </w:rPr>
        <w:t xml:space="preserve">This agreement is governed by the general principles of contract law and the practices of international standardisation organisations. In the event of a dispute, the parties undertake to seek an amicable resolution before any legal proceedings.</w:t>
      </w:r>
    </w:p>
    <w:p>
      <w:pPr>
        <w:spacing w:after="0" w:before="160"/>
      </w:pPr>
      <w:r>
        <w:t xml:space="preserve"/>
      </w:r>
    </w:p>
    <w:p>
      <w:pPr>
        <w:pBdr>
          <w:bottom w:val="single" w:color="00C2C7" w:sz="4" w:space="1"/>
        </w:pBdr>
        <w:spacing w:after="160" w:before="0"/>
      </w:pPr>
      <w:r>
        <w:t xml:space="preserve"/>
      </w:r>
    </w:p>
    <w:p>
      <w:pPr>
        <w:spacing w:after="0" w:before="80"/>
      </w:pPr>
      <w:r>
        <w:t xml:space="preserve"/>
      </w:r>
    </w:p>
    <w:p>
      <w:pPr>
        <w:spacing w:after="160" w:before="0"/>
      </w:pPr>
      <w:r>
        <w:rPr>
          <w:rFonts w:ascii="Arial" w:cs="Arial" w:eastAsia="Arial" w:hAnsi="Arial"/>
          <w:b/>
          <w:bCs/>
          <w:color w:val="00C2C7"/>
          <w:spacing w:val="80"/>
          <w:sz w:val="18"/>
          <w:szCs w:val="18"/>
        </w:rPr>
        <w:t xml:space="preserve">SIGNATURES</w:t>
      </w:r>
    </w:p>
    <w:p>
      <w:pPr>
        <w:spacing w:after="200" w:before="0"/>
      </w:pPr>
      <w:r>
        <w:rPr>
          <w:rFonts w:ascii="Arial" w:cs="Arial" w:eastAsia="Arial" w:hAnsi="Arial"/>
          <w:color w:val="333333"/>
          <w:sz w:val="21"/>
          <w:szCs w:val="21"/>
        </w:rPr>
        <w:t xml:space="preserve">Done in two original copies, at _________________________, on 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80" w:before="0"/>
            </w:pPr>
            <w:r>
              <w:rPr>
                <w:rFonts w:ascii="Arial" w:cs="Arial" w:eastAsia="Arial" w:hAnsi="Arial"/>
                <w:b/>
                <w:bCs/>
                <w:color w:val="003E6B"/>
                <w:sz w:val="19"/>
                <w:szCs w:val="19"/>
              </w:rPr>
              <w:t xml:space="preserve">For the Caribwood Language Lab</w:t>
            </w:r>
          </w:p>
          <w:p>
            <w:pPr>
              <w:pBdr>
                <w:bottom w:val="single" w:color="AAAAAA" w:sz="4" w:space="1"/>
              </w:pBdr>
              <w:spacing w:after="80" w:before="400"/>
            </w:pPr>
            <w:r>
              <w:rPr>
                <w:rFonts w:ascii="Arial" w:cs="Arial" w:eastAsia="Arial" w:hAnsi="Arial"/>
                <w:sz w:val="19"/>
                <w:szCs w:val="19"/>
              </w:rPr>
              <w:t xml:space="preserve"/>
            </w:r>
          </w:p>
          <w:p>
            <w:pPr>
              <w:spacing w:after="0" w:before="60"/>
            </w:pPr>
            <w:r>
              <w:rPr>
                <w:rFonts w:ascii="Arial" w:cs="Arial" w:eastAsia="Arial" w:hAnsi="Arial"/>
                <w:color w:val="666666"/>
                <w:sz w:val="18"/>
                <w:szCs w:val="18"/>
              </w:rPr>
              <w:t xml:space="preserve">Nom &amp; Titre :</w:t>
            </w:r>
          </w:p>
          <w:p>
            <w:pPr>
              <w:pBdr>
                <w:bottom w:val="single" w:color="CCCCCC" w:sz="2" w:space="1"/>
              </w:pBdr>
              <w:spacing w:after="80" w:before="240"/>
            </w:pPr>
            <w:r>
              <w:rPr>
                <w:rFonts w:ascii="Arial" w:cs="Arial" w:eastAsia="Arial" w:hAnsi="Arial"/>
                <w:sz w:val="18"/>
                <w:szCs w:val="18"/>
              </w:rPr>
              <w:t xml:space="preserve"/>
            </w:r>
          </w:p>
          <w:p>
            <w:pPr>
              <w:spacing w:after="0" w:before="60"/>
            </w:pPr>
            <w:r>
              <w:rPr>
                <w:rFonts w:ascii="Arial" w:cs="Arial" w:eastAsia="Arial" w:hAnsi="Arial"/>
                <w:color w:val="666666"/>
                <w:sz w:val="18"/>
                <w:szCs w:val="18"/>
              </w:rPr>
              <w:t xml:space="preserve">Date :</w:t>
            </w:r>
          </w:p>
          <w:p>
            <w:pPr>
              <w:pBdr>
                <w:bottom w:val="single" w:color="CCCCCC" w:sz="2" w:space="1"/>
              </w:pBdr>
              <w:spacing w:after="0" w:before="200"/>
            </w:pPr>
            <w:r>
              <w:rPr>
                <w:rFonts w:ascii="Arial" w:cs="Arial" w:eastAsia="Arial" w:hAnsi="Arial"/>
                <w:sz w:val="18"/>
                <w:szCs w:val="18"/>
              </w:rPr>
              <w:t xml:space="preserve"/>
            </w:r>
          </w:p>
        </w:tc>
        <w:tc>
          <w:tcPr>
            <w:tcW w:type="dxa" w:w="400"/>
            <w:tcBorders>
              <w:top w:val="none" w:color="FFFFFF" w:sz="0"/>
              <w:left w:val="none" w:color="FFFFFF" w:sz="0"/>
              <w:bottom w:val="none" w:color="FFFFFF" w:sz="0"/>
              <w:right w:val="none" w:color="FFFFFF" w:sz="0"/>
            </w:tcBorders>
          </w:tcPr>
          <w:p>
            <w:r>
              <w:t xml:space="preserve"/>
            </w:r>
          </w:p>
        </w:tc>
        <w:tc>
          <w:tcPr>
            <w:tcW w:type="dxa" w:w="4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80" w:before="0"/>
            </w:pPr>
            <w:r>
              <w:rPr>
                <w:rFonts w:ascii="Arial" w:cs="Arial" w:eastAsia="Arial" w:hAnsi="Arial"/>
                <w:b/>
                <w:bCs/>
                <w:color w:val="003E6B"/>
                <w:sz w:val="19"/>
                <w:szCs w:val="19"/>
              </w:rPr>
              <w:t xml:space="preserve">For the Partner Institution</w:t>
            </w:r>
          </w:p>
          <w:p>
            <w:pPr>
              <w:pBdr>
                <w:bottom w:val="single" w:color="AAAAAA" w:sz="4" w:space="1"/>
              </w:pBdr>
              <w:spacing w:after="80" w:before="400"/>
            </w:pPr>
            <w:r>
              <w:rPr>
                <w:rFonts w:ascii="Arial" w:cs="Arial" w:eastAsia="Arial" w:hAnsi="Arial"/>
                <w:sz w:val="19"/>
                <w:szCs w:val="19"/>
              </w:rPr>
              <w:t xml:space="preserve"/>
            </w:r>
          </w:p>
          <w:p>
            <w:pPr>
              <w:spacing w:after="0" w:before="60"/>
            </w:pPr>
            <w:r>
              <w:rPr>
                <w:rFonts w:ascii="Arial" w:cs="Arial" w:eastAsia="Arial" w:hAnsi="Arial"/>
                <w:color w:val="666666"/>
                <w:sz w:val="18"/>
                <w:szCs w:val="18"/>
              </w:rPr>
              <w:t xml:space="preserve">Nom &amp; Titre :</w:t>
            </w:r>
          </w:p>
          <w:p>
            <w:pPr>
              <w:pBdr>
                <w:bottom w:val="single" w:color="CCCCCC" w:sz="2" w:space="1"/>
              </w:pBdr>
              <w:spacing w:after="80" w:before="240"/>
            </w:pPr>
            <w:r>
              <w:rPr>
                <w:rFonts w:ascii="Arial" w:cs="Arial" w:eastAsia="Arial" w:hAnsi="Arial"/>
                <w:sz w:val="18"/>
                <w:szCs w:val="18"/>
              </w:rPr>
              <w:t xml:space="preserve"/>
            </w:r>
          </w:p>
          <w:p>
            <w:pPr>
              <w:spacing w:after="0" w:before="60"/>
            </w:pPr>
            <w:r>
              <w:rPr>
                <w:rFonts w:ascii="Arial" w:cs="Arial" w:eastAsia="Arial" w:hAnsi="Arial"/>
                <w:color w:val="666666"/>
                <w:sz w:val="18"/>
                <w:szCs w:val="18"/>
              </w:rPr>
              <w:t xml:space="preserve">Date :</w:t>
            </w:r>
          </w:p>
          <w:p>
            <w:pPr>
              <w:pBdr>
                <w:bottom w:val="single" w:color="CCCCCC" w:sz="2" w:space="1"/>
              </w:pBdr>
              <w:spacing w:after="0" w:before="200"/>
            </w:pPr>
            <w:r>
              <w:rPr>
                <w:rFonts w:ascii="Arial" w:cs="Arial" w:eastAsia="Arial" w:hAnsi="Arial"/>
                <w:sz w:val="18"/>
                <w:szCs w:val="18"/>
              </w:rPr>
              <w:t xml:space="preserve"/>
            </w:r>
          </w:p>
        </w:tc>
      </w:tr>
    </w:tbl>
    <w:p>
      <w:pPr>
        <w:spacing w:after="0" w:before="200"/>
      </w:pPr>
      <w:r>
        <w:t xml:space="preserve"/>
      </w:r>
    </w:p>
    <w:p>
      <w:pPr>
        <w:jc w:val="center"/>
      </w:pPr>
      <w:r>
        <w:rPr>
          <w:rFonts w:ascii="Arial" w:cs="Arial" w:eastAsia="Arial" w:hAnsi="Arial"/>
          <w:i/>
          <w:iCs/>
          <w:color w:val="666666"/>
          <w:sz w:val="16"/>
          <w:szCs w:val="16"/>
        </w:rPr>
        <w:t xml:space="preserve">Caribbean Metadata Standard · caribbeanmetadata.org · CC-BY 4.0 · Caribwood Language Lab, Guadeloupe</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2026-06-06T21:18:48.578Z</dcterms:created>
  <dcterms:modified xsi:type="dcterms:W3CDTF">2026-06-06T21:18:48.578Z</dcterms:modified>
</cp:coreProperties>
</file>

<file path=docProps/custom.xml><?xml version="1.0" encoding="utf-8"?>
<Properties xmlns="http://schemas.openxmlformats.org/officeDocument/2006/custom-properties" xmlns:vt="http://schemas.openxmlformats.org/officeDocument/2006/docPropsVTypes"/>
</file>