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Resumen_10032022.git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Hess</w:t>
      </w:r>
    </w:p>
    <w:p>
      <w:pPr>
        <w:pStyle w:val="Date"/>
      </w:pPr>
      <w:r>
        <w:t xml:space="preserve">2022-10-04</w:t>
      </w:r>
    </w:p>
    <w:p>
      <w:pPr>
        <w:pStyle w:val="FirstParagraph"/>
      </w:pPr>
      <w:r>
        <w:t xml:space="preserve">“</w:t>
      </w:r>
      <w:r>
        <w:t xml:space="preserve">Las entidades […]</w:t>
      </w:r>
      <w:r>
        <w:t xml:space="preserve"> </w:t>
      </w:r>
      <w:r>
        <w:rPr>
          <w:rStyle w:val="VerbatimChar"/>
        </w:rPr>
        <w:t xml:space="preserve">aseguradoras</w:t>
      </w:r>
      <w:r>
        <w:t xml:space="preserve"> </w:t>
      </w:r>
      <w:r>
        <w:t xml:space="preserve">deberán contar con un departamento o servicio de atención al cliente. Además podrán designar un defensor del cliente, a quien corresponderá atender y resolver los tipos de reclamaciones que determine en cada caso su reglamento de funcionamiento, y que habrá de ser una entidad o experto independiente.</w:t>
      </w:r>
      <w:r>
        <w:t xml:space="preserve">”</w:t>
      </w:r>
    </w:p>
    <w:bookmarkStart w:id="20" w:name="X6a6eb1826b49a817eec7f40883db3bc0da8ed5c"/>
    <w:p>
      <w:pPr>
        <w:pStyle w:val="Heading1"/>
      </w:pPr>
      <w:r>
        <w:t xml:space="preserve">1. Obligaciones de las entidades aseguradoras (</w:t>
      </w:r>
      <w:r>
        <w:rPr>
          <w:iCs/>
          <w:i/>
        </w:rPr>
        <w:t xml:space="preserve">Resumen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Atender y resolver las quejas y reclamaciones de sus clientes (</w:t>
      </w:r>
      <w:r>
        <w:rPr>
          <w:bCs/>
          <w:b/>
        </w:rPr>
        <w:t xml:space="preserve">Artículo 3</w:t>
      </w:r>
      <w:r>
        <w:t xml:space="preserve">) en un plazo de 2 meses desde la presentación de la queja (</w:t>
      </w:r>
      <w:r>
        <w:rPr>
          <w:bCs/>
          <w:b/>
        </w:rPr>
        <w:t xml:space="preserve">Artículo 10.3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Disponer de un</w:t>
      </w:r>
      <w:r>
        <w:t xml:space="preserve"> </w:t>
      </w:r>
      <w:r>
        <w:rPr>
          <w:rStyle w:val="VerbatimChar"/>
        </w:rPr>
        <w:t xml:space="preserve">departamento o servicio específicamente para atención al cliente</w:t>
      </w:r>
      <w:r>
        <w:t xml:space="preserve"> </w:t>
      </w:r>
      <w:r>
        <w:t xml:space="preserve">(</w:t>
      </w:r>
      <w:r>
        <w:rPr>
          <w:iCs/>
          <w:i/>
        </w:rPr>
        <w:t xml:space="preserve">“</w:t>
      </w:r>
      <w:r>
        <w:rPr>
          <w:iCs/>
          <w:i/>
        </w:rPr>
        <w:t xml:space="preserve">Departamento</w:t>
      </w:r>
      <w:r>
        <w:rPr>
          <w:iCs/>
          <w:i/>
        </w:rPr>
        <w:t xml:space="preserve">”</w:t>
      </w:r>
      <w:r>
        <w:t xml:space="preserve">) (</w:t>
      </w:r>
      <w:r>
        <w:rPr>
          <w:bCs/>
          <w:b/>
        </w:rPr>
        <w:t xml:space="preserve">Artículo 4</w:t>
      </w:r>
      <w:r>
        <w:t xml:space="preserve">).</w:t>
      </w:r>
    </w:p>
    <w:p>
      <w:pPr>
        <w:numPr>
          <w:ilvl w:val="1"/>
          <w:numId w:val="1002"/>
        </w:numPr>
        <w:pStyle w:val="Compact"/>
      </w:pPr>
      <w:r>
        <w:t xml:space="preserve">No es obligación, pero sí un derecho disponer de un</w:t>
      </w:r>
      <w:r>
        <w:t xml:space="preserve"> </w:t>
      </w:r>
      <w:r>
        <w:rPr>
          <w:rStyle w:val="VerbatimChar"/>
        </w:rPr>
        <w:t xml:space="preserve">defensor del cliente</w:t>
      </w:r>
      <w:r>
        <w:t xml:space="preserve"> </w:t>
      </w:r>
      <w:r>
        <w:t xml:space="preserve">(</w:t>
      </w:r>
      <w:r>
        <w:rPr>
          <w:iCs/>
          <w:i/>
        </w:rPr>
        <w:t xml:space="preserve">“</w:t>
      </w:r>
      <w:r>
        <w:rPr>
          <w:iCs/>
          <w:i/>
        </w:rPr>
        <w:t xml:space="preserve">Defensor</w:t>
      </w:r>
      <w:r>
        <w:rPr>
          <w:iCs/>
          <w:i/>
        </w:rPr>
        <w:t xml:space="preserve">”</w:t>
      </w:r>
      <w:r>
        <w:t xml:space="preserve">) (</w:t>
      </w:r>
      <w:r>
        <w:rPr>
          <w:bCs/>
          <w:b/>
        </w:rPr>
        <w:t xml:space="preserve">Artículo 4.2</w:t>
      </w:r>
      <w:r>
        <w:t xml:space="preserve">), al que se le aplicarán los mismos deberes que a los departamentos.</w:t>
      </w:r>
    </w:p>
    <w:p>
      <w:pPr>
        <w:numPr>
          <w:ilvl w:val="0"/>
          <w:numId w:val="1001"/>
        </w:numPr>
        <w:pStyle w:val="Compact"/>
      </w:pPr>
      <w:r>
        <w:t xml:space="preserve">Tener titulares del</w:t>
      </w:r>
      <w:r>
        <w:t xml:space="preserve"> </w:t>
      </w:r>
      <w:r>
        <w:rPr>
          <w:rStyle w:val="VerbatimChar"/>
        </w:rPr>
        <w:t xml:space="preserve">Departamento</w:t>
      </w:r>
      <w:r>
        <w:t xml:space="preserve"> </w:t>
      </w:r>
      <w:r>
        <w:t xml:space="preserve">(</w:t>
      </w:r>
      <w:r>
        <w:rPr>
          <w:iCs/>
          <w:i/>
        </w:rPr>
        <w:t xml:space="preserve">“</w:t>
      </w:r>
      <w:r>
        <w:rPr>
          <w:iCs/>
          <w:i/>
        </w:rPr>
        <w:t xml:space="preserve">Titulares</w:t>
      </w:r>
      <w:r>
        <w:rPr>
          <w:iCs/>
          <w:i/>
        </w:rPr>
        <w:t xml:space="preserve">”</w:t>
      </w:r>
      <w:r>
        <w:t xml:space="preserve">) que cumpla con los requisitos personales (</w:t>
      </w:r>
      <w:r>
        <w:rPr>
          <w:bCs/>
          <w:b/>
        </w:rPr>
        <w:t xml:space="preserve">Artículo 5</w:t>
      </w:r>
      <w:r>
        <w:t xml:space="preserve">).</w:t>
      </w:r>
    </w:p>
    <w:p>
      <w:pPr>
        <w:numPr>
          <w:ilvl w:val="1"/>
          <w:numId w:val="1003"/>
        </w:numPr>
        <w:pStyle w:val="Compact"/>
      </w:pPr>
      <w:r>
        <w:t xml:space="preserve">Que el consejo de administración o equivalente de la entidad aseguradora designe a los</w:t>
      </w:r>
      <w:r>
        <w:t xml:space="preserve"> </w:t>
      </w:r>
      <w:r>
        <w:rPr>
          <w:rStyle w:val="VerbatimChar"/>
        </w:rPr>
        <w:t xml:space="preserve">Titulares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Que la designación se comunique al</w:t>
      </w:r>
      <w:r>
        <w:t xml:space="preserve"> </w:t>
      </w:r>
      <w:r>
        <w:rPr>
          <w:rStyle w:val="VerbatimChar"/>
        </w:rPr>
        <w:t xml:space="preserve">Comisionado para la Defensa del Cliente de Servicios Financieros</w:t>
      </w:r>
      <w:r>
        <w:t xml:space="preserve"> </w:t>
      </w:r>
      <w:r>
        <w:t xml:space="preserve">(</w:t>
      </w:r>
      <w:r>
        <w:rPr>
          <w:iCs/>
          <w:i/>
        </w:rPr>
        <w:t xml:space="preserve">“</w:t>
      </w:r>
      <w:r>
        <w:rPr>
          <w:iCs/>
          <w:i/>
        </w:rPr>
        <w:t xml:space="preserve">Comisionado</w:t>
      </w:r>
      <w:r>
        <w:rPr>
          <w:iCs/>
          <w:i/>
        </w:rPr>
        <w:t xml:space="preserve">”</w:t>
      </w:r>
      <w:r>
        <w:t xml:space="preserve">) y autoridades supervisoras.</w:t>
      </w:r>
    </w:p>
    <w:p>
      <w:pPr>
        <w:numPr>
          <w:ilvl w:val="0"/>
          <w:numId w:val="1001"/>
        </w:numPr>
        <w:pStyle w:val="Compact"/>
      </w:pPr>
      <w:r>
        <w:t xml:space="preserve">Implementar las medidas oportunas para separar el</w:t>
      </w:r>
      <w:r>
        <w:t xml:space="preserve"> </w:t>
      </w:r>
      <w:r>
        <w:rPr>
          <w:rStyle w:val="VerbatimChar"/>
        </w:rPr>
        <w:t xml:space="preserve">Departamento</w:t>
      </w:r>
      <w:r>
        <w:t xml:space="preserve"> </w:t>
      </w:r>
      <w:r>
        <w:t xml:space="preserve">de los demás servicios comerciales (</w:t>
      </w:r>
      <w:r>
        <w:rPr>
          <w:bCs/>
          <w:b/>
        </w:rPr>
        <w:t xml:space="preserve">Artículo 6</w:t>
      </w:r>
      <w:r>
        <w:t xml:space="preserve">).</w:t>
      </w:r>
    </w:p>
    <w:p>
      <w:pPr>
        <w:numPr>
          <w:ilvl w:val="1"/>
          <w:numId w:val="1004"/>
        </w:numPr>
        <w:pStyle w:val="Compact"/>
      </w:pPr>
      <w:r>
        <w:t xml:space="preserve">Que las medidas respeten los principios de rapidez, seguridad, eficacia y coordinación.</w:t>
      </w:r>
    </w:p>
    <w:p>
      <w:pPr>
        <w:numPr>
          <w:ilvl w:val="0"/>
          <w:numId w:val="1001"/>
        </w:numPr>
        <w:pStyle w:val="Compact"/>
      </w:pPr>
      <w:r>
        <w:t xml:space="preserve">Aprobar un Reglamento para la Defensa del Cliente, con su contenido oportuno (</w:t>
      </w:r>
      <w:r>
        <w:rPr>
          <w:bCs/>
          <w:b/>
        </w:rPr>
        <w:t xml:space="preserve">Artículo 8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Poner a disposición del cliente toda información que se establece en la Orden (</w:t>
      </w:r>
      <w:r>
        <w:rPr>
          <w:bCs/>
          <w:b/>
        </w:rPr>
        <w:t xml:space="preserve">Artículo 9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En el caso de queja (</w:t>
      </w:r>
      <w:r>
        <w:rPr>
          <w:bCs/>
          <w:b/>
        </w:rPr>
        <w:t xml:space="preserve">Artículo 12</w:t>
      </w:r>
      <w:r>
        <w:t xml:space="preserve">):</w:t>
      </w:r>
    </w:p>
    <w:p>
      <w:pPr>
        <w:numPr>
          <w:ilvl w:val="1"/>
          <w:numId w:val="1005"/>
        </w:numPr>
        <w:pStyle w:val="Compact"/>
      </w:pPr>
      <w:r>
        <w:t xml:space="preserve">Se deberá informar al reclamante sobre la instancia competente para conocer su queja.</w:t>
      </w:r>
    </w:p>
    <w:p>
      <w:pPr>
        <w:numPr>
          <w:ilvl w:val="1"/>
          <w:numId w:val="1005"/>
        </w:numPr>
        <w:pStyle w:val="Compact"/>
      </w:pPr>
      <w:r>
        <w:t xml:space="preserve">Se requerirá completar la documentación en el plazo de 10 días cuando haya un error en la queja.</w:t>
      </w:r>
    </w:p>
    <w:p>
      <w:pPr>
        <w:numPr>
          <w:ilvl w:val="1"/>
          <w:numId w:val="1005"/>
        </w:numPr>
        <w:pStyle w:val="Compact"/>
      </w:pPr>
      <w:r>
        <w:t xml:space="preserve">Finalizar el expediente, motivado, en el plazo de 2 meses desde que se presentase la queja (</w:t>
      </w:r>
      <w:r>
        <w:rPr>
          <w:bCs/>
          <w:b/>
        </w:rPr>
        <w:t xml:space="preserve">Artículo 15</w:t>
      </w:r>
      <w:r>
        <w:t xml:space="preserve">).</w:t>
      </w:r>
    </w:p>
    <w:p>
      <w:pPr>
        <w:numPr>
          <w:ilvl w:val="1"/>
          <w:numId w:val="1005"/>
        </w:numPr>
        <w:pStyle w:val="Compact"/>
      </w:pPr>
      <w:r>
        <w:t xml:space="preserve">Notificar la decisión en un plazo de 10 días naturales desde la fecha de la decisión.</w:t>
      </w:r>
    </w:p>
    <w:p>
      <w:pPr>
        <w:numPr>
          <w:ilvl w:val="0"/>
          <w:numId w:val="1001"/>
        </w:numPr>
        <w:pStyle w:val="Compact"/>
      </w:pPr>
      <w:r>
        <w:t xml:space="preserve">Atender a los requerimientos que efectúen los</w:t>
      </w:r>
      <w:r>
        <w:t xml:space="preserve"> </w:t>
      </w:r>
      <w:r>
        <w:rPr>
          <w:rStyle w:val="VerbatimChar"/>
        </w:rPr>
        <w:t xml:space="preserve">Comisionados</w:t>
      </w:r>
      <w:r>
        <w:t xml:space="preserve"> </w:t>
      </w:r>
      <w:r>
        <w:t xml:space="preserve">(</w:t>
      </w:r>
      <w:r>
        <w:rPr>
          <w:bCs/>
          <w:b/>
        </w:rPr>
        <w:t xml:space="preserve">Artículo 16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Establecer acuerdos con los</w:t>
      </w:r>
      <w:r>
        <w:t xml:space="preserve"> </w:t>
      </w:r>
      <w:r>
        <w:rPr>
          <w:rStyle w:val="VerbatimChar"/>
        </w:rPr>
        <w:t xml:space="preserve">Comisionados</w:t>
      </w:r>
      <w:r>
        <w:t xml:space="preserve"> </w:t>
      </w:r>
      <w:r>
        <w:t xml:space="preserve">para facilitar la transmisión de datos y documentos.</w:t>
      </w:r>
    </w:p>
    <w:p>
      <w:pPr>
        <w:numPr>
          <w:ilvl w:val="0"/>
          <w:numId w:val="1001"/>
        </w:numPr>
        <w:pStyle w:val="Compact"/>
      </w:pPr>
      <w:r>
        <w:t xml:space="preserve">Los</w:t>
      </w:r>
      <w:r>
        <w:t xml:space="preserve"> </w:t>
      </w:r>
      <w:r>
        <w:rPr>
          <w:rStyle w:val="VerbatimChar"/>
        </w:rPr>
        <w:t xml:space="preserve">Departamentos</w:t>
      </w:r>
      <w:r>
        <w:t xml:space="preserve"> </w:t>
      </w:r>
      <w:r>
        <w:t xml:space="preserve">deberán redactar un informe anual en el primer trimestre de cada año explicando el desarrollo de su función, cumpliendo con los requisitos de contenido mínimo (</w:t>
      </w:r>
      <w:r>
        <w:rPr>
          <w:bCs/>
          <w:b/>
        </w:rPr>
        <w:t xml:space="preserve">Artículo 17</w:t>
      </w:r>
      <w:r>
        <w:t xml:space="preserve">).</w:t>
      </w:r>
    </w:p>
    <w:bookmarkEnd w:id="20"/>
    <w:bookmarkStart w:id="31" w:name="requisitos-y-deberes-capítulo-ii"/>
    <w:p>
      <w:pPr>
        <w:pStyle w:val="Heading1"/>
      </w:pPr>
      <w:r>
        <w:t xml:space="preserve">2. Requisitos y deberes (</w:t>
      </w:r>
      <w:r>
        <w:rPr>
          <w:iCs/>
          <w:i/>
        </w:rPr>
        <w:t xml:space="preserve">Capítulo II</w:t>
      </w:r>
      <w:r>
        <w:t xml:space="preserve">)</w:t>
      </w:r>
    </w:p>
    <w:bookmarkStart w:id="27" w:name="deberesobligaciones-de-las-aseguradoras"/>
    <w:p>
      <w:pPr>
        <w:pStyle w:val="Heading2"/>
      </w:pPr>
      <w:r>
        <w:t xml:space="preserve">2.1 Deberes/obligaciones de las aseguradoras</w:t>
      </w:r>
    </w:p>
    <w:bookmarkStart w:id="21" w:name="X519630957394fa8155e6feef518d4bc8275cd26"/>
    <w:p>
      <w:pPr>
        <w:pStyle w:val="Heading4"/>
      </w:pPr>
      <w:r>
        <w:t xml:space="preserve">Atender y resolver las quejas y reclamaciones de sus clientes (</w:t>
      </w:r>
      <w:r>
        <w:rPr>
          <w:bCs/>
          <w:b/>
        </w:rPr>
        <w:t xml:space="preserve">Artículo 3</w:t>
      </w:r>
      <w:r>
        <w:t xml:space="preserve">):</w:t>
      </w:r>
    </w:p>
    <w:bookmarkEnd w:id="21"/>
    <w:bookmarkStart w:id="22" w:name="Xbbbbc1c4f27706f3239f7e8c7df79b3c4e023a8"/>
    <w:p>
      <w:pPr>
        <w:pStyle w:val="Heading4"/>
      </w:pPr>
      <w:r>
        <w:t xml:space="preserve">Disponer de un departamento o servicio específicamente para atención al cliente (</w:t>
      </w:r>
      <w:r>
        <w:rPr>
          <w:bCs/>
          <w:b/>
        </w:rPr>
        <w:t xml:space="preserve">Artículo 4</w:t>
      </w:r>
      <w:r>
        <w:t xml:space="preserve">):</w:t>
      </w:r>
    </w:p>
    <w:p>
      <w:pPr>
        <w:numPr>
          <w:ilvl w:val="0"/>
          <w:numId w:val="1006"/>
        </w:numPr>
        <w:pStyle w:val="Compact"/>
      </w:pPr>
      <w:r>
        <w:t xml:space="preserve">Entidades bajo el mismo grupo económico:</w:t>
      </w:r>
      <w:r>
        <w:t xml:space="preserve"> </w:t>
      </w:r>
      <w:r>
        <w:rPr>
          <w:iCs/>
          <w:i/>
        </w:rPr>
        <w:t xml:space="preserve">podrán disponer de un departamento o servicio para todo el grupo.</w:t>
      </w:r>
    </w:p>
    <w:bookmarkEnd w:id="22"/>
    <w:bookmarkStart w:id="23" w:name="X58745eb9998651528c5e38b1c4081b047797677"/>
    <w:p>
      <w:pPr>
        <w:pStyle w:val="Heading4"/>
      </w:pPr>
      <w:r>
        <w:t xml:space="preserve">Requisitos de los titulares del departamento o servicio de atención (</w:t>
      </w:r>
      <w:r>
        <w:rPr>
          <w:bCs/>
          <w:b/>
        </w:rPr>
        <w:t xml:space="preserve">Artículo 5</w:t>
      </w:r>
      <w:r>
        <w:t xml:space="preserve">):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Requisitos Personales:</w:t>
      </w:r>
    </w:p>
    <w:p>
      <w:pPr>
        <w:numPr>
          <w:ilvl w:val="1"/>
          <w:numId w:val="1008"/>
        </w:numPr>
        <w:pStyle w:val="Compact"/>
      </w:pPr>
      <w:r>
        <w:t xml:space="preserve">Honorabilidad comercial y profesional:</w:t>
      </w:r>
    </w:p>
    <w:p>
      <w:pPr>
        <w:numPr>
          <w:ilvl w:val="2"/>
          <w:numId w:val="1009"/>
        </w:numPr>
        <w:pStyle w:val="Compact"/>
      </w:pPr>
      <w:r>
        <w:t xml:space="preserve">Aquellos que dispongan de una trayectoria personal de respeto a las leyes mercantiles, regulaciones de actividad económica, y prácticas comerciales y financieras.</w:t>
      </w:r>
    </w:p>
    <w:p>
      <w:pPr>
        <w:numPr>
          <w:ilvl w:val="1"/>
          <w:numId w:val="1008"/>
        </w:numPr>
        <w:pStyle w:val="Compact"/>
      </w:pPr>
      <w:r>
        <w:t xml:space="preserve">Conocimiento y experiencia adecuada:</w:t>
      </w:r>
    </w:p>
    <w:p>
      <w:pPr>
        <w:numPr>
          <w:ilvl w:val="2"/>
          <w:numId w:val="1010"/>
        </w:numPr>
        <w:pStyle w:val="Compact"/>
      </w:pPr>
      <w:r>
        <w:t xml:space="preserve">Aquellos que hayan desempeñado funciones relacionadas con la actividad financiera de la entidad.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Designación</w:t>
      </w:r>
    </w:p>
    <w:p>
      <w:pPr>
        <w:numPr>
          <w:ilvl w:val="1"/>
          <w:numId w:val="1011"/>
        </w:numPr>
        <w:pStyle w:val="Compact"/>
      </w:pPr>
      <w:r>
        <w:t xml:space="preserve">Los titulares serán designados por el consejo de administración o equivalente, o la dirección general de la sucursal.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Comunicación de Designación</w:t>
      </w:r>
    </w:p>
    <w:p>
      <w:pPr>
        <w:numPr>
          <w:ilvl w:val="1"/>
          <w:numId w:val="1012"/>
        </w:numPr>
        <w:pStyle w:val="Compact"/>
      </w:pPr>
      <w:r>
        <w:t xml:space="preserve">Al</w:t>
      </w:r>
      <w:r>
        <w:t xml:space="preserve"> </w:t>
      </w:r>
      <w:r>
        <w:rPr>
          <w:rStyle w:val="VerbatimChar"/>
        </w:rPr>
        <w:t xml:space="preserve">Comisionado(s)</w:t>
      </w:r>
      <w:r>
        <w:t xml:space="preserve"> </w:t>
      </w:r>
      <w:r>
        <w:t xml:space="preserve">para la Defensa del Cliente de Servicios Financieros y autoridades supervisadoras.</w:t>
      </w:r>
    </w:p>
    <w:bookmarkEnd w:id="23"/>
    <w:bookmarkStart w:id="24" w:name="medidas-oportunas-para-artículo-6"/>
    <w:p>
      <w:pPr>
        <w:pStyle w:val="Heading4"/>
      </w:pPr>
      <w:r>
        <w:t xml:space="preserve">Medidas oportunas para (</w:t>
      </w:r>
      <w:r>
        <w:rPr>
          <w:bCs/>
          <w:b/>
        </w:rPr>
        <w:t xml:space="preserve">Artículo 6</w:t>
      </w:r>
      <w:r>
        <w:t xml:space="preserve">):</w:t>
      </w:r>
    </w:p>
    <w:p>
      <w:pPr>
        <w:numPr>
          <w:ilvl w:val="0"/>
          <w:numId w:val="1013"/>
        </w:numPr>
        <w:pStyle w:val="Compact"/>
      </w:pPr>
      <w:r>
        <w:t xml:space="preserve">Separar el departamento o servicio de atención al cliente de los demás servicios comerciales</w:t>
      </w:r>
    </w:p>
    <w:p>
      <w:pPr>
        <w:numPr>
          <w:ilvl w:val="1"/>
          <w:numId w:val="1014"/>
        </w:numPr>
        <w:pStyle w:val="Compact"/>
      </w:pPr>
      <w:r>
        <w:t xml:space="preserve">Propósito: evitar conflictos de interés y garantizar la toma de decisiones de manera autónoma.</w:t>
      </w:r>
    </w:p>
    <w:p>
      <w:pPr>
        <w:numPr>
          <w:ilvl w:val="0"/>
          <w:numId w:val="1013"/>
        </w:numPr>
        <w:pStyle w:val="Compact"/>
      </w:pPr>
      <w:r>
        <w:t xml:space="preserve">Responder a los principios de rapidez, seguridad, eficacia y coordinación.</w:t>
      </w:r>
    </w:p>
    <w:p>
      <w:pPr>
        <w:numPr>
          <w:ilvl w:val="0"/>
          <w:numId w:val="1013"/>
        </w:numPr>
        <w:pStyle w:val="Compact"/>
      </w:pPr>
      <w:r>
        <w:t xml:space="preserve">Garantizar conocimiento adecuado del personal al servicio de la normativa sobre transparencia y protección de los clientes de servicios financieros.</w:t>
      </w:r>
    </w:p>
    <w:bookmarkEnd w:id="24"/>
    <w:bookmarkStart w:id="25" w:name="X4a5971ba521cad1f84716df19724d1b528fbcda"/>
    <w:p>
      <w:pPr>
        <w:pStyle w:val="Heading4"/>
      </w:pPr>
      <w:r>
        <w:t xml:space="preserve">Aprobar un Reglamento para la Defensa del Cliente (</w:t>
      </w:r>
      <w:r>
        <w:rPr>
          <w:bCs/>
          <w:b/>
        </w:rPr>
        <w:t xml:space="preserve">Artículo 8</w:t>
      </w:r>
      <w:r>
        <w:t xml:space="preserve">):</w:t>
      </w:r>
    </w:p>
    <w:p>
      <w:pPr>
        <w:numPr>
          <w:ilvl w:val="0"/>
          <w:numId w:val="1015"/>
        </w:numPr>
        <w:pStyle w:val="Compact"/>
      </w:pPr>
      <w:r>
        <w:t xml:space="preserve">Regular la actividad del departamento o servicio de atención (y del defensor del cliente, en su caso).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Aprobación:</w:t>
      </w:r>
    </w:p>
    <w:p>
      <w:pPr>
        <w:numPr>
          <w:ilvl w:val="1"/>
          <w:numId w:val="1016"/>
        </w:numPr>
        <w:pStyle w:val="Compact"/>
      </w:pPr>
      <w:r>
        <w:t xml:space="preserve">Por el consejo de administración o equivalente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Ratificación:</w:t>
      </w:r>
    </w:p>
    <w:p>
      <w:pPr>
        <w:numPr>
          <w:ilvl w:val="1"/>
          <w:numId w:val="1017"/>
        </w:numPr>
        <w:pStyle w:val="Compact"/>
      </w:pPr>
      <w:r>
        <w:t xml:space="preserve">Por la junta o asamblea general o equivalente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Elementos (al menos los siguientes):</w:t>
      </w:r>
    </w:p>
    <w:p>
      <w:pPr>
        <w:numPr>
          <w:ilvl w:val="1"/>
          <w:numId w:val="1018"/>
        </w:numPr>
        <w:pStyle w:val="Compact"/>
      </w:pPr>
      <w:r>
        <w:t xml:space="preserve">Duración del mandato y posibilidad de renovación (en su caso)</w:t>
      </w:r>
    </w:p>
    <w:p>
      <w:pPr>
        <w:numPr>
          <w:ilvl w:val="1"/>
          <w:numId w:val="1018"/>
        </w:numPr>
        <w:pStyle w:val="Compact"/>
      </w:pPr>
      <w:r>
        <w:t xml:space="preserve">Causas de incompatibilidad, inelegibilidad y cese</w:t>
      </w:r>
    </w:p>
    <w:p>
      <w:pPr>
        <w:numPr>
          <w:ilvl w:val="1"/>
          <w:numId w:val="1018"/>
        </w:numPr>
        <w:pStyle w:val="Compact"/>
      </w:pPr>
      <w:r>
        <w:t xml:space="preserve">Relación clara y precisa de los asuntos que le pertenece a cada uno</w:t>
      </w:r>
    </w:p>
    <w:p>
      <w:pPr>
        <w:numPr>
          <w:ilvl w:val="2"/>
          <w:numId w:val="1019"/>
        </w:numPr>
        <w:pStyle w:val="Compact"/>
      </w:pPr>
      <w:r>
        <w:t xml:space="preserve">Si se atribuye el conocimiento del mismo tipo de reclamación a ambas (departamento de atención al cliente y defensor del cliente):</w:t>
      </w:r>
    </w:p>
    <w:p>
      <w:pPr>
        <w:numPr>
          <w:ilvl w:val="1"/>
          <w:numId w:val="1018"/>
        </w:numPr>
        <w:pStyle w:val="Compact"/>
      </w:pPr>
      <w:r>
        <w:t xml:space="preserve">Facilitar toda información solicitada en relación con el ejercicio de las funciones del departamento o defensor.</w:t>
      </w:r>
    </w:p>
    <w:p>
      <w:pPr>
        <w:numPr>
          <w:ilvl w:val="1"/>
          <w:numId w:val="1018"/>
        </w:numPr>
        <w:pStyle w:val="Compact"/>
      </w:pPr>
      <w:r>
        <w:t xml:space="preserve">Plazo para presentar reclamaciones</w:t>
      </w:r>
    </w:p>
    <w:p>
      <w:pPr>
        <w:numPr>
          <w:ilvl w:val="1"/>
          <w:numId w:val="1018"/>
        </w:numPr>
        <w:pStyle w:val="Compact"/>
      </w:pPr>
      <w:r>
        <w:t xml:space="preserve">Superior a 2 años desde que el cliente tuviera conocimiento de los hechos</w:t>
      </w:r>
    </w:p>
    <w:p>
      <w:pPr>
        <w:numPr>
          <w:ilvl w:val="1"/>
          <w:numId w:val="1018"/>
        </w:numPr>
        <w:pStyle w:val="Compact"/>
      </w:pPr>
      <w:r>
        <w:t xml:space="preserve">Concreción de los trámites internos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Organismo de control e inspección:</w:t>
      </w:r>
    </w:p>
    <w:p>
      <w:pPr>
        <w:numPr>
          <w:ilvl w:val="1"/>
          <w:numId w:val="1020"/>
        </w:numPr>
        <w:pStyle w:val="Compact"/>
      </w:pPr>
      <w:r>
        <w:t xml:space="preserve">Verificar que el reglamento contiene la regulación necesaria</w:t>
      </w:r>
    </w:p>
    <w:p>
      <w:pPr>
        <w:numPr>
          <w:ilvl w:val="1"/>
          <w:numId w:val="1020"/>
        </w:numPr>
        <w:pStyle w:val="Compact"/>
      </w:pPr>
      <w:r>
        <w:t xml:space="preserve">Plazo:</w:t>
      </w:r>
    </w:p>
    <w:p>
      <w:pPr>
        <w:numPr>
          <w:ilvl w:val="2"/>
          <w:numId w:val="1021"/>
        </w:numPr>
        <w:pStyle w:val="Compact"/>
      </w:pPr>
      <w:r>
        <w:t xml:space="preserve">3 meses desde la presentación de la solicitud</w:t>
      </w:r>
    </w:p>
    <w:p>
      <w:pPr>
        <w:numPr>
          <w:ilvl w:val="1"/>
          <w:numId w:val="1020"/>
        </w:numPr>
        <w:pStyle w:val="Compact"/>
      </w:pPr>
      <w:r>
        <w:t xml:space="preserve">Corresponde:</w:t>
      </w:r>
    </w:p>
    <w:p>
      <w:pPr>
        <w:numPr>
          <w:ilvl w:val="2"/>
          <w:numId w:val="1022"/>
        </w:numPr>
        <w:pStyle w:val="Compact"/>
      </w:pPr>
      <w:r>
        <w:t xml:space="preserve">Para las</w:t>
      </w:r>
      <w:r>
        <w:t xml:space="preserve"> </w:t>
      </w:r>
      <w:r>
        <w:rPr>
          <w:rStyle w:val="VerbatimChar"/>
        </w:rPr>
        <w:t xml:space="preserve">entidades aseguradoras</w:t>
      </w:r>
      <w:r>
        <w:t xml:space="preserve"> </w:t>
      </w:r>
      <w:r>
        <w:t xml:space="preserve">–&gt; a la</w:t>
      </w:r>
      <w:r>
        <w:t xml:space="preserve"> </w:t>
      </w:r>
      <w:r>
        <w:rPr>
          <w:rStyle w:val="VerbatimChar"/>
        </w:rPr>
        <w:t xml:space="preserve">Dirección General de Seguros y Fondos de Pensiones del Ministerio de Economía</w:t>
      </w:r>
    </w:p>
    <w:p>
      <w:pPr>
        <w:numPr>
          <w:ilvl w:val="3"/>
          <w:numId w:val="1023"/>
        </w:numPr>
        <w:pStyle w:val="Compact"/>
      </w:pPr>
      <w:r>
        <w:t xml:space="preserve">Excepción: si son entidades de competencia autonómica –&gt; al</w:t>
      </w:r>
      <w:r>
        <w:t xml:space="preserve"> </w:t>
      </w:r>
      <w:r>
        <w:rPr>
          <w:rStyle w:val="VerbatimChar"/>
        </w:rPr>
        <w:t xml:space="preserve">órgano competente de la CCAA</w:t>
      </w:r>
      <w:r>
        <w:t xml:space="preserve"> </w:t>
      </w:r>
      <w:r>
        <w:t xml:space="preserve">en donde radique el domicilio social de la entidad.</w:t>
      </w:r>
    </w:p>
    <w:p>
      <w:pPr>
        <w:numPr>
          <w:ilvl w:val="2"/>
          <w:numId w:val="1022"/>
        </w:numPr>
        <w:pStyle w:val="Compact"/>
      </w:pPr>
      <w:r>
        <w:t xml:space="preserve">Si un mismo reglamento se aplica a todas las entidades de un mismo grupo –&gt; entidad de verificación correrá a cargo de la entidad dominante.</w:t>
      </w:r>
    </w:p>
    <w:bookmarkEnd w:id="25"/>
    <w:bookmarkStart w:id="26" w:name="Xd58af215d442fa4abcbc6ca873610f895936f42"/>
    <w:p>
      <w:pPr>
        <w:pStyle w:val="Heading4"/>
      </w:pPr>
      <w:r>
        <w:t xml:space="preserve">Poner a disposición del cliente toda la información siguiente (</w:t>
      </w:r>
      <w:r>
        <w:rPr>
          <w:bCs/>
          <w:b/>
        </w:rPr>
        <w:t xml:space="preserve">Artículo 9</w:t>
      </w:r>
      <w:r>
        <w:t xml:space="preserve">):</w:t>
      </w:r>
    </w:p>
    <w:p>
      <w:pPr>
        <w:numPr>
          <w:ilvl w:val="0"/>
          <w:numId w:val="1024"/>
        </w:numPr>
        <w:pStyle w:val="Compact"/>
      </w:pPr>
      <w:r>
        <w:t xml:space="preserve">Existencia de un departamento de atención al cliente, y defensor del cliente si lo hay</w:t>
      </w:r>
    </w:p>
    <w:p>
      <w:pPr>
        <w:numPr>
          <w:ilvl w:val="1"/>
          <w:numId w:val="1025"/>
        </w:numPr>
        <w:pStyle w:val="Compact"/>
      </w:pPr>
      <w:r>
        <w:t xml:space="preserve">Especificar dirección postal y electrónica</w:t>
      </w:r>
    </w:p>
    <w:p>
      <w:pPr>
        <w:numPr>
          <w:ilvl w:val="0"/>
          <w:numId w:val="1024"/>
        </w:numPr>
        <w:pStyle w:val="Compact"/>
      </w:pPr>
      <w:r>
        <w:t xml:space="preserve">Obligación de la entidad de atender y resolver quejas en un plazo de 2 meses</w:t>
      </w:r>
    </w:p>
    <w:p>
      <w:pPr>
        <w:numPr>
          <w:ilvl w:val="0"/>
          <w:numId w:val="1024"/>
        </w:numPr>
        <w:pStyle w:val="Compact"/>
      </w:pPr>
      <w:r>
        <w:t xml:space="preserve">Referencia al Comisionado o Comisionados para la Defensa del Cliente de Servicios Financieros que correspondan</w:t>
      </w:r>
    </w:p>
    <w:p>
      <w:pPr>
        <w:numPr>
          <w:ilvl w:val="1"/>
          <w:numId w:val="1026"/>
        </w:numPr>
        <w:pStyle w:val="Compact"/>
      </w:pPr>
      <w:r>
        <w:t xml:space="preserve">Con dirección postal y electrónica</w:t>
      </w:r>
    </w:p>
    <w:p>
      <w:pPr>
        <w:numPr>
          <w:ilvl w:val="1"/>
          <w:numId w:val="1026"/>
        </w:numPr>
        <w:pStyle w:val="Compact"/>
      </w:pPr>
      <w:r>
        <w:t xml:space="preserve">La necesidad de agotar la vía del departamento o servicio de atención al cliente o del defensor del cliente</w:t>
      </w:r>
    </w:p>
    <w:p>
      <w:pPr>
        <w:numPr>
          <w:ilvl w:val="0"/>
          <w:numId w:val="1024"/>
        </w:numPr>
        <w:pStyle w:val="Compact"/>
      </w:pPr>
      <w:r>
        <w:t xml:space="preserve">Reglamento de funcionamiento</w:t>
      </w:r>
    </w:p>
    <w:p>
      <w:pPr>
        <w:numPr>
          <w:ilvl w:val="0"/>
          <w:numId w:val="1024"/>
        </w:numPr>
        <w:pStyle w:val="Compact"/>
      </w:pPr>
      <w:r>
        <w:t xml:space="preserve">Referencias a la normativa de transparencia y protección del cliente de servicios financieros.</w:t>
      </w:r>
    </w:p>
    <w:p>
      <w:pPr>
        <w:numPr>
          <w:ilvl w:val="0"/>
          <w:numId w:val="1024"/>
        </w:numPr>
        <w:pStyle w:val="Compact"/>
      </w:pPr>
      <w:r>
        <w:t xml:space="preserve">Las decisiones expresarán la facultad que asiste al reclamante para acudir al Comisionado para la Defensa del Cliente de Servicios Financieros en caso de disconformidad.</w:t>
      </w:r>
    </w:p>
    <w:bookmarkEnd w:id="26"/>
    <w:bookmarkEnd w:id="27"/>
    <w:bookmarkStart w:id="30" w:name="aseguradoras-podrán"/>
    <w:p>
      <w:pPr>
        <w:pStyle w:val="Heading2"/>
      </w:pPr>
      <w:r>
        <w:t xml:space="preserve">2.2 Aseguradoras podrán</w:t>
      </w:r>
    </w:p>
    <w:bookmarkStart w:id="28" w:name="X90b0aef6b356b5c0e2ddae0987febdacd9b5619"/>
    <w:p>
      <w:pPr>
        <w:pStyle w:val="Heading4"/>
      </w:pPr>
      <w:r>
        <w:t xml:space="preserve">Designar un defensor del cliente para que (</w:t>
      </w:r>
      <w:r>
        <w:rPr>
          <w:bCs/>
          <w:b/>
        </w:rPr>
        <w:t xml:space="preserve">Artículo 4.2.</w:t>
      </w:r>
      <w:r>
        <w:t xml:space="preserve">):</w:t>
      </w:r>
    </w:p>
    <w:p>
      <w:pPr>
        <w:numPr>
          <w:ilvl w:val="0"/>
          <w:numId w:val="1027"/>
        </w:numPr>
        <w:pStyle w:val="Compact"/>
      </w:pPr>
      <w:r>
        <w:t xml:space="preserve">Atienda y resuelva las reclamaciones.</w:t>
      </w:r>
    </w:p>
    <w:p>
      <w:pPr>
        <w:numPr>
          <w:ilvl w:val="0"/>
          <w:numId w:val="1027"/>
        </w:numPr>
        <w:pStyle w:val="Compact"/>
      </w:pPr>
      <w:r>
        <w:t xml:space="preserve">Promueva el cumplimiento de la normativa de transparencia y protección, y de las buenas prácticas.</w:t>
      </w:r>
    </w:p>
    <w:p>
      <w:pPr>
        <w:numPr>
          <w:ilvl w:val="1"/>
          <w:numId w:val="1028"/>
        </w:numPr>
        <w:pStyle w:val="Compact"/>
      </w:pPr>
      <w:r>
        <w:t xml:space="preserve">El defensor del cliente se puede efectuar conjuntamente con otras entidades.</w:t>
      </w:r>
    </w:p>
    <w:bookmarkEnd w:id="28"/>
    <w:bookmarkStart w:id="29" w:name="X67b8c2f73f5ea9c15db3fc452600a4b67750251"/>
    <w:p>
      <w:pPr>
        <w:pStyle w:val="Heading4"/>
      </w:pPr>
      <w:r>
        <w:t xml:space="preserve">Si se designa un defensor del cliente –&gt; Deberes (</w:t>
      </w:r>
      <w:r>
        <w:rPr>
          <w:bCs/>
          <w:b/>
        </w:rPr>
        <w:t xml:space="preserve">Artículo 7</w:t>
      </w:r>
      <w:r>
        <w:t xml:space="preserve">):</w:t>
      </w:r>
    </w:p>
    <w:p>
      <w:pPr>
        <w:numPr>
          <w:ilvl w:val="0"/>
          <w:numId w:val="1029"/>
        </w:numPr>
        <w:pStyle w:val="Compact"/>
      </w:pPr>
      <w:r>
        <w:t xml:space="preserve">Requisitos Personales (igual que los titulares del departamento):</w:t>
      </w:r>
    </w:p>
    <w:p>
      <w:pPr>
        <w:numPr>
          <w:ilvl w:val="1"/>
          <w:numId w:val="1030"/>
        </w:numPr>
        <w:pStyle w:val="Compact"/>
      </w:pPr>
      <w:r>
        <w:t xml:space="preserve">Honorabilidad comercial y profesional</w:t>
      </w:r>
    </w:p>
    <w:p>
      <w:pPr>
        <w:numPr>
          <w:ilvl w:val="1"/>
          <w:numId w:val="1030"/>
        </w:numPr>
        <w:pStyle w:val="Compact"/>
      </w:pPr>
      <w:r>
        <w:t xml:space="preserve">Conocimiento y experiencia adecuada.</w:t>
      </w:r>
    </w:p>
    <w:p>
      <w:pPr>
        <w:numPr>
          <w:ilvl w:val="0"/>
          <w:numId w:val="1029"/>
        </w:numPr>
        <w:pStyle w:val="Compact"/>
      </w:pPr>
      <w:r>
        <w:t xml:space="preserve">Designación</w:t>
      </w:r>
    </w:p>
    <w:p>
      <w:pPr>
        <w:numPr>
          <w:ilvl w:val="1"/>
          <w:numId w:val="1031"/>
        </w:numPr>
        <w:pStyle w:val="Compact"/>
      </w:pPr>
      <w:r>
        <w:t xml:space="preserve">Los defensores serán designados por el consejo de administración o equivalente, o la dirección general de la sucursal</w:t>
      </w:r>
    </w:p>
    <w:p>
      <w:pPr>
        <w:numPr>
          <w:ilvl w:val="1"/>
          <w:numId w:val="1031"/>
        </w:numPr>
        <w:pStyle w:val="Compact"/>
      </w:pPr>
      <w:r>
        <w:t xml:space="preserve">La designación puede ser ratificada posteriormente por la junta o asamblea general o equivalente.</w:t>
      </w:r>
    </w:p>
    <w:p>
      <w:pPr>
        <w:numPr>
          <w:ilvl w:val="0"/>
          <w:numId w:val="1029"/>
        </w:numPr>
        <w:pStyle w:val="Compact"/>
      </w:pPr>
      <w:r>
        <w:t xml:space="preserve">Comunicación de Designación</w:t>
      </w:r>
    </w:p>
    <w:p>
      <w:pPr>
        <w:numPr>
          <w:ilvl w:val="1"/>
          <w:numId w:val="1032"/>
        </w:numPr>
        <w:pStyle w:val="Compact"/>
      </w:pPr>
      <w:r>
        <w:t xml:space="preserve">Al</w:t>
      </w:r>
      <w:r>
        <w:t xml:space="preserve"> </w:t>
      </w:r>
      <w:r>
        <w:rPr>
          <w:rStyle w:val="VerbatimChar"/>
        </w:rPr>
        <w:t xml:space="preserve">Comisionado(s)</w:t>
      </w:r>
      <w:r>
        <w:t xml:space="preserve"> </w:t>
      </w:r>
      <w:r>
        <w:t xml:space="preserve">para la Defensa del Cliente de Servicios Financieros y autoridades supervisadoras.</w:t>
      </w:r>
    </w:p>
    <w:p>
      <w:pPr>
        <w:numPr>
          <w:ilvl w:val="0"/>
          <w:numId w:val="1029"/>
        </w:numPr>
        <w:pStyle w:val="Compact"/>
      </w:pPr>
      <w:r>
        <w:t xml:space="preserve">Actuación:</w:t>
      </w:r>
    </w:p>
    <w:p>
      <w:pPr>
        <w:numPr>
          <w:ilvl w:val="1"/>
          <w:numId w:val="1033"/>
        </w:numPr>
        <w:pStyle w:val="Compact"/>
      </w:pPr>
      <w:r>
        <w:t xml:space="preserve">Con independencia con respecto de la entidad</w:t>
      </w:r>
    </w:p>
    <w:p>
      <w:pPr>
        <w:numPr>
          <w:ilvl w:val="1"/>
          <w:numId w:val="1033"/>
        </w:numPr>
        <w:pStyle w:val="Compact"/>
      </w:pPr>
      <w:r>
        <w:t xml:space="preserve">Total autonomía en cuanto a los criterios y directrices a aplicar</w:t>
      </w:r>
    </w:p>
    <w:p>
      <w:pPr>
        <w:numPr>
          <w:ilvl w:val="0"/>
          <w:numId w:val="1029"/>
        </w:numPr>
        <w:pStyle w:val="Compact"/>
      </w:pPr>
      <w:r>
        <w:t xml:space="preserve">Decisiones vinculantes</w:t>
      </w:r>
    </w:p>
    <w:p>
      <w:pPr>
        <w:numPr>
          <w:ilvl w:val="1"/>
          <w:numId w:val="1034"/>
        </w:numPr>
        <w:pStyle w:val="Compact"/>
      </w:pPr>
      <w:r>
        <w:t xml:space="preserve">Las decisiones favorables al reclamante vincularán a la entidad.</w:t>
      </w:r>
    </w:p>
    <w:bookmarkEnd w:id="29"/>
    <w:bookmarkEnd w:id="30"/>
    <w:bookmarkEnd w:id="31"/>
    <w:bookmarkStart w:id="40" w:name="procedimiento-capítulo-iii"/>
    <w:p>
      <w:pPr>
        <w:pStyle w:val="Heading1"/>
      </w:pPr>
      <w:r>
        <w:t xml:space="preserve">3. Procedimiento (</w:t>
      </w:r>
      <w:r>
        <w:rPr>
          <w:iCs/>
          <w:i/>
        </w:rPr>
        <w:t xml:space="preserve">Capítulo III</w:t>
      </w:r>
      <w:r>
        <w:t xml:space="preserve">)</w:t>
      </w:r>
    </w:p>
    <w:bookmarkStart w:id="32" w:name="tiempo-artículo-10.3."/>
    <w:p>
      <w:pPr>
        <w:pStyle w:val="Heading4"/>
      </w:pPr>
      <w:r>
        <w:t xml:space="preserve">Tiempo (</w:t>
      </w:r>
      <w:r>
        <w:rPr>
          <w:bCs/>
          <w:b/>
        </w:rPr>
        <w:t xml:space="preserve">Artículo 10.3.</w:t>
      </w:r>
      <w:r>
        <w:t xml:space="preserve">):</w:t>
      </w:r>
    </w:p>
    <w:p>
      <w:pPr>
        <w:numPr>
          <w:ilvl w:val="0"/>
          <w:numId w:val="1035"/>
        </w:numPr>
        <w:pStyle w:val="Compact"/>
      </w:pPr>
      <w:r>
        <w:t xml:space="preserve">Los departamentos o servicios de atención al cliente y los defensores del cliente, dispondrán de un plazo de dos meses desde la presentación de la queja para dictar un pronunciamiento.</w:t>
      </w:r>
    </w:p>
    <w:p>
      <w:pPr>
        <w:numPr>
          <w:ilvl w:val="1"/>
          <w:numId w:val="1036"/>
        </w:numPr>
        <w:pStyle w:val="Compact"/>
      </w:pPr>
      <w:r>
        <w:t xml:space="preserve">El cómputo del plazo máximo de terminación comenzará a contar desde la presentación de la queja o reclamación en el departamento o servicio de atención al cliente o defensor del cliente (Artículo 12.1)</w:t>
      </w:r>
    </w:p>
    <w:p>
      <w:pPr>
        <w:numPr>
          <w:ilvl w:val="1"/>
          <w:numId w:val="1036"/>
        </w:numPr>
        <w:pStyle w:val="Compact"/>
      </w:pPr>
      <w:r>
        <w:t xml:space="preserve">A partir de la finalización de dicho plazo el reclamante puede acudir al Comisionado para la Defensa del Cliente de Servicios Financieros.</w:t>
      </w:r>
    </w:p>
    <w:bookmarkEnd w:id="32"/>
    <w:bookmarkStart w:id="33" w:name="forma-y-lugar-artículo-11.1.-y-11.3."/>
    <w:p>
      <w:pPr>
        <w:pStyle w:val="Heading4"/>
      </w:pPr>
      <w:r>
        <w:t xml:space="preserve">Forma y lugar (</w:t>
      </w:r>
      <w:r>
        <w:rPr>
          <w:bCs/>
          <w:b/>
        </w:rPr>
        <w:t xml:space="preserve">Artículo 11.1. y 11.3.</w:t>
      </w:r>
      <w:r>
        <w:t xml:space="preserve">):</w:t>
      </w:r>
    </w:p>
    <w:p>
      <w:pPr>
        <w:numPr>
          <w:ilvl w:val="0"/>
          <w:numId w:val="1037"/>
        </w:numPr>
        <w:pStyle w:val="Compact"/>
      </w:pPr>
      <w:r>
        <w:t xml:space="preserve">Personalmente o mediante representación</w:t>
      </w:r>
    </w:p>
    <w:p>
      <w:pPr>
        <w:numPr>
          <w:ilvl w:val="0"/>
          <w:numId w:val="1037"/>
        </w:numPr>
        <w:pStyle w:val="Compact"/>
      </w:pPr>
      <w:r>
        <w:t xml:space="preserve">En soporte papel o por medios informáticos, electrónicos o telemáticos (deberá ajustarse a la Ley 59/2003, de 19 de diciembre, de firma electrónica)</w:t>
      </w:r>
    </w:p>
    <w:p>
      <w:pPr>
        <w:numPr>
          <w:ilvl w:val="0"/>
          <w:numId w:val="1037"/>
        </w:numPr>
        <w:pStyle w:val="Compact"/>
      </w:pPr>
      <w:r>
        <w:t xml:space="preserve">Ante los departamentos o servicios de atención al cliente, ante el defensor del cliente, en cualquier oficina abierta al público de la entidad, en la dirección de correo electrónico</w:t>
      </w:r>
    </w:p>
    <w:bookmarkEnd w:id="33"/>
    <w:bookmarkStart w:id="34" w:name="contenido-artículo-11.2."/>
    <w:p>
      <w:pPr>
        <w:pStyle w:val="Heading4"/>
      </w:pPr>
      <w:r>
        <w:t xml:space="preserve">Contenido (</w:t>
      </w:r>
      <w:r>
        <w:rPr>
          <w:bCs/>
          <w:b/>
        </w:rPr>
        <w:t xml:space="preserve">Artículo 11.2.</w:t>
      </w:r>
      <w:r>
        <w:t xml:space="preserve">):</w:t>
      </w:r>
    </w:p>
    <w:p>
      <w:pPr>
        <w:numPr>
          <w:ilvl w:val="0"/>
          <w:numId w:val="1038"/>
        </w:numPr>
        <w:pStyle w:val="Compact"/>
      </w:pPr>
      <w:r>
        <w:t xml:space="preserve">Nombre, apellidos y domicilio del interesado, DNI para las personas físicas y datos referidos a registro público para las jurídicas.</w:t>
      </w:r>
    </w:p>
    <w:p>
      <w:pPr>
        <w:numPr>
          <w:ilvl w:val="0"/>
          <w:numId w:val="1038"/>
        </w:numPr>
        <w:pStyle w:val="Compact"/>
      </w:pPr>
      <w:r>
        <w:t xml:space="preserve">Motivo de la queja o reclamación</w:t>
      </w:r>
    </w:p>
    <w:p>
      <w:pPr>
        <w:numPr>
          <w:ilvl w:val="0"/>
          <w:numId w:val="1038"/>
        </w:numPr>
        <w:pStyle w:val="Compact"/>
      </w:pPr>
      <w:r>
        <w:t xml:space="preserve">Oficina u oficinas, departamento o servicio donde se hubieran producido los hechos objeto</w:t>
      </w:r>
    </w:p>
    <w:p>
      <w:pPr>
        <w:numPr>
          <w:ilvl w:val="0"/>
          <w:numId w:val="1038"/>
        </w:numPr>
        <w:pStyle w:val="Compact"/>
      </w:pPr>
      <w:r>
        <w:t xml:space="preserve">El reclamante no tiene conocimiento de que la materia objeto de la queja o reclamación está siendo sustanciada a través de un procedimiento administrativo, arbitral o judicial.</w:t>
      </w:r>
    </w:p>
    <w:p>
      <w:pPr>
        <w:numPr>
          <w:ilvl w:val="0"/>
          <w:numId w:val="1038"/>
        </w:numPr>
        <w:pStyle w:val="Compact"/>
      </w:pPr>
      <w:r>
        <w:t xml:space="preserve">Lugar, fecha y firma.</w:t>
      </w:r>
    </w:p>
    <w:p>
      <w:pPr>
        <w:numPr>
          <w:ilvl w:val="0"/>
          <w:numId w:val="1038"/>
        </w:numPr>
        <w:pStyle w:val="Compact"/>
      </w:pPr>
      <w:r>
        <w:t xml:space="preserve">Las pruebas documentales que obren en su poder en que se fundamente su queja o reclamación.</w:t>
      </w:r>
    </w:p>
    <w:bookmarkEnd w:id="34"/>
    <w:bookmarkStart w:id="35" w:name="admisión-artículo-12"/>
    <w:p>
      <w:pPr>
        <w:pStyle w:val="Heading4"/>
      </w:pPr>
      <w:r>
        <w:t xml:space="preserve">Admisión (</w:t>
      </w:r>
      <w:r>
        <w:rPr>
          <w:bCs/>
          <w:b/>
        </w:rPr>
        <w:t xml:space="preserve">Artículo 12</w:t>
      </w:r>
      <w:r>
        <w:t xml:space="preserve">):</w:t>
      </w:r>
    </w:p>
    <w:p>
      <w:pPr>
        <w:numPr>
          <w:ilvl w:val="0"/>
          <w:numId w:val="1039"/>
        </w:numPr>
        <w:pStyle w:val="Compact"/>
      </w:pPr>
      <w:r>
        <w:t xml:space="preserve">La queja o reclamación ésta será remitida internamente a la entidad correspondiente (el departamento o servicio de atención al cliente o al defensor del cliente).</w:t>
      </w:r>
    </w:p>
    <w:p>
      <w:pPr>
        <w:numPr>
          <w:ilvl w:val="0"/>
          <w:numId w:val="1039"/>
        </w:numPr>
        <w:pStyle w:val="Compact"/>
      </w:pPr>
      <w:r>
        <w:t xml:space="preserve">Deberá informarse al reclamante sobre la instancia competente para conocer su queja o reclamación.</w:t>
      </w:r>
    </w:p>
    <w:p>
      <w:pPr>
        <w:numPr>
          <w:ilvl w:val="0"/>
          <w:numId w:val="1039"/>
        </w:numPr>
        <w:pStyle w:val="Compact"/>
      </w:pPr>
      <w:r>
        <w:t xml:space="preserve">Se deberá acusar recibo por escrito, dejar constancia de la fecha de presentación, y se procederá a la apertura de expediente.</w:t>
      </w:r>
    </w:p>
    <w:p>
      <w:pPr>
        <w:numPr>
          <w:ilvl w:val="0"/>
          <w:numId w:val="1039"/>
        </w:numPr>
        <w:pStyle w:val="Compact"/>
      </w:pPr>
      <w:r>
        <w:t xml:space="preserve">Si hay un error en la queja o reclamación, se requerirá al firmante para completar la documentación remitida en el plazo de diez días naturales</w:t>
      </w:r>
    </w:p>
    <w:p>
      <w:pPr>
        <w:numPr>
          <w:ilvl w:val="0"/>
          <w:numId w:val="1039"/>
        </w:numPr>
        <w:pStyle w:val="Compact"/>
      </w:pPr>
      <w:r>
        <w:t xml:space="preserve">Sólo podrá rechazarse la admisión a trámite de las quejas y reclamaciones en los casos siguientes:</w:t>
      </w:r>
    </w:p>
    <w:p>
      <w:pPr>
        <w:numPr>
          <w:ilvl w:val="1"/>
          <w:numId w:val="1040"/>
        </w:numPr>
        <w:pStyle w:val="Compact"/>
      </w:pPr>
      <w:r>
        <w:t xml:space="preserve">Cuando se omitan datos esenciales para la tramitación</w:t>
      </w:r>
    </w:p>
    <w:p>
      <w:pPr>
        <w:numPr>
          <w:ilvl w:val="1"/>
          <w:numId w:val="1040"/>
        </w:numPr>
        <w:pStyle w:val="Compact"/>
      </w:pPr>
      <w:r>
        <w:t xml:space="preserve">Cuando sea competencia de los órganos administrativos, arbitrales o judiciales, o la misma se encuentre pendiente de resolución o litigio o haya sido ya resuelto en aquellas instancias</w:t>
      </w:r>
    </w:p>
    <w:p>
      <w:pPr>
        <w:numPr>
          <w:ilvl w:val="1"/>
          <w:numId w:val="1040"/>
        </w:numPr>
        <w:pStyle w:val="Compact"/>
      </w:pPr>
      <w:r>
        <w:t xml:space="preserve">Cuando los hechos, razones y solicitud no se refieran a operaciones concretas o no se ajusten a los requisitos establecidos en esta Orden.</w:t>
      </w:r>
    </w:p>
    <w:p>
      <w:pPr>
        <w:numPr>
          <w:ilvl w:val="1"/>
          <w:numId w:val="1040"/>
        </w:numPr>
        <w:pStyle w:val="Compact"/>
      </w:pPr>
      <w:r>
        <w:t xml:space="preserve">Cuando se formulen quejas o reclamaciones que reiteren otras anteriores resueltas, presentadas por el mismo cliente en relación a los mismos hechos.</w:t>
      </w:r>
    </w:p>
    <w:p>
      <w:pPr>
        <w:numPr>
          <w:ilvl w:val="1"/>
          <w:numId w:val="1040"/>
        </w:numPr>
        <w:pStyle w:val="Compact"/>
      </w:pPr>
      <w:r>
        <w:t xml:space="preserve">Cuando hubiera transcurrido el plazo para la presentación de quejas y reclamaciones.</w:t>
      </w:r>
    </w:p>
    <w:p>
      <w:pPr>
        <w:numPr>
          <w:ilvl w:val="0"/>
          <w:numId w:val="1039"/>
        </w:numPr>
        <w:pStyle w:val="Compact"/>
      </w:pPr>
      <w:r>
        <w:t xml:space="preserve">Cuando se entienda no admisible la queja o reclamación el tiene un plazo de diez días naturales para que presente sus alegaciones.</w:t>
      </w:r>
    </w:p>
    <w:p>
      <w:pPr>
        <w:numPr>
          <w:ilvl w:val="0"/>
          <w:numId w:val="1039"/>
        </w:numPr>
        <w:pStyle w:val="Compact"/>
      </w:pPr>
      <w:r>
        <w:t xml:space="preserve">Cuando el interesado hubiera contestado y se mantengan las causas de inadmisión, se le comunicará la decisión final adoptada.</w:t>
      </w:r>
    </w:p>
    <w:bookmarkEnd w:id="35"/>
    <w:bookmarkStart w:id="36" w:name="tramitación-artículo-13"/>
    <w:p>
      <w:pPr>
        <w:pStyle w:val="Heading4"/>
      </w:pPr>
      <w:r>
        <w:t xml:space="preserve">Tramitación (</w:t>
      </w:r>
      <w:r>
        <w:rPr>
          <w:bCs/>
          <w:b/>
        </w:rPr>
        <w:t xml:space="preserve">Artículo 13</w:t>
      </w:r>
      <w:r>
        <w:t xml:space="preserve">):</w:t>
      </w:r>
    </w:p>
    <w:p>
      <w:pPr>
        <w:numPr>
          <w:ilvl w:val="0"/>
          <w:numId w:val="1041"/>
        </w:numPr>
        <w:pStyle w:val="Compact"/>
      </w:pPr>
      <w:r>
        <w:t xml:space="preserve">En el curso de tramitación, se podrá recabar cuantos datos, aclaraciones, informes o elementos de prueba consideren oportunos.</w:t>
      </w:r>
    </w:p>
    <w:bookmarkEnd w:id="36"/>
    <w:bookmarkStart w:id="37" w:name="allanamiento-y-desistimiento-artículo-14"/>
    <w:p>
      <w:pPr>
        <w:pStyle w:val="Heading4"/>
      </w:pPr>
      <w:r>
        <w:t xml:space="preserve">Allanamiento y desistimiento (</w:t>
      </w:r>
      <w:r>
        <w:rPr>
          <w:bCs/>
          <w:b/>
        </w:rPr>
        <w:t xml:space="preserve">Artículo 14</w:t>
      </w:r>
      <w:r>
        <w:t xml:space="preserve">):</w:t>
      </w:r>
    </w:p>
    <w:p>
      <w:pPr>
        <w:numPr>
          <w:ilvl w:val="0"/>
          <w:numId w:val="1042"/>
        </w:numPr>
        <w:pStyle w:val="Compact"/>
      </w:pPr>
      <w:r>
        <w:t xml:space="preserve">Rectificación de situación por parte de la entidad como consecuencia de la queja: comunicarlo a la instancia competente y justificarlo documentalmente –&gt; archivo de la queja</w:t>
      </w:r>
    </w:p>
    <w:p>
      <w:pPr>
        <w:numPr>
          <w:ilvl w:val="0"/>
          <w:numId w:val="1042"/>
        </w:numPr>
        <w:pStyle w:val="Compact"/>
      </w:pPr>
      <w:r>
        <w:t xml:space="preserve">Desistimiento de la queja: en cualquier momento.</w:t>
      </w:r>
    </w:p>
    <w:bookmarkEnd w:id="37"/>
    <w:bookmarkStart w:id="38" w:name="finalización-y-notificación-artículo-15"/>
    <w:p>
      <w:pPr>
        <w:pStyle w:val="Heading4"/>
      </w:pPr>
      <w:r>
        <w:t xml:space="preserve">Finalización y notificación (</w:t>
      </w:r>
      <w:r>
        <w:rPr>
          <w:bCs/>
          <w:b/>
        </w:rPr>
        <w:t xml:space="preserve">Artículo 15</w:t>
      </w:r>
      <w:r>
        <w:t xml:space="preserve">):</w:t>
      </w:r>
    </w:p>
    <w:p>
      <w:pPr>
        <w:numPr>
          <w:ilvl w:val="0"/>
          <w:numId w:val="1043"/>
        </w:numPr>
        <w:pStyle w:val="Compact"/>
      </w:pPr>
      <w:r>
        <w:t xml:space="preserve">Plazo para finalizar expediente: 2 meses desde que se presentase la queja</w:t>
      </w:r>
    </w:p>
    <w:p>
      <w:pPr>
        <w:numPr>
          <w:ilvl w:val="0"/>
          <w:numId w:val="1043"/>
        </w:numPr>
        <w:pStyle w:val="Compact"/>
      </w:pPr>
      <w:r>
        <w:t xml:space="preserve">Decisión: motivada y con conclusiones claras</w:t>
      </w:r>
    </w:p>
    <w:p>
      <w:pPr>
        <w:numPr>
          <w:ilvl w:val="0"/>
          <w:numId w:val="1043"/>
        </w:numPr>
        <w:pStyle w:val="Compact"/>
      </w:pPr>
      <w:r>
        <w:t xml:space="preserve">Notificación: en el plazo de 10 días naturales desde su fecha</w:t>
      </w:r>
    </w:p>
    <w:bookmarkEnd w:id="38"/>
    <w:bookmarkStart w:id="39" w:name="Xed35a56e61c032d092a08372613f486582b6440"/>
    <w:p>
      <w:pPr>
        <w:pStyle w:val="Heading4"/>
      </w:pPr>
      <w:r>
        <w:t xml:space="preserve">Relación con los Comisionados (</w:t>
      </w:r>
      <w:r>
        <w:rPr>
          <w:bCs/>
          <w:b/>
        </w:rPr>
        <w:t xml:space="preserve">Artículo 16</w:t>
      </w:r>
      <w:r>
        <w:t xml:space="preserve">):</w:t>
      </w:r>
    </w:p>
    <w:p>
      <w:pPr>
        <w:numPr>
          <w:ilvl w:val="0"/>
          <w:numId w:val="1044"/>
        </w:numPr>
        <w:pStyle w:val="Compact"/>
      </w:pPr>
      <w:r>
        <w:t xml:space="preserve">Deber de atender los requerimientos que los Comisionados puedan efectuar a las entidades.</w:t>
      </w:r>
    </w:p>
    <w:p>
      <w:pPr>
        <w:numPr>
          <w:ilvl w:val="0"/>
          <w:numId w:val="1044"/>
        </w:numPr>
        <w:pStyle w:val="Compact"/>
      </w:pPr>
      <w:r>
        <w:t xml:space="preserve">Acuerdos necesarios para facilitar la transmisión de datos y documentos entre los Comisionados y las entidades.</w:t>
      </w:r>
    </w:p>
    <w:bookmarkEnd w:id="39"/>
    <w:bookmarkEnd w:id="40"/>
    <w:bookmarkStart w:id="42" w:name="informe-anual-capítulo-iv"/>
    <w:p>
      <w:pPr>
        <w:pStyle w:val="Heading1"/>
      </w:pPr>
      <w:r>
        <w:t xml:space="preserve">4. Informe Anual (</w:t>
      </w:r>
      <w:r>
        <w:rPr>
          <w:iCs/>
          <w:i/>
        </w:rPr>
        <w:t xml:space="preserve">Capítulo IV</w:t>
      </w:r>
      <w:r>
        <w:t xml:space="preserve">)</w:t>
      </w:r>
    </w:p>
    <w:bookmarkStart w:id="41" w:name="contenido-artículo-17"/>
    <w:p>
      <w:pPr>
        <w:pStyle w:val="Heading4"/>
      </w:pPr>
      <w:r>
        <w:t xml:space="preserve">Contenido (</w:t>
      </w:r>
      <w:r>
        <w:rPr>
          <w:bCs/>
          <w:b/>
        </w:rPr>
        <w:t xml:space="preserve">Artículo 17</w:t>
      </w:r>
      <w:r>
        <w:t xml:space="preserve">):</w:t>
      </w:r>
    </w:p>
    <w:p>
      <w:pPr>
        <w:numPr>
          <w:ilvl w:val="0"/>
          <w:numId w:val="1045"/>
        </w:numPr>
        <w:pStyle w:val="Compact"/>
      </w:pPr>
      <w:r>
        <w:t xml:space="preserve">En el primer trimestre de cada año:</w:t>
      </w:r>
    </w:p>
    <w:p>
      <w:pPr>
        <w:numPr>
          <w:ilvl w:val="1"/>
          <w:numId w:val="1046"/>
        </w:numPr>
        <w:pStyle w:val="Compact"/>
      </w:pPr>
      <w:r>
        <w:t xml:space="preserve">Los departamentos y, en su caso, los defensores, presentarán al consejo de administración o equivalente un informe explicativo del desarrollo de su función.</w:t>
      </w:r>
    </w:p>
    <w:p>
      <w:pPr>
        <w:numPr>
          <w:ilvl w:val="0"/>
          <w:numId w:val="1045"/>
        </w:numPr>
        <w:pStyle w:val="Compact"/>
      </w:pPr>
      <w:r>
        <w:t xml:space="preserve">Contenido mínimo:</w:t>
      </w:r>
    </w:p>
    <w:p>
      <w:pPr>
        <w:numPr>
          <w:ilvl w:val="1"/>
          <w:numId w:val="1047"/>
        </w:numPr>
        <w:pStyle w:val="Compact"/>
      </w:pPr>
      <w:r>
        <w:t xml:space="preserve">Resumen estadístico de las quejas y reclamaciones atendidas</w:t>
      </w:r>
    </w:p>
    <w:p>
      <w:pPr>
        <w:numPr>
          <w:ilvl w:val="1"/>
          <w:numId w:val="1047"/>
        </w:numPr>
        <w:pStyle w:val="Compact"/>
      </w:pPr>
      <w:r>
        <w:t xml:space="preserve">Resumen de las decisiones dictadas y su carácter favorable o desfavorable</w:t>
      </w:r>
    </w:p>
    <w:p>
      <w:pPr>
        <w:numPr>
          <w:ilvl w:val="1"/>
          <w:numId w:val="1047"/>
        </w:numPr>
        <w:pStyle w:val="Compact"/>
      </w:pPr>
      <w:r>
        <w:t xml:space="preserve">Criterios generales en las decisiones</w:t>
      </w:r>
    </w:p>
    <w:p>
      <w:pPr>
        <w:numPr>
          <w:ilvl w:val="1"/>
          <w:numId w:val="1047"/>
        </w:numPr>
        <w:pStyle w:val="Compact"/>
      </w:pPr>
      <w:r>
        <w:t xml:space="preserve">Recomendaciones o sugerencias</w:t>
      </w:r>
    </w:p>
    <w:p>
      <w:pPr>
        <w:numPr>
          <w:ilvl w:val="0"/>
          <w:numId w:val="1045"/>
        </w:numPr>
        <w:pStyle w:val="Compact"/>
      </w:pPr>
      <w:r>
        <w:t xml:space="preserve">La memoria anual de las entidades debe contener al menos un resumen del informe.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Resumen_10032022.git</dc:title>
  <dc:creator>Niklas Hess</dc:creator>
  <cp:keywords/>
  <dcterms:created xsi:type="dcterms:W3CDTF">2022-10-04T04:19:51Z</dcterms:created>
  <dcterms:modified xsi:type="dcterms:W3CDTF">2022-10-04T04:19:51Z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2022-10-04</vt:lpwstr>
  </property>
  <property fmtid="{D5CDD505-2E9C-101B-9397-08002B2CF9AE}" pid="3" name="output">
    <vt:lpwstr>word_document</vt:lpwstr>
  </property>
</Properties>
</file>