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7367" w:rsidRDefault="00737367">
      <w:pPr>
        <w:pStyle w:val="BodyText"/>
        <w:jc w:val="center"/>
        <w:rPr>
          <w:b/>
          <w:caps/>
          <w:sz w:val="28"/>
          <w:szCs w:val="28"/>
        </w:rPr>
      </w:pPr>
      <w:r w:rsidRPr="00737367">
        <w:rPr>
          <w:b/>
          <w:caps/>
          <w:sz w:val="28"/>
          <w:szCs w:val="28"/>
        </w:rPr>
        <w:t xml:space="preserve">Сравнение подходов обучения на базе словаря и MAP </w:t>
      </w:r>
      <w:proofErr w:type="gramStart"/>
      <w:r w:rsidRPr="00737367">
        <w:rPr>
          <w:b/>
          <w:caps/>
          <w:sz w:val="28"/>
          <w:szCs w:val="28"/>
        </w:rPr>
        <w:t>к</w:t>
      </w:r>
      <w:proofErr w:type="gramEnd"/>
      <w:r w:rsidRPr="00737367">
        <w:rPr>
          <w:b/>
          <w:caps/>
          <w:sz w:val="28"/>
          <w:szCs w:val="28"/>
        </w:rPr>
        <w:t xml:space="preserve"> проблеме повышения разрешения на примере изображений автомобильных номеров</w:t>
      </w:r>
    </w:p>
    <w:p w:rsidR="00CB2A84" w:rsidRDefault="00CB2A84">
      <w:pPr>
        <w:pStyle w:val="BodyText"/>
        <w:jc w:val="center"/>
        <w:rPr>
          <w:szCs w:val="20"/>
        </w:rPr>
      </w:pPr>
      <w:r>
        <w:rPr>
          <w:szCs w:val="20"/>
        </w:rPr>
        <w:t xml:space="preserve">Улитин. А. А., студент кафедры системного программирования СПбГУ, </w:t>
      </w:r>
      <w:hyperlink r:id="rId8" w:history="1">
        <w:r w:rsidRPr="00BA59E7">
          <w:rPr>
            <w:rStyle w:val="Hyperlink"/>
            <w:szCs w:val="20"/>
            <w:lang w:val="en-US" w:eastAsia="zh-CN" w:bidi="hi-IN"/>
          </w:rPr>
          <w:t>alexander</w:t>
        </w:r>
        <w:r w:rsidRPr="00BA59E7">
          <w:rPr>
            <w:rStyle w:val="Hyperlink"/>
            <w:szCs w:val="20"/>
            <w:lang w:val="ru-RU" w:eastAsia="zh-CN" w:bidi="hi-IN"/>
          </w:rPr>
          <w:t>.</w:t>
        </w:r>
        <w:r w:rsidRPr="00BA59E7">
          <w:rPr>
            <w:rStyle w:val="Hyperlink"/>
            <w:szCs w:val="20"/>
            <w:lang w:val="en-US" w:eastAsia="zh-CN" w:bidi="hi-IN"/>
          </w:rPr>
          <w:t>a</w:t>
        </w:r>
        <w:r w:rsidRPr="00BA59E7">
          <w:rPr>
            <w:rStyle w:val="Hyperlink"/>
            <w:szCs w:val="20"/>
            <w:lang w:val="ru-RU" w:eastAsia="zh-CN" w:bidi="hi-IN"/>
          </w:rPr>
          <w:t>.</w:t>
        </w:r>
        <w:r w:rsidRPr="00BA59E7">
          <w:rPr>
            <w:rStyle w:val="Hyperlink"/>
            <w:szCs w:val="20"/>
            <w:lang w:val="en-US" w:eastAsia="zh-CN" w:bidi="hi-IN"/>
          </w:rPr>
          <w:t>ulitin</w:t>
        </w:r>
        <w:r w:rsidRPr="00BA59E7">
          <w:rPr>
            <w:rStyle w:val="Hyperlink"/>
            <w:szCs w:val="20"/>
            <w:lang w:val="ru-RU" w:eastAsia="zh-CN" w:bidi="hi-IN"/>
          </w:rPr>
          <w:t>@</w:t>
        </w:r>
        <w:r w:rsidRPr="00BA59E7">
          <w:rPr>
            <w:rStyle w:val="Hyperlink"/>
            <w:szCs w:val="20"/>
            <w:lang w:val="en-US" w:eastAsia="zh-CN" w:bidi="hi-IN"/>
          </w:rPr>
          <w:t>gmail</w:t>
        </w:r>
        <w:r w:rsidRPr="00BA59E7">
          <w:rPr>
            <w:rStyle w:val="Hyperlink"/>
            <w:szCs w:val="20"/>
            <w:lang w:val="ru-RU" w:eastAsia="zh-CN" w:bidi="hi-IN"/>
          </w:rPr>
          <w:t>.</w:t>
        </w:r>
        <w:r w:rsidRPr="00BA59E7">
          <w:rPr>
            <w:rStyle w:val="Hyperlink"/>
            <w:szCs w:val="20"/>
            <w:lang w:val="en-US" w:eastAsia="zh-CN" w:bidi="hi-IN"/>
          </w:rPr>
          <w:t>com</w:t>
        </w:r>
      </w:hyperlink>
    </w:p>
    <w:p w:rsidR="00010D14" w:rsidRDefault="00010D14">
      <w:pPr>
        <w:pStyle w:val="BodyText"/>
        <w:ind w:firstLine="0"/>
        <w:jc w:val="center"/>
      </w:pPr>
      <w:r>
        <w:rPr>
          <w:b/>
          <w:bCs/>
          <w:sz w:val="24"/>
        </w:rPr>
        <w:t>Аннотация</w:t>
      </w:r>
    </w:p>
    <w:p w:rsidR="005B4006" w:rsidRDefault="00CB2A84" w:rsidP="005B4006">
      <w:pPr>
        <w:pStyle w:val="Abstract"/>
      </w:pPr>
      <w:r w:rsidRPr="00CB2A84">
        <w:t xml:space="preserve">В докладе будет дано сравнение двух известных подходов к проблеме повышения разрешения: на базе обучения словаря и </w:t>
      </w:r>
      <w:proofErr w:type="spellStart"/>
      <w:r w:rsidRPr="00CB2A84">
        <w:t>maximum</w:t>
      </w:r>
      <w:proofErr w:type="spellEnd"/>
      <w:r w:rsidRPr="00CB2A84">
        <w:t xml:space="preserve"> a </w:t>
      </w:r>
      <w:proofErr w:type="spellStart"/>
      <w:r w:rsidRPr="00CB2A84">
        <w:t>posteriori</w:t>
      </w:r>
      <w:proofErr w:type="spellEnd"/>
      <w:r w:rsidRPr="00CB2A84">
        <w:t xml:space="preserve"> оценивания с использованием некой заранее заданной функции плотности вероятности. Сравнение будет делаться на примере разработанной собственными силами базы данных автомобильных номеров.</w:t>
      </w:r>
    </w:p>
    <w:p w:rsidR="00010D14" w:rsidRDefault="00010D14">
      <w:pPr>
        <w:pStyle w:val="Heading1"/>
        <w:rPr>
          <w:sz w:val="20"/>
          <w:szCs w:val="20"/>
        </w:rPr>
      </w:pPr>
      <w:r>
        <w:t>Введение</w:t>
      </w:r>
    </w:p>
    <w:p w:rsidR="00010D14" w:rsidRDefault="00010D14">
      <w:pPr>
        <w:pStyle w:val="Heading1"/>
        <w:rPr>
          <w:sz w:val="20"/>
          <w:szCs w:val="20"/>
        </w:rPr>
      </w:pPr>
      <w:r>
        <w:t>Формат конференции (заголовок I уровня)</w:t>
      </w:r>
    </w:p>
    <w:p w:rsidR="00010D14" w:rsidRDefault="00010D14">
      <w:pPr>
        <w:pStyle w:val="BodyText"/>
        <w:spacing w:line="100" w:lineRule="atLeast"/>
        <w:rPr>
          <w:szCs w:val="20"/>
        </w:rPr>
      </w:pPr>
      <w:r>
        <w:rPr>
          <w:szCs w:val="20"/>
        </w:rPr>
        <w:t>Формат конференции подразумевает выступление с интересным и содержательным докладом, по итогам доклада рекомендуются к публикации в сборнике конференции тезисы, в отношении которых справедливо:</w:t>
      </w:r>
    </w:p>
    <w:p w:rsidR="00010D14" w:rsidRDefault="00010D14">
      <w:pPr>
        <w:pStyle w:val="BodyText"/>
        <w:numPr>
          <w:ilvl w:val="0"/>
          <w:numId w:val="4"/>
        </w:numPr>
        <w:spacing w:line="100" w:lineRule="atLeast"/>
        <w:rPr>
          <w:szCs w:val="20"/>
        </w:rPr>
      </w:pPr>
      <w:proofErr w:type="gramStart"/>
      <w:r>
        <w:rPr>
          <w:szCs w:val="20"/>
        </w:rPr>
        <w:t>текст</w:t>
      </w:r>
      <w:proofErr w:type="gramEnd"/>
      <w:r>
        <w:rPr>
          <w:szCs w:val="20"/>
        </w:rPr>
        <w:t>, содержит:</w:t>
      </w:r>
    </w:p>
    <w:p w:rsidR="00010D14" w:rsidRDefault="00010D14">
      <w:pPr>
        <w:pStyle w:val="BodyText"/>
        <w:numPr>
          <w:ilvl w:val="1"/>
          <w:numId w:val="4"/>
        </w:numPr>
        <w:spacing w:line="100" w:lineRule="atLeast"/>
        <w:rPr>
          <w:szCs w:val="20"/>
        </w:rPr>
      </w:pPr>
      <w:proofErr w:type="gramStart"/>
      <w:r>
        <w:rPr>
          <w:szCs w:val="20"/>
        </w:rPr>
        <w:t>аннотацию</w:t>
      </w:r>
      <w:proofErr w:type="gramEnd"/>
      <w:r>
        <w:rPr>
          <w:szCs w:val="20"/>
        </w:rPr>
        <w:t>;</w:t>
      </w:r>
    </w:p>
    <w:p w:rsidR="00010D14" w:rsidRDefault="00010D14">
      <w:pPr>
        <w:pStyle w:val="BodyText"/>
        <w:numPr>
          <w:ilvl w:val="1"/>
          <w:numId w:val="4"/>
        </w:numPr>
        <w:spacing w:line="100" w:lineRule="atLeast"/>
        <w:rPr>
          <w:szCs w:val="20"/>
        </w:rPr>
      </w:pPr>
      <w:proofErr w:type="gramStart"/>
      <w:r>
        <w:rPr>
          <w:szCs w:val="20"/>
        </w:rPr>
        <w:t>введение</w:t>
      </w:r>
      <w:proofErr w:type="gramEnd"/>
      <w:r>
        <w:rPr>
          <w:szCs w:val="20"/>
        </w:rPr>
        <w:t>;</w:t>
      </w:r>
    </w:p>
    <w:p w:rsidR="00010D14" w:rsidRDefault="00010D14">
      <w:pPr>
        <w:pStyle w:val="BodyText"/>
        <w:numPr>
          <w:ilvl w:val="1"/>
          <w:numId w:val="4"/>
        </w:numPr>
        <w:spacing w:line="100" w:lineRule="atLeast"/>
        <w:rPr>
          <w:szCs w:val="20"/>
        </w:rPr>
      </w:pPr>
      <w:proofErr w:type="gramStart"/>
      <w:r>
        <w:rPr>
          <w:szCs w:val="20"/>
        </w:rPr>
        <w:t>один</w:t>
      </w:r>
      <w:proofErr w:type="gramEnd"/>
      <w:r>
        <w:rPr>
          <w:szCs w:val="20"/>
        </w:rPr>
        <w:t xml:space="preserve"> или несколько разделов;</w:t>
      </w:r>
    </w:p>
    <w:p w:rsidR="00010D14" w:rsidRDefault="00010D14">
      <w:pPr>
        <w:pStyle w:val="BodyText"/>
        <w:numPr>
          <w:ilvl w:val="1"/>
          <w:numId w:val="4"/>
        </w:numPr>
        <w:spacing w:line="100" w:lineRule="atLeast"/>
        <w:rPr>
          <w:szCs w:val="20"/>
        </w:rPr>
      </w:pPr>
      <w:proofErr w:type="gramStart"/>
      <w:r>
        <w:rPr>
          <w:szCs w:val="20"/>
        </w:rPr>
        <w:t>заключение</w:t>
      </w:r>
      <w:proofErr w:type="gramEnd"/>
      <w:r>
        <w:rPr>
          <w:szCs w:val="20"/>
        </w:rPr>
        <w:t>;</w:t>
      </w:r>
    </w:p>
    <w:p w:rsidR="00010D14" w:rsidRDefault="00010D14">
      <w:pPr>
        <w:pStyle w:val="BodyText"/>
        <w:numPr>
          <w:ilvl w:val="1"/>
          <w:numId w:val="4"/>
        </w:numPr>
        <w:spacing w:line="100" w:lineRule="atLeast"/>
        <w:rPr>
          <w:szCs w:val="20"/>
        </w:rPr>
      </w:pPr>
      <w:proofErr w:type="gramStart"/>
      <w:r>
        <w:rPr>
          <w:szCs w:val="20"/>
        </w:rPr>
        <w:t>список</w:t>
      </w:r>
      <w:proofErr w:type="gramEnd"/>
      <w:r>
        <w:rPr>
          <w:szCs w:val="20"/>
        </w:rPr>
        <w:t xml:space="preserve"> литературы;</w:t>
      </w:r>
    </w:p>
    <w:p w:rsidR="00010D14" w:rsidRDefault="00010D14">
      <w:pPr>
        <w:pStyle w:val="BodyText"/>
        <w:numPr>
          <w:ilvl w:val="0"/>
          <w:numId w:val="4"/>
        </w:numPr>
        <w:spacing w:line="100" w:lineRule="atLeast"/>
        <w:rPr>
          <w:szCs w:val="20"/>
        </w:rPr>
      </w:pPr>
      <w:proofErr w:type="gramStart"/>
      <w:r>
        <w:rPr>
          <w:szCs w:val="20"/>
        </w:rPr>
        <w:t>объём</w:t>
      </w:r>
      <w:proofErr w:type="gramEnd"/>
      <w:r>
        <w:rPr>
          <w:szCs w:val="20"/>
        </w:rPr>
        <w:t xml:space="preserve"> текста (всего кроме списка литературы) от 650 до 1250 слов; если это требование нарушено, то решение о включении тезисов в сборник принимает программный комитет, опираясь, в основном, на мнение руководителя секции, на которой прозвучал доклад;</w:t>
      </w:r>
    </w:p>
    <w:p w:rsidR="00010D14" w:rsidRDefault="00010D14">
      <w:pPr>
        <w:pStyle w:val="BodyText"/>
        <w:numPr>
          <w:ilvl w:val="0"/>
          <w:numId w:val="4"/>
        </w:numPr>
        <w:spacing w:line="100" w:lineRule="atLeast"/>
      </w:pPr>
      <w:proofErr w:type="gramStart"/>
      <w:r>
        <w:rPr>
          <w:szCs w:val="20"/>
        </w:rPr>
        <w:t>основной</w:t>
      </w:r>
      <w:proofErr w:type="gramEnd"/>
      <w:r>
        <w:rPr>
          <w:szCs w:val="20"/>
        </w:rPr>
        <w:t xml:space="preserve"> язык конференции русский, однако члены программного комитета могут (и будут стараться) приглашать иностранных докладчиков, тезисы докладов которых могут публиковаться по-английски; публикации на прочих языках отдельно согласуются с программным комитетом. </w:t>
      </w:r>
    </w:p>
    <w:p w:rsidR="00010D14" w:rsidRDefault="00010D14">
      <w:pPr>
        <w:pStyle w:val="Heading1"/>
        <w:numPr>
          <w:ilvl w:val="0"/>
          <w:numId w:val="0"/>
        </w:numPr>
      </w:pPr>
      <w:r>
        <w:lastRenderedPageBreak/>
        <w:t>Форматирование тезисов (заголовок I уровня)</w:t>
      </w:r>
    </w:p>
    <w:p w:rsidR="00010D14" w:rsidRDefault="00010D14">
      <w:pPr>
        <w:pStyle w:val="Heading2"/>
      </w:pPr>
      <w:r>
        <w:t>Основной текст (заголовок II уровня)</w:t>
      </w:r>
    </w:p>
    <w:p w:rsidR="00010D14" w:rsidRDefault="00010D14">
      <w:pPr>
        <w:pStyle w:val="BodyText"/>
      </w:pPr>
      <w:r>
        <w:t>Основной текст тезисов отформатирован следующим образом:</w:t>
      </w:r>
    </w:p>
    <w:p w:rsidR="00010D14" w:rsidRPr="005C59DC" w:rsidRDefault="00010D14">
      <w:pPr>
        <w:pStyle w:val="BodyText"/>
        <w:numPr>
          <w:ilvl w:val="0"/>
          <w:numId w:val="5"/>
        </w:numPr>
        <w:rPr>
          <w:lang w:val="en-US"/>
        </w:rPr>
      </w:pPr>
      <w:proofErr w:type="gramStart"/>
      <w:r>
        <w:t>шрифт</w:t>
      </w:r>
      <w:proofErr w:type="gramEnd"/>
      <w:r w:rsidRPr="005C59DC">
        <w:rPr>
          <w:lang w:val="en-US"/>
        </w:rPr>
        <w:t xml:space="preserve"> Times New Roman, </w:t>
      </w:r>
      <w:r>
        <w:t>кегль</w:t>
      </w:r>
      <w:r w:rsidRPr="005C59DC">
        <w:rPr>
          <w:lang w:val="en-US"/>
        </w:rPr>
        <w:t xml:space="preserve"> 10</w:t>
      </w:r>
    </w:p>
    <w:p w:rsidR="00010D14" w:rsidRDefault="00010D14">
      <w:pPr>
        <w:pStyle w:val="BodyText"/>
        <w:numPr>
          <w:ilvl w:val="0"/>
          <w:numId w:val="5"/>
        </w:numPr>
      </w:pPr>
      <w:proofErr w:type="gramStart"/>
      <w:r>
        <w:t>первая</w:t>
      </w:r>
      <w:proofErr w:type="gramEnd"/>
      <w:r>
        <w:t xml:space="preserve"> страница: Все поля по 17 мм</w:t>
      </w:r>
    </w:p>
    <w:p w:rsidR="00010D14" w:rsidRDefault="00010D14">
      <w:pPr>
        <w:pStyle w:val="BodyText"/>
        <w:numPr>
          <w:ilvl w:val="0"/>
          <w:numId w:val="5"/>
        </w:numPr>
      </w:pPr>
      <w:proofErr w:type="gramStart"/>
      <w:r>
        <w:t>последующие</w:t>
      </w:r>
      <w:proofErr w:type="gramEnd"/>
      <w:r>
        <w:t xml:space="preserve"> страницы:</w:t>
      </w:r>
    </w:p>
    <w:p w:rsidR="00010D14" w:rsidRDefault="00010D14">
      <w:pPr>
        <w:pStyle w:val="BodyText"/>
        <w:numPr>
          <w:ilvl w:val="1"/>
          <w:numId w:val="5"/>
        </w:numPr>
      </w:pPr>
      <w:proofErr w:type="gramStart"/>
      <w:r>
        <w:t>все</w:t>
      </w:r>
      <w:proofErr w:type="gramEnd"/>
      <w:r>
        <w:t xml:space="preserve"> поля, кроме верхнего, по 17 мм;</w:t>
      </w:r>
    </w:p>
    <w:p w:rsidR="00010D14" w:rsidRDefault="00010D14">
      <w:pPr>
        <w:pStyle w:val="BodyText"/>
        <w:numPr>
          <w:ilvl w:val="1"/>
          <w:numId w:val="5"/>
        </w:numPr>
      </w:pPr>
      <w:proofErr w:type="gramStart"/>
      <w:r>
        <w:t>верхнее</w:t>
      </w:r>
      <w:proofErr w:type="gramEnd"/>
      <w:r>
        <w:t xml:space="preserve"> поле 15 мм + верхний колонтитул 5 мм;</w:t>
      </w:r>
    </w:p>
    <w:p w:rsidR="00010D14" w:rsidRDefault="00010D14">
      <w:pPr>
        <w:pStyle w:val="BodyText"/>
        <w:numPr>
          <w:ilvl w:val="0"/>
          <w:numId w:val="5"/>
        </w:numPr>
      </w:pPr>
      <w:proofErr w:type="gramStart"/>
      <w:r>
        <w:t>аннотация</w:t>
      </w:r>
      <w:proofErr w:type="gramEnd"/>
      <w:r>
        <w:t xml:space="preserve"> имеет дополнительные отступы по 10 мм слева и справа.</w:t>
      </w:r>
    </w:p>
    <w:p w:rsidR="00010D14" w:rsidRDefault="00010D14">
      <w:pPr>
        <w:pStyle w:val="Heading2"/>
        <w:rPr>
          <w:sz w:val="20"/>
          <w:szCs w:val="20"/>
        </w:rPr>
      </w:pPr>
      <w:r>
        <w:t>Цитаты, врезки изображений (заголовок II уровня)</w:t>
      </w:r>
    </w:p>
    <w:p w:rsidR="00010D14" w:rsidRDefault="00010D14">
      <w:pPr>
        <w:pStyle w:val="BodyText"/>
        <w:spacing w:line="100" w:lineRule="atLeast"/>
        <w:rPr>
          <w:i/>
          <w:iCs/>
          <w:szCs w:val="20"/>
        </w:rPr>
      </w:pPr>
      <w:r>
        <w:rPr>
          <w:szCs w:val="20"/>
        </w:rPr>
        <w:t>Ниже процитирован отрывок из Метафизики Аристотеля. Отметим, что данная цитата несёт некоторую смысловую нагрузку и в контексте данного документа, показывая, что цитаты следует выделять курсивом.</w:t>
      </w:r>
    </w:p>
    <w:p w:rsidR="00010D14" w:rsidRDefault="00010D14">
      <w:pPr>
        <w:pStyle w:val="BodyText"/>
        <w:spacing w:line="100" w:lineRule="atLeast"/>
      </w:pPr>
      <w:r>
        <w:rPr>
          <w:i/>
          <w:iCs/>
          <w:szCs w:val="20"/>
        </w:rPr>
        <w:t xml:space="preserve">… В самом деле, определенное умение читать и писать принадлежит к тому, что находится в подлежащем, но ни о каком подлежащем не говорится как об определенном умении читать и </w:t>
      </w:r>
      <w:proofErr w:type="gramStart"/>
      <w:r>
        <w:rPr>
          <w:i/>
          <w:iCs/>
          <w:szCs w:val="20"/>
        </w:rPr>
        <w:t>писать)...</w:t>
      </w:r>
      <w:proofErr w:type="gramEnd"/>
    </w:p>
    <w:p w:rsidR="00010D14" w:rsidRDefault="003711DC">
      <w:pPr>
        <w:pStyle w:val="a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1465580" cy="2035175"/>
            <wp:effectExtent l="0" t="0" r="127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2035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D14">
        <w:t>Рисунок 1: Аристотель глазами составителей Нюрнбергской хроники, 1493</w:t>
      </w:r>
    </w:p>
    <w:p w:rsidR="00010D14" w:rsidRDefault="00010D14">
      <w:pPr>
        <w:pStyle w:val="BodyText"/>
      </w:pPr>
      <w:r>
        <w:t xml:space="preserve">Добавим лишь, что Аристотель в Нюрнбергской хронике был изображён в цвете, но мы, издавая сборник в XXI веке, будем этой возможности лишены (см. Рис. 1). Поэтому разные цвета на иллюстрациях желательно заменять разными текстурами и штриховкой, а фотографии </w:t>
      </w:r>
      <w:r>
        <w:lastRenderedPageBreak/>
        <w:t>обесцвечивать, так как это будет более предсказуемо выглядеть в твёрдой копии.</w:t>
      </w:r>
    </w:p>
    <w:p w:rsidR="00010D14" w:rsidRDefault="00010D14">
      <w:pPr>
        <w:pStyle w:val="Heading2"/>
        <w:rPr>
          <w:sz w:val="20"/>
          <w:szCs w:val="20"/>
        </w:rPr>
      </w:pPr>
      <w:r>
        <w:t>Прочие врезки и ссылки (заголовок II уровня)</w:t>
      </w:r>
    </w:p>
    <w:p w:rsidR="00010D14" w:rsidRDefault="00010D14">
      <w:pPr>
        <w:pStyle w:val="BodyText"/>
        <w:spacing w:line="100" w:lineRule="atLeast"/>
        <w:rPr>
          <w:szCs w:val="20"/>
        </w:rPr>
      </w:pPr>
      <w:r>
        <w:rPr>
          <w:szCs w:val="20"/>
        </w:rPr>
        <w:t>При врезке графиков и диаграмм следует придерживаться тех же правил, что и при врезке изображений. Отдельно настоятельно рекомендуется графики и диаграммы врезать, используя векторные форматы изображений, так как это, опять же, более предсказуемо выглядит в твёрдой копии.</w:t>
      </w:r>
    </w:p>
    <w:p w:rsidR="00010D14" w:rsidRDefault="00010D14">
      <w:pPr>
        <w:pStyle w:val="BodyText"/>
        <w:spacing w:line="100" w:lineRule="atLeast"/>
        <w:rPr>
          <w:szCs w:val="20"/>
        </w:rPr>
      </w:pPr>
      <w:r>
        <w:rPr>
          <w:szCs w:val="20"/>
        </w:rPr>
        <w:t>При наборе формул просьба по возможности использовать встроенные средства офисного пакета.</w:t>
      </w:r>
    </w:p>
    <w:p w:rsidR="00010D14" w:rsidRDefault="00010D14">
      <w:pPr>
        <w:pStyle w:val="BodyText"/>
        <w:spacing w:line="100" w:lineRule="atLeast"/>
      </w:pPr>
      <w:r>
        <w:rPr>
          <w:szCs w:val="20"/>
        </w:rPr>
        <w:t xml:space="preserve">Фрагменты текстов программ следует вставлять </w:t>
      </w:r>
      <w:proofErr w:type="spellStart"/>
      <w:r>
        <w:rPr>
          <w:szCs w:val="20"/>
        </w:rPr>
        <w:t>моноширинным</w:t>
      </w:r>
      <w:proofErr w:type="spellEnd"/>
      <w:r>
        <w:rPr>
          <w:szCs w:val="20"/>
        </w:rPr>
        <w:t xml:space="preserve"> шрифтом:</w:t>
      </w:r>
    </w:p>
    <w:p w:rsidR="00010D14" w:rsidRDefault="00010D14">
      <w:pPr>
        <w:pStyle w:val="a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10D14" w:rsidRDefault="00010D14">
      <w:pPr>
        <w:pStyle w:val="a0"/>
      </w:pPr>
      <w:r>
        <w:t>{</w:t>
      </w:r>
    </w:p>
    <w:p w:rsidR="00010D14" w:rsidRDefault="00010D14">
      <w:pPr>
        <w:pStyle w:val="a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10D14" w:rsidRDefault="00010D14">
      <w:pPr>
        <w:pStyle w:val="a0"/>
        <w:rPr>
          <w:rFonts w:ascii="Times New Roman" w:hAnsi="Times New Roman"/>
          <w:sz w:val="20"/>
          <w:szCs w:val="20"/>
        </w:rPr>
      </w:pPr>
      <w:r>
        <w:t>}</w:t>
      </w:r>
      <w:bookmarkStart w:id="0" w:name="_GoBack"/>
      <w:bookmarkEnd w:id="0"/>
    </w:p>
    <w:p w:rsidR="00010D14" w:rsidRDefault="00010D14">
      <w:pPr>
        <w:pStyle w:val="BodyText"/>
        <w:spacing w:line="100" w:lineRule="atLeast"/>
        <w:rPr>
          <w:szCs w:val="20"/>
        </w:rPr>
      </w:pPr>
      <w:r>
        <w:rPr>
          <w:szCs w:val="20"/>
        </w:rPr>
        <w:t>Библиографические ссылки следует заключать в квадр</w:t>
      </w:r>
      <w:r w:rsidR="00657B2D">
        <w:rPr>
          <w:szCs w:val="20"/>
        </w:rPr>
        <w:t>атные скобки </w:t>
      </w:r>
    </w:p>
    <w:p w:rsidR="00010D14" w:rsidRDefault="00010D14">
      <w:pPr>
        <w:pStyle w:val="Heading1"/>
        <w:rPr>
          <w:sz w:val="20"/>
          <w:szCs w:val="20"/>
        </w:rPr>
      </w:pPr>
      <w:r>
        <w:t>Заключение</w:t>
      </w:r>
    </w:p>
    <w:p w:rsidR="00010D14" w:rsidRDefault="00010D14">
      <w:pPr>
        <w:pStyle w:val="BodyText"/>
        <w:spacing w:line="100" w:lineRule="atLeast"/>
      </w:pPr>
      <w:r>
        <w:rPr>
          <w:szCs w:val="20"/>
        </w:rPr>
        <w:t>В документе были представлены основные стили текста, которые могут быть использованы при форматировании тезисов конференции СПИСОК-2012. Собственные тезисы рекомендуется набирать в этом документе, заменяя текст и заголовки на свои.</w:t>
      </w:r>
    </w:p>
    <w:p w:rsidR="00010D14" w:rsidRDefault="00010D14">
      <w:pPr>
        <w:pStyle w:val="TableofAuthorities"/>
      </w:pPr>
      <w:r>
        <w:t>Литература</w:t>
      </w:r>
    </w:p>
    <w:p w:rsidR="005B4006" w:rsidRDefault="00010D14">
      <w:pPr>
        <w:pStyle w:val="Bibliography1"/>
        <w:numPr>
          <w:ilvl w:val="0"/>
          <w:numId w:val="3"/>
        </w:numPr>
      </w:pPr>
      <w:r>
        <w:t xml:space="preserve">Медведев О.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отладка реализации RISC процессора для FPGA / Медведев О. // Материалы 2-й межвузовской научной конференции по проблемам информатики «СПИСОК-2011». — 2011. — С. 7–12. </w:t>
      </w:r>
      <w:hyperlink r:id="rId10" w:history="1">
        <w:r>
          <w:rPr>
            <w:rStyle w:val="Hyperlink"/>
          </w:rPr>
          <w:t>http://spisok.math.spbu.ru/txt/SPISOK-2011.pdf</w:t>
        </w:r>
      </w:hyperlink>
      <w:r>
        <w:t xml:space="preserve"> [дата просмотра: 07.04.20</w:t>
      </w:r>
    </w:p>
    <w:sdt>
      <w:sdtPr>
        <w:id w:val="727806015"/>
        <w:docPartObj>
          <w:docPartGallery w:val="Bibliographies"/>
          <w:docPartUnique/>
        </w:docPartObj>
      </w:sdtPr>
      <w:sdtEndPr>
        <w:rPr>
          <w:b w:val="0"/>
          <w:bCs w:val="0"/>
          <w:szCs w:val="24"/>
        </w:rPr>
      </w:sdtEndPr>
      <w:sdtContent>
        <w:p w:rsidR="00657B2D" w:rsidRDefault="00657B2D">
          <w:pPr>
            <w:pStyle w:val="Heading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657B2D" w:rsidRDefault="00657B2D" w:rsidP="00657B2D">
              <w:pPr>
                <w:rPr>
                  <w:rFonts w:eastAsia="Times New Roman" w:cs="Times New Roman"/>
                  <w:noProof/>
                  <w:kern w:val="0"/>
                  <w:sz w:val="20"/>
                  <w:szCs w:val="20"/>
                  <w:lang w:eastAsia="ru-RU" w:bidi="ar-SA"/>
                </w:rPr>
              </w:pPr>
              <w:r>
                <w:fldChar w:fldCharType="begin"/>
              </w:r>
              <w:r w:rsidRPr="00657B2D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6108"/>
              </w:tblGrid>
              <w:tr w:rsidR="00657B2D" w:rsidRPr="00657B2D">
                <w:trPr>
                  <w:divId w:val="7717025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7B2D" w:rsidRDefault="00657B2D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7B2D" w:rsidRPr="00657B2D" w:rsidRDefault="00657B2D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657B2D">
                      <w:rPr>
                        <w:noProof/>
                        <w:lang w:val="en-US"/>
                      </w:rPr>
                      <w:t xml:space="preserve">K. Suresh, G. M. Kumar </w:t>
                    </w:r>
                    <w:r>
                      <w:rPr>
                        <w:noProof/>
                      </w:rPr>
                      <w:t>и</w:t>
                    </w:r>
                    <w:r w:rsidRPr="00657B2D">
                      <w:rPr>
                        <w:noProof/>
                        <w:lang w:val="en-US"/>
                      </w:rPr>
                      <w:t xml:space="preserve"> A. Rajagopalan, «Superresolution of license plates in real traffic videos,» </w:t>
                    </w:r>
                    <w:r w:rsidRPr="00657B2D">
                      <w:rPr>
                        <w:i/>
                        <w:iCs/>
                        <w:noProof/>
                        <w:lang w:val="en-US"/>
                      </w:rPr>
                      <w:t xml:space="preserve">Intelligent Transportation Systems, IEEE Transactions on, </w:t>
                    </w:r>
                    <w:r>
                      <w:rPr>
                        <w:noProof/>
                      </w:rPr>
                      <w:t>т</w:t>
                    </w:r>
                    <w:r w:rsidRPr="00657B2D">
                      <w:rPr>
                        <w:noProof/>
                        <w:lang w:val="en-US"/>
                      </w:rPr>
                      <w:t xml:space="preserve">. 8, № 2, pp. 321-331, 2007. </w:t>
                    </w:r>
                  </w:p>
                </w:tc>
              </w:tr>
              <w:tr w:rsidR="00657B2D" w:rsidRPr="00657B2D">
                <w:trPr>
                  <w:divId w:val="7717025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7B2D" w:rsidRDefault="00657B2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7B2D" w:rsidRPr="00657B2D" w:rsidRDefault="00657B2D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657B2D">
                      <w:rPr>
                        <w:noProof/>
                        <w:lang w:val="en-US"/>
                      </w:rPr>
                      <w:t xml:space="preserve">P. M. K. K. M. G. Park S. C., «Super-resolution image reconstruction: a technical overview,» </w:t>
                    </w:r>
                    <w:r w:rsidRPr="00657B2D">
                      <w:rPr>
                        <w:i/>
                        <w:iCs/>
                        <w:noProof/>
                        <w:lang w:val="en-US"/>
                      </w:rPr>
                      <w:t xml:space="preserve">IEEE Signal Processing </w:t>
                    </w:r>
                    <w:r w:rsidRPr="00657B2D">
                      <w:rPr>
                        <w:i/>
                        <w:iCs/>
                        <w:noProof/>
                        <w:lang w:val="en-US"/>
                      </w:rPr>
                      <w:lastRenderedPageBreak/>
                      <w:t xml:space="preserve">Magazine, </w:t>
                    </w:r>
                    <w:r>
                      <w:rPr>
                        <w:noProof/>
                      </w:rPr>
                      <w:t>т</w:t>
                    </w:r>
                    <w:r w:rsidRPr="00657B2D">
                      <w:rPr>
                        <w:noProof/>
                        <w:lang w:val="en-US"/>
                      </w:rPr>
                      <w:t xml:space="preserve">. 20, pp. 21-36, 2003. </w:t>
                    </w:r>
                  </w:p>
                </w:tc>
              </w:tr>
              <w:tr w:rsidR="00657B2D" w:rsidRPr="00657B2D">
                <w:trPr>
                  <w:divId w:val="7717025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7B2D" w:rsidRDefault="00657B2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7B2D" w:rsidRPr="00657B2D" w:rsidRDefault="00657B2D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657B2D">
                      <w:rPr>
                        <w:noProof/>
                        <w:lang w:val="en-US"/>
                      </w:rPr>
                      <w:t xml:space="preserve">J. Tian </w:t>
                    </w:r>
                    <w:r>
                      <w:rPr>
                        <w:noProof/>
                      </w:rPr>
                      <w:t>и</w:t>
                    </w:r>
                    <w:r w:rsidRPr="00657B2D">
                      <w:rPr>
                        <w:noProof/>
                        <w:lang w:val="en-US"/>
                      </w:rPr>
                      <w:t xml:space="preserve"> K.-K. Ma, «A survey on super-resolution imaging,» </w:t>
                    </w:r>
                    <w:r w:rsidRPr="00657B2D">
                      <w:rPr>
                        <w:i/>
                        <w:iCs/>
                        <w:noProof/>
                        <w:lang w:val="en-US"/>
                      </w:rPr>
                      <w:t xml:space="preserve">Signal, Image and Video Processing, </w:t>
                    </w:r>
                    <w:r>
                      <w:rPr>
                        <w:noProof/>
                      </w:rPr>
                      <w:t>т</w:t>
                    </w:r>
                    <w:r w:rsidRPr="00657B2D">
                      <w:rPr>
                        <w:noProof/>
                        <w:lang w:val="en-US"/>
                      </w:rPr>
                      <w:t xml:space="preserve">. 5, № 3, pp. 329-342, 2011. </w:t>
                    </w:r>
                  </w:p>
                </w:tc>
              </w:tr>
              <w:tr w:rsidR="00657B2D" w:rsidRPr="00657B2D">
                <w:trPr>
                  <w:divId w:val="7717025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57B2D" w:rsidRDefault="00657B2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57B2D" w:rsidRPr="00657B2D" w:rsidRDefault="00657B2D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657B2D">
                      <w:rPr>
                        <w:noProof/>
                        <w:lang w:val="en-US"/>
                      </w:rPr>
                      <w:t xml:space="preserve">J. Yang, Z. Wang, Z. Lin, S. Cohen </w:t>
                    </w:r>
                    <w:r>
                      <w:rPr>
                        <w:noProof/>
                      </w:rPr>
                      <w:t>и</w:t>
                    </w:r>
                    <w:r w:rsidRPr="00657B2D">
                      <w:rPr>
                        <w:noProof/>
                        <w:lang w:val="en-US"/>
                      </w:rPr>
                      <w:t xml:space="preserve"> T. Huang, «Coupled dictionary training for image super-resolution,» </w:t>
                    </w:r>
                    <w:r w:rsidRPr="00657B2D">
                      <w:rPr>
                        <w:i/>
                        <w:iCs/>
                        <w:noProof/>
                        <w:lang w:val="en-US"/>
                      </w:rPr>
                      <w:t xml:space="preserve">Image Processing, IEEE Transactions on, </w:t>
                    </w:r>
                    <w:r>
                      <w:rPr>
                        <w:noProof/>
                      </w:rPr>
                      <w:t>т</w:t>
                    </w:r>
                    <w:r w:rsidRPr="00657B2D">
                      <w:rPr>
                        <w:noProof/>
                        <w:lang w:val="en-US"/>
                      </w:rPr>
                      <w:t xml:space="preserve">. 21, № 8, pp. 3467-3478, 2012. </w:t>
                    </w:r>
                  </w:p>
                </w:tc>
              </w:tr>
            </w:tbl>
            <w:p w:rsidR="00657B2D" w:rsidRPr="00657B2D" w:rsidRDefault="00657B2D">
              <w:pPr>
                <w:divId w:val="771702505"/>
                <w:rPr>
                  <w:rFonts w:eastAsia="Times New Roman"/>
                  <w:noProof/>
                  <w:lang w:val="en-US"/>
                </w:rPr>
              </w:pPr>
            </w:p>
            <w:p w:rsidR="00657B2D" w:rsidRDefault="00657B2D" w:rsidP="00657B2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57B2D" w:rsidRDefault="00657B2D" w:rsidP="00657B2D"/>
    <w:p w:rsidR="00657B2D" w:rsidRDefault="00657B2D" w:rsidP="00657B2D"/>
    <w:p w:rsidR="003711DC" w:rsidRPr="003711DC" w:rsidRDefault="003711DC" w:rsidP="003711DC">
      <w:pPr>
        <w:rPr>
          <w:lang w:val="en-US"/>
        </w:rPr>
      </w:pPr>
    </w:p>
    <w:p w:rsidR="003711DC" w:rsidRPr="003711DC" w:rsidRDefault="003711DC" w:rsidP="003711DC">
      <w:pPr>
        <w:pStyle w:val="Bibliography1"/>
        <w:rPr>
          <w:lang w:val="en-US"/>
        </w:rPr>
      </w:pPr>
    </w:p>
    <w:sectPr w:rsidR="003711DC" w:rsidRPr="003711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8391" w:h="11906"/>
      <w:pgMar w:top="96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9F" w:rsidRDefault="00E7719F">
      <w:r>
        <w:separator/>
      </w:r>
    </w:p>
  </w:endnote>
  <w:endnote w:type="continuationSeparator" w:id="0">
    <w:p w:rsidR="00E7719F" w:rsidRDefault="00E7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Zen Hei"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9F" w:rsidRDefault="00E7719F">
      <w:r>
        <w:separator/>
      </w:r>
    </w:p>
  </w:footnote>
  <w:footnote w:type="continuationSeparator" w:id="0">
    <w:p w:rsidR="00E7719F" w:rsidRDefault="00E77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DC"/>
    <w:rsid w:val="00010D14"/>
    <w:rsid w:val="00036F2A"/>
    <w:rsid w:val="003711DC"/>
    <w:rsid w:val="004D0D7F"/>
    <w:rsid w:val="005B4006"/>
    <w:rsid w:val="005C59DC"/>
    <w:rsid w:val="00657B2D"/>
    <w:rsid w:val="00737367"/>
    <w:rsid w:val="00C77962"/>
    <w:rsid w:val="00CB2A84"/>
    <w:rsid w:val="00E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F0A972F-A900-436C-B787-FDA344A8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pPr>
      <w:shd w:val="clear" w:color="auto" w:fill="E6E6E6"/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character" w:customStyle="1" w:styleId="Heading1Char">
    <w:name w:val="Heading 1 Char"/>
    <w:link w:val="Heading1"/>
    <w:uiPriority w:val="9"/>
    <w:rsid w:val="005B4006"/>
    <w:rPr>
      <w:rFonts w:eastAsia="WenQuanYi Zen Hei" w:cs="Lohit Hindi"/>
      <w:b/>
      <w:bCs/>
      <w:kern w:val="1"/>
      <w:sz w:val="24"/>
      <w:szCs w:val="32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3711D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a.ulitin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spisok.math.spbu.ru/txt/SPISOK-201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SourceType>JournalArticle</b:SourceType>
    <b:Tag>ParkS.C.2003</b:Tag>
    <b:Title>Super-resolution image reconstruction: a technical overview</b:Title>
    <b:Year>2003</b:Year>
    <b:Author>
      <b:Author>
        <b:NameList>
          <b:Person>
            <b:Last>Park S. C.</b:Last>
            <b:Middle>M. K., Kang M. G.</b:Middle>
            <b:First>Park</b:First>
          </b:Person>
        </b:NameList>
      </b:Author>
    </b:Author>
    <b:Pages>21-36</b:Pages>
    <b:Volume>20</b:Volume>
    <b:JournalName>IEEE Signal Processing Magazine</b:JournalName>
    <b:RefOrder>2</b:RefOrder>
  </b:Source>
  <b:Source>
    <b:SourceType>JournalArticle</b:SourceType>
    <b:Tag>suresh2007superresolution</b:Tag>
    <b:Title>Superresolution of license plates in real traffic videos</b:Title>
    <b:Year>2007</b:Year>
    <b:Author>
      <b:Author>
        <b:NameList>
          <b:Person>
            <b:Last>Suresh</b:Last>
            <b:First>KV</b:First>
          </b:Person>
          <b:Person>
            <b:Last>Kumar</b:Last>
            <b:Middle>Mahesh</b:Middle>
            <b:First>G</b:First>
          </b:Person>
          <b:Person>
            <b:Last>Rajagopalan</b:Last>
            <b:First>AN</b:First>
          </b:Person>
        </b:NameList>
      </b:Author>
    </b:Author>
    <b:Pages>321-331</b:Pages>
    <b:Volume>8</b:Volume>
    <b:Publisher>IEEE</b:Publisher>
    <b:JournalName>Intelligent Transportation Systems, IEEE Transactions on</b:JournalName>
    <b:Issue>2</b:Issue>
    <b:RefOrder>1</b:RefOrder>
  </b:Source>
  <b:Source>
    <b:SourceType>JournalArticle</b:SourceType>
    <b:Tag>tian2011survey</b:Tag>
    <b:Title>A survey on super-resolution imaging</b:Title>
    <b:Year>2011</b:Year>
    <b:Author>
      <b:Author>
        <b:NameList>
          <b:Person>
            <b:Last>Tian</b:Last>
            <b:First>Jing</b:First>
          </b:Person>
          <b:Person>
            <b:Last>Ma</b:Last>
            <b:First>Kai-Kuang</b:First>
          </b:Person>
        </b:NameList>
      </b:Author>
    </b:Author>
    <b:Pages>329-342</b:Pages>
    <b:Volume>5</b:Volume>
    <b:Publisher>Springer</b:Publisher>
    <b:JournalName>Signal, Image and Video Processing</b:JournalName>
    <b:Issue>3</b:Issue>
    <b:RefOrder>3</b:RefOrder>
  </b:Source>
  <b:Source>
    <b:SourceType>JournalArticle</b:SourceType>
    <b:Tag>yang2012coupled</b:Tag>
    <b:Title>Coupled dictionary training for image super-resolution</b:Title>
    <b:Year>2012</b:Year>
    <b:Author>
      <b:Author>
        <b:NameList>
          <b:Person>
            <b:Last>Yang</b:Last>
            <b:First>Jianchao</b:First>
          </b:Person>
          <b:Person>
            <b:Last>Wang</b:Last>
            <b:First>Zhaowen</b:First>
          </b:Person>
          <b:Person>
            <b:Last>Lin</b:Last>
            <b:First>Zhe</b:First>
          </b:Person>
          <b:Person>
            <b:Last>Cohen</b:Last>
            <b:First>Scott</b:First>
          </b:Person>
          <b:Person>
            <b:Last>Huang</b:Last>
            <b:First>Thomas</b:First>
          </b:Person>
        </b:NameList>
      </b:Author>
    </b:Author>
    <b:Pages>3467-3478</b:Pages>
    <b:Volume>21</b:Volume>
    <b:Publisher>IEEE</b:Publisher>
    <b:JournalName>Image Processing, IEEE Transactions on</b:JournalName>
    <b:Issue>8</b:Issue>
    <b:RefOrder>4</b:RefOrder>
  </b:Source>
</b:Sources>
</file>

<file path=customXml/itemProps1.xml><?xml version="1.0" encoding="utf-8"?>
<ds:datastoreItem xmlns:ds="http://schemas.openxmlformats.org/officeDocument/2006/customXml" ds:itemID="{CE397B12-EE16-48FF-9126-DAE2DCF3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Links>
    <vt:vector size="12" baseType="variant">
      <vt:variant>
        <vt:i4>8126584</vt:i4>
      </vt:variant>
      <vt:variant>
        <vt:i4>3</vt:i4>
      </vt:variant>
      <vt:variant>
        <vt:i4>0</vt:i4>
      </vt:variant>
      <vt:variant>
        <vt:i4>5</vt:i4>
      </vt:variant>
      <vt:variant>
        <vt:lpwstr>http://spisok.math.spbu.ru/txt/SPISOK-2011.pdf</vt:lpwstr>
      </vt:variant>
      <vt:variant>
        <vt:lpwstr/>
      </vt:variant>
      <vt:variant>
        <vt:i4>42</vt:i4>
      </vt:variant>
      <vt:variant>
        <vt:i4>0</vt:i4>
      </vt:variant>
      <vt:variant>
        <vt:i4>0</vt:i4>
      </vt:variant>
      <vt:variant>
        <vt:i4>5</vt:i4>
      </vt:variant>
      <vt:variant>
        <vt:lpwstr>mailto:alexander.a.ulitin@gmail.com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Ulitin</dc:creator>
  <cp:keywords/>
  <cp:lastModifiedBy>Alexander Ulitin</cp:lastModifiedBy>
  <cp:revision>3</cp:revision>
  <cp:lastPrinted>1601-01-01T00:00:00Z</cp:lastPrinted>
  <dcterms:created xsi:type="dcterms:W3CDTF">2013-05-04T09:48:00Z</dcterms:created>
  <dcterms:modified xsi:type="dcterms:W3CDTF">2013-05-04T09:53:00Z</dcterms:modified>
</cp:coreProperties>
</file>