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0"/>
        </w:rPr>
        <w:t>FOUR-WEEK STUDY / DEMO EDITION</w:t>
      </w:r>
    </w:p>
    <w:p>
      <w:pPr>
        <w:pStyle w:val="Title"/>
      </w:pPr>
      <w:r>
        <w:rPr>
          <w:b w:val="0"/>
          <w:i w:val="0"/>
        </w:rPr>
        <w:t>STRUCTURAL ENGINEERING</w:t>
        <w:br/>
        <w:t>TRAINING REPORT</w:t>
      </w:r>
    </w:p>
    <w:p>
      <w:r>
        <w:rPr>
          <w:b w:val="0"/>
          <w:i w:val="0"/>
          <w:sz w:val="36"/>
        </w:rPr>
        <w:t>Analysis, design and detailing of a</w:t>
        <w:br/>
        <w:t>pre-engineered steel building</w:t>
      </w:r>
    </w:p>
    <w:p>
      <w:pPr>
        <w:spacing w:after="60"/>
        <w:jc w:val="center"/>
      </w:pPr>
      <w:r>
        <w:drawing>
          <wp:inline xmlns:a="http://schemas.openxmlformats.org/drawingml/2006/main" xmlns:pic="http://schemas.openxmlformats.org/drawingml/2006/picture">
            <wp:extent cx="5540644" cy="2476500"/>
            <wp:docPr id="1" name="Picture 1"/>
            <wp:cNvGraphicFramePr>
              <a:graphicFrameLocks noChangeAspect="1"/>
            </wp:cNvGraphicFramePr>
            <a:graphic>
              <a:graphicData uri="http://schemas.openxmlformats.org/drawingml/2006/picture">
                <pic:pic>
                  <pic:nvPicPr>
                    <pic:cNvPr id="0" name="model.png"/>
                    <pic:cNvPicPr/>
                  </pic:nvPicPr>
                  <pic:blipFill>
                    <a:blip r:embed="rId11"/>
                    <a:stretch>
                      <a:fillRect/>
                    </a:stretch>
                  </pic:blipFill>
                  <pic:spPr>
                    <a:xfrm>
                      <a:off x="0" y="0"/>
                      <a:ext cx="5540644" cy="2476500"/>
                    </a:xfrm>
                    <a:prstGeom prst="rect"/>
                  </pic:spPr>
                </pic:pic>
              </a:graphicData>
            </a:graphic>
          </wp:inline>
        </w:drawing>
      </w:r>
    </w:p>
    <w:tbl>
      <w:tblPr>
        <w:tblW w:type="auto" w:w="0"/>
        <w:jc w:val="center"/>
        <w:tblLayout w:type="fixed"/>
        <w:tblLook w:firstColumn="1" w:firstRow="1" w:lastColumn="0" w:lastRow="0" w:noHBand="0" w:noVBand="1" w:val="04A0"/>
      </w:tblPr>
      <w:tblGrid>
        <w:gridCol w:w="2852"/>
        <w:gridCol w:w="7334"/>
      </w:tblGrid>
      <w:tr>
        <w:trPr>
          <w:cantSplit/>
        </w:trPr>
        <w:tc>
          <w:tcPr>
            <w:tcW w:type="dxa" w:w="2852"/>
            <w:shd w:fill="183247"/>
          </w:tcPr>
          <w:p>
            <w:pPr>
              <w:spacing w:after="40" w:before="40"/>
            </w:pPr>
            <w:r>
              <w:rPr>
                <w:b/>
                <w:i w:val="0"/>
                <w:color w:val="FFFFFF"/>
                <w:sz w:val="17"/>
              </w:rPr>
              <w:t>Report particulars</w:t>
            </w:r>
          </w:p>
        </w:tc>
        <w:tc>
          <w:tcPr>
            <w:tcW w:type="dxa" w:w="7334"/>
            <w:shd w:fill="183247"/>
          </w:tcPr>
          <w:p>
            <w:pPr>
              <w:spacing w:after="40" w:before="40"/>
            </w:pPr>
            <w:r>
              <w:rPr>
                <w:b/>
                <w:i w:val="0"/>
                <w:color w:val="FFFFFF"/>
                <w:sz w:val="17"/>
              </w:rPr>
              <w:t>Demo / source details</w:t>
            </w:r>
          </w:p>
        </w:tc>
      </w:tr>
      <w:tr>
        <w:trPr>
          <w:cantSplit/>
        </w:trPr>
        <w:tc>
          <w:tcPr>
            <w:tcW w:type="dxa" w:w="2852"/>
            <w:shd w:fill="eef4f6"/>
            <w:vAlign w:val="top"/>
          </w:tcPr>
          <w:p>
            <w:pPr>
              <w:spacing w:after="40" w:before="40" w:line="240" w:lineRule="auto"/>
            </w:pPr>
            <w:r>
              <w:rPr>
                <w:b w:val="0"/>
                <w:i w:val="0"/>
                <w:sz w:val="17"/>
              </w:rPr>
              <w:t>Project</w:t>
            </w:r>
          </w:p>
        </w:tc>
        <w:tc>
          <w:tcPr>
            <w:tcW w:type="dxa" w:w="7334"/>
            <w:shd w:fill="eef4f6"/>
            <w:vAlign w:val="top"/>
          </w:tcPr>
          <w:p>
            <w:pPr>
              <w:spacing w:after="40" w:before="40" w:line="240" w:lineRule="auto"/>
            </w:pPr>
            <w:r>
              <w:rPr>
                <w:b w:val="0"/>
                <w:i w:val="0"/>
                <w:sz w:val="17"/>
              </w:rPr>
              <w:t>Proposed PEB industrial building, Chennai</w:t>
            </w:r>
          </w:p>
        </w:tc>
      </w:tr>
      <w:tr>
        <w:trPr>
          <w:cantSplit/>
        </w:trPr>
        <w:tc>
          <w:tcPr>
            <w:tcW w:type="dxa" w:w="2852"/>
            <w:vAlign w:val="top"/>
          </w:tcPr>
          <w:p>
            <w:pPr>
              <w:spacing w:after="40" w:before="40" w:line="240" w:lineRule="auto"/>
            </w:pPr>
            <w:r>
              <w:rPr>
                <w:b w:val="0"/>
                <w:i w:val="0"/>
                <w:sz w:val="17"/>
              </w:rPr>
              <w:t>Student</w:t>
            </w:r>
          </w:p>
        </w:tc>
        <w:tc>
          <w:tcPr>
            <w:tcW w:type="dxa" w:w="7334"/>
            <w:vAlign w:val="top"/>
          </w:tcPr>
          <w:p>
            <w:pPr>
              <w:spacing w:after="40" w:before="40" w:line="240" w:lineRule="auto"/>
            </w:pPr>
            <w:r>
              <w:rPr>
                <w:b w:val="0"/>
                <w:i w:val="0"/>
                <w:sz w:val="17"/>
              </w:rPr>
              <w:t>Demo Student | Roll No. DEMO-001</w:t>
            </w:r>
          </w:p>
        </w:tc>
      </w:tr>
      <w:tr>
        <w:trPr>
          <w:cantSplit/>
        </w:trPr>
        <w:tc>
          <w:tcPr>
            <w:tcW w:type="dxa" w:w="2852"/>
            <w:shd w:fill="eef4f6"/>
            <w:vAlign w:val="top"/>
          </w:tcPr>
          <w:p>
            <w:pPr>
              <w:spacing w:after="40" w:before="40" w:line="240" w:lineRule="auto"/>
            </w:pPr>
            <w:r>
              <w:rPr>
                <w:b w:val="0"/>
                <w:i w:val="0"/>
                <w:sz w:val="17"/>
              </w:rPr>
              <w:t>Institution</w:t>
            </w:r>
          </w:p>
        </w:tc>
        <w:tc>
          <w:tcPr>
            <w:tcW w:type="dxa" w:w="7334"/>
            <w:shd w:fill="eef4f6"/>
            <w:vAlign w:val="top"/>
          </w:tcPr>
          <w:p>
            <w:pPr>
              <w:spacing w:after="40" w:before="40" w:line="240" w:lineRule="auto"/>
            </w:pPr>
            <w:r>
              <w:rPr>
                <w:b w:val="0"/>
                <w:i w:val="0"/>
                <w:sz w:val="17"/>
              </w:rPr>
              <w:t>Demo College of Engineering</w:t>
            </w:r>
          </w:p>
        </w:tc>
      </w:tr>
      <w:tr>
        <w:trPr>
          <w:cantSplit/>
        </w:trPr>
        <w:tc>
          <w:tcPr>
            <w:tcW w:type="dxa" w:w="2852"/>
            <w:vAlign w:val="top"/>
          </w:tcPr>
          <w:p>
            <w:pPr>
              <w:spacing w:after="40" w:before="40" w:line="240" w:lineRule="auto"/>
            </w:pPr>
            <w:r>
              <w:rPr>
                <w:b w:val="0"/>
                <w:i w:val="0"/>
                <w:sz w:val="17"/>
              </w:rPr>
              <w:t>Training organization</w:t>
            </w:r>
          </w:p>
        </w:tc>
        <w:tc>
          <w:tcPr>
            <w:tcW w:type="dxa" w:w="7334"/>
            <w:vAlign w:val="top"/>
          </w:tcPr>
          <w:p>
            <w:pPr>
              <w:spacing w:after="40" w:before="40" w:line="240" w:lineRule="auto"/>
            </w:pPr>
            <w:r>
              <w:rPr>
                <w:b w:val="0"/>
                <w:i w:val="0"/>
                <w:sz w:val="17"/>
              </w:rPr>
              <w:t>Demo Structural Consultants</w:t>
            </w:r>
          </w:p>
        </w:tc>
      </w:tr>
      <w:tr>
        <w:trPr>
          <w:cantSplit/>
        </w:trPr>
        <w:tc>
          <w:tcPr>
            <w:tcW w:type="dxa" w:w="2852"/>
            <w:shd w:fill="eef4f6"/>
            <w:vAlign w:val="top"/>
          </w:tcPr>
          <w:p>
            <w:pPr>
              <w:spacing w:after="40" w:before="40" w:line="240" w:lineRule="auto"/>
            </w:pPr>
            <w:r>
              <w:rPr>
                <w:b w:val="0"/>
                <w:i w:val="0"/>
                <w:sz w:val="17"/>
              </w:rPr>
              <w:t>Supervisor</w:t>
            </w:r>
          </w:p>
        </w:tc>
        <w:tc>
          <w:tcPr>
            <w:tcW w:type="dxa" w:w="7334"/>
            <w:shd w:fill="eef4f6"/>
            <w:vAlign w:val="top"/>
          </w:tcPr>
          <w:p>
            <w:pPr>
              <w:spacing w:after="40" w:before="40" w:line="240" w:lineRule="auto"/>
            </w:pPr>
            <w:r>
              <w:rPr>
                <w:b w:val="0"/>
                <w:i w:val="0"/>
                <w:sz w:val="17"/>
              </w:rPr>
              <w:t>Demo Training Supervisor</w:t>
            </w:r>
          </w:p>
        </w:tc>
      </w:tr>
      <w:tr>
        <w:trPr>
          <w:cantSplit/>
        </w:trPr>
        <w:tc>
          <w:tcPr>
            <w:tcW w:type="dxa" w:w="2852"/>
            <w:vAlign w:val="top"/>
          </w:tcPr>
          <w:p>
            <w:pPr>
              <w:spacing w:after="40" w:before="40" w:line="240" w:lineRule="auto"/>
            </w:pPr>
            <w:r>
              <w:rPr>
                <w:b w:val="0"/>
                <w:i w:val="0"/>
                <w:sz w:val="17"/>
              </w:rPr>
              <w:t>Training period</w:t>
            </w:r>
          </w:p>
        </w:tc>
        <w:tc>
          <w:tcPr>
            <w:tcW w:type="dxa" w:w="7334"/>
            <w:vAlign w:val="top"/>
          </w:tcPr>
          <w:p>
            <w:pPr>
              <w:spacing w:after="40" w:before="40" w:line="240" w:lineRule="auto"/>
            </w:pPr>
            <w:r>
              <w:rPr>
                <w:b w:val="0"/>
                <w:i w:val="0"/>
                <w:sz w:val="17"/>
              </w:rPr>
              <w:t>Four weeks — dates to be entered</w:t>
            </w:r>
          </w:p>
        </w:tc>
      </w:tr>
      <w:tr>
        <w:trPr>
          <w:cantSplit/>
        </w:trPr>
        <w:tc>
          <w:tcPr>
            <w:tcW w:type="dxa" w:w="2852"/>
            <w:shd w:fill="eef4f6"/>
            <w:vAlign w:val="top"/>
          </w:tcPr>
          <w:p>
            <w:pPr>
              <w:spacing w:after="40" w:before="40" w:line="240" w:lineRule="auto"/>
            </w:pPr>
            <w:r>
              <w:rPr>
                <w:b w:val="0"/>
                <w:i w:val="0"/>
                <w:sz w:val="17"/>
              </w:rPr>
              <w:t>Report issue</w:t>
            </w:r>
          </w:p>
        </w:tc>
        <w:tc>
          <w:tcPr>
            <w:tcW w:type="dxa" w:w="7334"/>
            <w:shd w:fill="eef4f6"/>
            <w:vAlign w:val="top"/>
          </w:tcPr>
          <w:p>
            <w:pPr>
              <w:spacing w:after="40" w:before="40" w:line="240" w:lineRule="auto"/>
            </w:pPr>
            <w:r>
              <w:rPr>
                <w:b w:val="0"/>
                <w:i w:val="0"/>
                <w:sz w:val="17"/>
              </w:rPr>
              <w:t>21 October 2026 | Revision D0</w:t>
            </w:r>
          </w:p>
        </w:tc>
      </w:tr>
    </w:tbl>
    <w:p>
      <w:pPr>
        <w:spacing w:after="40"/>
      </w:pPr>
      <w:r>
        <w:rPr>
          <w:b w:val="0"/>
          <w:i w:val="0"/>
          <w:sz w:val="2"/>
        </w:rPr>
      </w:r>
    </w:p>
    <w:p>
      <w:r>
        <w:rPr>
          <w:b w:val="0"/>
          <w:i w:val="0"/>
          <w:sz w:val="24"/>
        </w:rPr>
        <w:t>36 m × 72.2 m • 10 m eave level • Two 18 m roof spans</w:t>
      </w:r>
    </w:p>
    <w:p>
      <w:r>
        <w:rPr>
          <w:b w:val="0"/>
          <w:i w:val="0"/>
          <w:sz w:val="18"/>
        </w:rPr>
        <w:t>Prepared from the supplied training PDF and STAAD.Pro analysis output. Personal and institutional details are demonstration entries. Source findings and unresolved design items are retained for technical accuracy.</w:t>
      </w:r>
    </w:p>
    <w:p>
      <w:r>
        <w:br w:type="page"/>
      </w:r>
    </w:p>
    <w:p>
      <w:r>
        <w:rPr>
          <w:b w:val="0"/>
          <w:i w:val="0"/>
          <w:color w:val="087E8B"/>
          <w:sz w:val="18"/>
        </w:rPr>
        <w:t>ABOUT THIS REPORT</w:t>
      </w:r>
    </w:p>
    <w:p>
      <w:pPr>
        <w:pStyle w:val="Heading1"/>
      </w:pPr>
      <w:r>
        <w:rPr>
          <w:b w:val="0"/>
          <w:i w:val="0"/>
        </w:rPr>
        <w:t>Abstract, scope and report guide</w:t>
      </w:r>
    </w:p>
    <w:p>
      <w:pPr>
        <w:pStyle w:val="Heading2"/>
      </w:pPr>
      <w:r>
        <w:rPr>
          <w:b w:val="0"/>
          <w:i w:val="0"/>
        </w:rPr>
        <w:t>Abstract</w:t>
      </w:r>
    </w:p>
    <w:p>
      <w:r>
        <w:rPr>
          <w:b w:val="0"/>
          <w:i w:val="0"/>
          <w:sz w:val="20"/>
        </w:rPr>
        <w:t>This report presents a four-week study of the analysis, proportioning and detailing of a pre-engineered steel building (PEB). The case study is a proposed industrial building in Chennai, with a plan of 36 m × 72.2 m, a 1:12 roof slope, 10 m analytical eaves and ridge columns supporting two 18 m roof spans. It explains the transfer of gravity, wind and earthquake actions through primary frames, secondary steel and bracing to the foundations.</w:t>
      </w:r>
    </w:p>
    <w:p>
      <w:r>
        <w:rPr>
          <w:b w:val="0"/>
          <w:i w:val="0"/>
          <w:sz w:val="20"/>
        </w:rPr>
        <w:t>The technical basis consists of a 68-page illustrated training PDF and the supplied STAAD.Pro analysis output. Calculations reproduce the load assumptions in those records; selected results are transcribed from the analysis. Additional hand calculations and drawings are explicitly educational. No new STAAD analysis or connection-design run has been performed.</w:t>
      </w:r>
    </w:p>
    <w:p>
      <w:pPr>
        <w:pStyle w:val="Heading2"/>
      </w:pPr>
      <w:r>
        <w:rPr>
          <w:b w:val="0"/>
          <w:i w:val="0"/>
        </w:rPr>
        <w:t>Acknowledgement and declaration — demonstration text</w:t>
      </w:r>
    </w:p>
    <w:p>
      <w:r>
        <w:rPr>
          <w:b w:val="0"/>
          <w:i w:val="0"/>
          <w:sz w:val="20"/>
        </w:rPr>
        <w:t>The trainee acknowledges the guidance of the training supervisor and faculty mentor in studying structural modelling, steel design and engineering drawings. Student, institution, company and supervisor particulars on the cover are demonstration entries. This report does not certify attendance, site visits, completed fabrication or professional design approval.</w:t>
      </w:r>
    </w:p>
    <w:tbl>
      <w:tblPr>
        <w:tblW w:type="auto" w:w="0"/>
        <w:jc w:val="center"/>
        <w:tblLayout w:type="fixed"/>
        <w:tblLook w:firstColumn="1" w:firstRow="1" w:lastColumn="0" w:lastRow="0" w:noHBand="0" w:noVBand="1" w:val="04A0"/>
      </w:tblPr>
      <w:tblGrid>
        <w:gridCol w:w="3870"/>
        <w:gridCol w:w="1222"/>
        <w:gridCol w:w="5093"/>
      </w:tblGrid>
      <w:tr>
        <w:trPr>
          <w:cantSplit/>
        </w:trPr>
        <w:tc>
          <w:tcPr>
            <w:tcW w:type="dxa" w:w="3870"/>
            <w:shd w:fill="183247"/>
          </w:tcPr>
          <w:p>
            <w:pPr>
              <w:spacing w:after="40" w:before="40"/>
            </w:pPr>
            <w:r>
              <w:rPr>
                <w:b/>
                <w:i w:val="0"/>
                <w:color w:val="FFFFFF"/>
                <w:sz w:val="17"/>
              </w:rPr>
              <w:t>Report section</w:t>
            </w:r>
          </w:p>
        </w:tc>
        <w:tc>
          <w:tcPr>
            <w:tcW w:type="dxa" w:w="1222"/>
            <w:shd w:fill="183247"/>
          </w:tcPr>
          <w:p>
            <w:pPr>
              <w:spacing w:after="40" w:before="40"/>
            </w:pPr>
            <w:r>
              <w:rPr>
                <w:b/>
                <w:i w:val="0"/>
                <w:color w:val="FFFFFF"/>
                <w:sz w:val="17"/>
              </w:rPr>
              <w:t>Pages</w:t>
            </w:r>
          </w:p>
        </w:tc>
        <w:tc>
          <w:tcPr>
            <w:tcW w:type="dxa" w:w="5093"/>
            <w:shd w:fill="183247"/>
          </w:tcPr>
          <w:p>
            <w:pPr>
              <w:spacing w:after="40" w:before="40"/>
            </w:pPr>
            <w:r>
              <w:rPr>
                <w:b/>
                <w:i w:val="0"/>
                <w:color w:val="FFFFFF"/>
                <w:sz w:val="17"/>
              </w:rPr>
              <w:t>Main deliverable</w:t>
            </w:r>
          </w:p>
        </w:tc>
      </w:tr>
      <w:tr>
        <w:trPr>
          <w:cantSplit/>
        </w:trPr>
        <w:tc>
          <w:tcPr>
            <w:tcW w:type="dxa" w:w="3870"/>
            <w:shd w:fill="eef4f6"/>
            <w:vAlign w:val="top"/>
          </w:tcPr>
          <w:p>
            <w:pPr>
              <w:spacing w:after="40" w:before="40" w:line="240" w:lineRule="auto"/>
            </w:pPr>
            <w:r>
              <w:rPr>
                <w:b w:val="0"/>
                <w:i w:val="0"/>
                <w:sz w:val="17"/>
              </w:rPr>
              <w:t>Week 1: project and loading</w:t>
            </w:r>
          </w:p>
        </w:tc>
        <w:tc>
          <w:tcPr>
            <w:tcW w:type="dxa" w:w="1222"/>
            <w:shd w:fill="eef4f6"/>
            <w:vAlign w:val="top"/>
          </w:tcPr>
          <w:p>
            <w:pPr>
              <w:spacing w:after="40" w:before="40" w:line="240" w:lineRule="auto"/>
            </w:pPr>
            <w:r>
              <w:rPr>
                <w:b w:val="0"/>
                <w:i w:val="0"/>
                <w:sz w:val="17"/>
              </w:rPr>
              <w:t>3–6</w:t>
            </w:r>
          </w:p>
        </w:tc>
        <w:tc>
          <w:tcPr>
            <w:tcW w:type="dxa" w:w="5093"/>
            <w:shd w:fill="eef4f6"/>
            <w:vAlign w:val="top"/>
          </w:tcPr>
          <w:p>
            <w:pPr>
              <w:spacing w:after="40" w:before="40" w:line="240" w:lineRule="auto"/>
            </w:pPr>
            <w:r>
              <w:rPr>
                <w:b w:val="0"/>
                <w:i w:val="0"/>
                <w:sz w:val="17"/>
              </w:rPr>
              <w:t>Project brief, structural types, load calculations and case register</w:t>
            </w:r>
          </w:p>
        </w:tc>
      </w:tr>
      <w:tr>
        <w:trPr>
          <w:cantSplit/>
        </w:trPr>
        <w:tc>
          <w:tcPr>
            <w:tcW w:type="dxa" w:w="3870"/>
            <w:vAlign w:val="top"/>
          </w:tcPr>
          <w:p>
            <w:pPr>
              <w:spacing w:after="40" w:before="40" w:line="240" w:lineRule="auto"/>
            </w:pPr>
            <w:r>
              <w:rPr>
                <w:b w:val="0"/>
                <w:i w:val="0"/>
                <w:sz w:val="17"/>
              </w:rPr>
              <w:t>Week 2: structural analysis</w:t>
            </w:r>
          </w:p>
        </w:tc>
        <w:tc>
          <w:tcPr>
            <w:tcW w:type="dxa" w:w="1222"/>
            <w:vAlign w:val="top"/>
          </w:tcPr>
          <w:p>
            <w:pPr>
              <w:spacing w:after="40" w:before="40" w:line="240" w:lineRule="auto"/>
            </w:pPr>
            <w:r>
              <w:rPr>
                <w:b w:val="0"/>
                <w:i w:val="0"/>
                <w:sz w:val="17"/>
              </w:rPr>
              <w:t>7–10</w:t>
            </w:r>
          </w:p>
        </w:tc>
        <w:tc>
          <w:tcPr>
            <w:tcW w:type="dxa" w:w="5093"/>
            <w:vAlign w:val="top"/>
          </w:tcPr>
          <w:p>
            <w:pPr>
              <w:spacing w:after="40" w:before="40" w:line="240" w:lineRule="auto"/>
            </w:pPr>
            <w:r>
              <w:rPr>
                <w:b w:val="0"/>
                <w:i w:val="0"/>
                <w:sz w:val="17"/>
              </w:rPr>
              <w:t>Model interpretation, shear and moment diagrams, forces and displacements</w:t>
            </w:r>
          </w:p>
        </w:tc>
      </w:tr>
      <w:tr>
        <w:trPr>
          <w:cantSplit/>
        </w:trPr>
        <w:tc>
          <w:tcPr>
            <w:tcW w:type="dxa" w:w="3870"/>
            <w:shd w:fill="eef4f6"/>
            <w:vAlign w:val="top"/>
          </w:tcPr>
          <w:p>
            <w:pPr>
              <w:spacing w:after="40" w:before="40" w:line="240" w:lineRule="auto"/>
            </w:pPr>
            <w:r>
              <w:rPr>
                <w:b w:val="0"/>
                <w:i w:val="0"/>
                <w:sz w:val="17"/>
              </w:rPr>
              <w:t>Week 3: member design</w:t>
            </w:r>
          </w:p>
        </w:tc>
        <w:tc>
          <w:tcPr>
            <w:tcW w:type="dxa" w:w="1222"/>
            <w:shd w:fill="eef4f6"/>
            <w:vAlign w:val="top"/>
          </w:tcPr>
          <w:p>
            <w:pPr>
              <w:spacing w:after="40" w:before="40" w:line="240" w:lineRule="auto"/>
            </w:pPr>
            <w:r>
              <w:rPr>
                <w:b w:val="0"/>
                <w:i w:val="0"/>
                <w:sz w:val="17"/>
              </w:rPr>
              <w:t>11–15</w:t>
            </w:r>
          </w:p>
        </w:tc>
        <w:tc>
          <w:tcPr>
            <w:tcW w:type="dxa" w:w="5093"/>
            <w:shd w:fill="eef4f6"/>
            <w:vAlign w:val="top"/>
          </w:tcPr>
          <w:p>
            <w:pPr>
              <w:spacing w:after="40" w:before="40" w:line="240" w:lineRule="auto"/>
            </w:pPr>
            <w:r>
              <w:rPr>
                <w:b w:val="0"/>
                <w:i w:val="0"/>
                <w:sz w:val="17"/>
              </w:rPr>
              <w:t>Section sizes, column/rafter checks, secondary steel and design coverage</w:t>
            </w:r>
          </w:p>
        </w:tc>
      </w:tr>
      <w:tr>
        <w:trPr>
          <w:cantSplit/>
        </w:trPr>
        <w:tc>
          <w:tcPr>
            <w:tcW w:type="dxa" w:w="3870"/>
            <w:vAlign w:val="top"/>
          </w:tcPr>
          <w:p>
            <w:pPr>
              <w:spacing w:after="40" w:before="40" w:line="240" w:lineRule="auto"/>
            </w:pPr>
            <w:r>
              <w:rPr>
                <w:b w:val="0"/>
                <w:i w:val="0"/>
                <w:sz w:val="17"/>
              </w:rPr>
              <w:t>Week 4: detailing</w:t>
            </w:r>
          </w:p>
        </w:tc>
        <w:tc>
          <w:tcPr>
            <w:tcW w:type="dxa" w:w="1222"/>
            <w:vAlign w:val="top"/>
          </w:tcPr>
          <w:p>
            <w:pPr>
              <w:spacing w:after="40" w:before="40" w:line="240" w:lineRule="auto"/>
            </w:pPr>
            <w:r>
              <w:rPr>
                <w:b w:val="0"/>
                <w:i w:val="0"/>
                <w:sz w:val="17"/>
              </w:rPr>
              <w:t>16–19</w:t>
            </w:r>
          </w:p>
        </w:tc>
        <w:tc>
          <w:tcPr>
            <w:tcW w:type="dxa" w:w="5093"/>
            <w:vAlign w:val="top"/>
          </w:tcPr>
          <w:p>
            <w:pPr>
              <w:spacing w:after="40" w:before="40" w:line="240" w:lineRule="auto"/>
            </w:pPr>
            <w:r>
              <w:rPr>
                <w:b w:val="0"/>
                <w:i w:val="0"/>
                <w:sz w:val="17"/>
              </w:rPr>
              <w:t>General notes, dimensioned arrangement and member/connection study sheets</w:t>
            </w:r>
          </w:p>
        </w:tc>
      </w:tr>
      <w:tr>
        <w:trPr>
          <w:cantSplit/>
        </w:trPr>
        <w:tc>
          <w:tcPr>
            <w:tcW w:type="dxa" w:w="3870"/>
            <w:shd w:fill="eef4f6"/>
            <w:vAlign w:val="top"/>
          </w:tcPr>
          <w:p>
            <w:pPr>
              <w:spacing w:after="40" w:before="40" w:line="240" w:lineRule="auto"/>
            </w:pPr>
            <w:r>
              <w:rPr>
                <w:b w:val="0"/>
                <w:i w:val="0"/>
                <w:sz w:val="17"/>
              </w:rPr>
              <w:t>Conclusion and references</w:t>
            </w:r>
          </w:p>
        </w:tc>
        <w:tc>
          <w:tcPr>
            <w:tcW w:type="dxa" w:w="1222"/>
            <w:shd w:fill="eef4f6"/>
            <w:vAlign w:val="top"/>
          </w:tcPr>
          <w:p>
            <w:pPr>
              <w:spacing w:after="40" w:before="40" w:line="240" w:lineRule="auto"/>
            </w:pPr>
            <w:r>
              <w:rPr>
                <w:b w:val="0"/>
                <w:i w:val="0"/>
                <w:sz w:val="17"/>
              </w:rPr>
              <w:t>20</w:t>
            </w:r>
          </w:p>
        </w:tc>
        <w:tc>
          <w:tcPr>
            <w:tcW w:type="dxa" w:w="5093"/>
            <w:shd w:fill="eef4f6"/>
            <w:vAlign w:val="top"/>
          </w:tcPr>
          <w:p>
            <w:pPr>
              <w:spacing w:after="40" w:before="40" w:line="240" w:lineRule="auto"/>
            </w:pPr>
            <w:r>
              <w:rPr>
                <w:b w:val="0"/>
                <w:i w:val="0"/>
                <w:sz w:val="17"/>
              </w:rPr>
              <w:t>Learning outcomes, open items and source register</w:t>
            </w:r>
          </w:p>
        </w:tc>
      </w:tr>
    </w:tbl>
    <w:p>
      <w:pPr>
        <w:spacing w:after="40"/>
      </w:pPr>
      <w:r>
        <w:rPr>
          <w:b w:val="0"/>
          <w:i w:val="0"/>
          <w:sz w:val="2"/>
        </w:rPr>
      </w:r>
    </w:p>
    <w:p>
      <w:pPr>
        <w:pStyle w:val="Heading2"/>
      </w:pPr>
      <w:r>
        <w:rPr>
          <w:b w:val="0"/>
          <w:i w:val="0"/>
        </w:rPr>
        <w:t>How evidence is identified</w:t>
      </w:r>
    </w:p>
    <w:p>
      <w:r>
        <w:rPr>
          <w:b w:val="0"/>
          <w:i w:val="0"/>
          <w:sz w:val="20"/>
        </w:rPr>
      </w:r>
      <w:r>
        <w:rPr>
          <w:b/>
          <w:i w:val="0"/>
          <w:sz w:val="20"/>
        </w:rPr>
        <w:t>[S1]</w:t>
      </w:r>
      <w:r>
        <w:rPr>
          <w:b w:val="0"/>
          <w:i w:val="0"/>
          <w:sz w:val="20"/>
        </w:rPr>
        <w:t xml:space="preserve"> means the supplied PDF; its page numbers refer to the physical PDF pages. </w:t>
      </w:r>
      <w:r>
        <w:rPr>
          <w:b/>
          <w:i w:val="0"/>
          <w:sz w:val="20"/>
        </w:rPr>
        <w:t>[S2]</w:t>
      </w:r>
      <w:r>
        <w:rPr>
          <w:b w:val="0"/>
          <w:i w:val="0"/>
          <w:sz w:val="20"/>
        </w:rPr>
        <w:t xml:space="preserve"> means R1_PEB.ANL; references identify printed STAAD pages or numbered input commands. </w:t>
      </w:r>
      <w:r>
        <w:rPr>
          <w:b/>
          <w:i w:val="0"/>
          <w:sz w:val="20"/>
        </w:rPr>
        <w:t>[R1–R4]</w:t>
      </w:r>
      <w:r>
        <w:rPr>
          <w:b w:val="0"/>
          <w:i w:val="0"/>
          <w:sz w:val="20"/>
        </w:rPr>
        <w:t xml:space="preserve"> identify external primary references on page 20. “Calculated” means arithmetic derived from stated inputs. “Illustrative” means a teaching example, not a verified project result.</w:t>
      </w:r>
    </w:p>
    <w:p>
      <w:pPr>
        <w:ind w:left="120" w:right="120"/>
        <w:shd w:fill="FAF1E9"/>
      </w:pPr>
      <w:r>
        <w:rPr>
          <w:b w:val="0"/>
          <w:i w:val="0"/>
          <w:sz w:val="18"/>
        </w:rPr>
        <w:t>Design status: the output records 249 PASS and 2 FAIL results among 251 checked members. It also contains load-input discrepancies and design warnings. The report is suitable as a training draft; the drawings are not issued for construction.</w:t>
      </w:r>
    </w:p>
    <w:p>
      <w:r>
        <w:br w:type="page"/>
      </w:r>
    </w:p>
    <w:p>
      <w:r>
        <w:rPr>
          <w:b w:val="0"/>
          <w:i w:val="0"/>
          <w:color w:val="087E8B"/>
          <w:sz w:val="18"/>
        </w:rPr>
        <w:t>WEEK 1 • PROJECT FAMILIARIZATION</w:t>
      </w:r>
    </w:p>
    <w:p>
      <w:pPr>
        <w:pStyle w:val="Heading1"/>
      </w:pPr>
      <w:r>
        <w:rPr>
          <w:b w:val="0"/>
          <w:i w:val="0"/>
        </w:rPr>
        <w:t>Project information and structural systems</w:t>
      </w:r>
    </w:p>
    <w:p>
      <w:r>
        <w:rPr>
          <w:b w:val="0"/>
          <w:i w:val="0"/>
          <w:sz w:val="20"/>
        </w:rPr>
        <w:t>A PEB combines engineered primary frames with repetitive secondary members and profiled cladding. Built-up tapered sections allow the depth to vary with the force pattern. Shop-fabricated components are assembled on site, commonly using bolted field connections. The selected structural arrangement must also accommodate openings, drainage, services and erection stability.</w:t>
      </w:r>
    </w:p>
    <w:tbl>
      <w:tblPr>
        <w:tblW w:type="auto" w:w="0"/>
        <w:jc w:val="center"/>
        <w:tblLayout w:type="fixed"/>
        <w:tblLook w:firstColumn="1" w:firstRow="1" w:lastColumn="0" w:lastRow="0" w:noHBand="0" w:noVBand="1" w:val="04A0"/>
      </w:tblPr>
      <w:tblGrid>
        <w:gridCol w:w="3158"/>
        <w:gridCol w:w="7028"/>
      </w:tblGrid>
      <w:tr>
        <w:trPr>
          <w:cantSplit/>
        </w:trPr>
        <w:tc>
          <w:tcPr>
            <w:tcW w:type="dxa" w:w="3158"/>
            <w:shd w:fill="183247"/>
          </w:tcPr>
          <w:p>
            <w:pPr>
              <w:spacing w:after="40" w:before="40"/>
            </w:pPr>
            <w:r>
              <w:rPr>
                <w:b/>
                <w:i w:val="0"/>
                <w:color w:val="FFFFFF"/>
                <w:sz w:val="17"/>
              </w:rPr>
              <w:t>Project parameter</w:t>
            </w:r>
          </w:p>
        </w:tc>
        <w:tc>
          <w:tcPr>
            <w:tcW w:type="dxa" w:w="7028"/>
            <w:shd w:fill="183247"/>
          </w:tcPr>
          <w:p>
            <w:pPr>
              <w:spacing w:after="40" w:before="40"/>
            </w:pPr>
            <w:r>
              <w:rPr>
                <w:b/>
                <w:i w:val="0"/>
                <w:color w:val="FFFFFF"/>
                <w:sz w:val="17"/>
              </w:rPr>
              <w:t>Record adopted for this study</w:t>
            </w:r>
          </w:p>
        </w:tc>
      </w:tr>
      <w:tr>
        <w:trPr>
          <w:cantSplit/>
        </w:trPr>
        <w:tc>
          <w:tcPr>
            <w:tcW w:type="dxa" w:w="3158"/>
            <w:shd w:fill="eef4f6"/>
            <w:vAlign w:val="top"/>
          </w:tcPr>
          <w:p>
            <w:pPr>
              <w:spacing w:after="40" w:before="40" w:line="240" w:lineRule="auto"/>
            </w:pPr>
            <w:r>
              <w:rPr>
                <w:b w:val="0"/>
                <w:i w:val="0"/>
                <w:sz w:val="17"/>
              </w:rPr>
              <w:t>Project / location</w:t>
            </w:r>
          </w:p>
        </w:tc>
        <w:tc>
          <w:tcPr>
            <w:tcW w:type="dxa" w:w="7028"/>
            <w:shd w:fill="eef4f6"/>
            <w:vAlign w:val="top"/>
          </w:tcPr>
          <w:p>
            <w:pPr>
              <w:spacing w:after="40" w:before="40" w:line="240" w:lineRule="auto"/>
            </w:pPr>
            <w:r>
              <w:rPr>
                <w:b w:val="0"/>
                <w:i w:val="0"/>
                <w:sz w:val="17"/>
              </w:rPr>
              <w:t>Proposed PEB industrial building / Chennai [S1, p.1]</w:t>
            </w:r>
          </w:p>
        </w:tc>
      </w:tr>
      <w:tr>
        <w:trPr>
          <w:cantSplit/>
        </w:trPr>
        <w:tc>
          <w:tcPr>
            <w:tcW w:type="dxa" w:w="3158"/>
            <w:vAlign w:val="top"/>
          </w:tcPr>
          <w:p>
            <w:pPr>
              <w:spacing w:after="40" w:before="40" w:line="240" w:lineRule="auto"/>
            </w:pPr>
            <w:r>
              <w:rPr>
                <w:b w:val="0"/>
                <w:i w:val="0"/>
                <w:sz w:val="17"/>
              </w:rPr>
              <w:t>Building plan</w:t>
            </w:r>
          </w:p>
        </w:tc>
        <w:tc>
          <w:tcPr>
            <w:tcW w:type="dxa" w:w="7028"/>
            <w:vAlign w:val="top"/>
          </w:tcPr>
          <w:p>
            <w:pPr>
              <w:spacing w:after="40" w:before="40" w:line="240" w:lineRule="auto"/>
            </w:pPr>
            <w:r>
              <w:rPr>
                <w:b w:val="0"/>
                <w:i w:val="0"/>
                <w:sz w:val="17"/>
              </w:rPr>
              <w:t>36.0 m transverse × 72.2 m longitudinal; plan area = 2,599.2 m²</w:t>
            </w:r>
          </w:p>
        </w:tc>
      </w:tr>
      <w:tr>
        <w:trPr>
          <w:cantSplit/>
        </w:trPr>
        <w:tc>
          <w:tcPr>
            <w:tcW w:type="dxa" w:w="3158"/>
            <w:shd w:fill="eef4f6"/>
            <w:vAlign w:val="top"/>
          </w:tcPr>
          <w:p>
            <w:pPr>
              <w:spacing w:after="40" w:before="40" w:line="240" w:lineRule="auto"/>
            </w:pPr>
            <w:r>
              <w:rPr>
                <w:b w:val="0"/>
                <w:i w:val="0"/>
                <w:sz w:val="17"/>
              </w:rPr>
              <w:t>Frames and bays</w:t>
            </w:r>
          </w:p>
        </w:tc>
        <w:tc>
          <w:tcPr>
            <w:tcW w:type="dxa" w:w="7028"/>
            <w:shd w:fill="eef4f6"/>
            <w:vAlign w:val="top"/>
          </w:tcPr>
          <w:p>
            <w:pPr>
              <w:spacing w:after="40" w:before="40" w:line="240" w:lineRule="auto"/>
            </w:pPr>
            <w:r>
              <w:rPr>
                <w:b w:val="0"/>
                <w:i w:val="0"/>
                <w:sz w:val="17"/>
              </w:rPr>
              <w:t>10 frame lines; 9 bays = 8.1 + 7 × 8.0 + 8.1 m</w:t>
            </w:r>
          </w:p>
        </w:tc>
      </w:tr>
      <w:tr>
        <w:trPr>
          <w:cantSplit/>
        </w:trPr>
        <w:tc>
          <w:tcPr>
            <w:tcW w:type="dxa" w:w="3158"/>
            <w:vAlign w:val="top"/>
          </w:tcPr>
          <w:p>
            <w:pPr>
              <w:spacing w:after="40" w:before="40" w:line="240" w:lineRule="auto"/>
            </w:pPr>
            <w:r>
              <w:rPr>
                <w:b w:val="0"/>
                <w:i w:val="0"/>
                <w:sz w:val="17"/>
              </w:rPr>
              <w:t>Vertical geometry</w:t>
            </w:r>
          </w:p>
        </w:tc>
        <w:tc>
          <w:tcPr>
            <w:tcW w:type="dxa" w:w="7028"/>
            <w:vAlign w:val="top"/>
          </w:tcPr>
          <w:p>
            <w:pPr>
              <w:spacing w:after="40" w:before="40" w:line="240" w:lineRule="auto"/>
            </w:pPr>
            <w:r>
              <w:rPr>
                <w:b w:val="0"/>
                <w:i w:val="0"/>
                <w:sz w:val="17"/>
              </w:rPr>
              <w:t>Analytical eave 10.0 m; ridge 11.5 m; stated clear height 9.5 m</w:t>
            </w:r>
          </w:p>
        </w:tc>
      </w:tr>
      <w:tr>
        <w:trPr>
          <w:cantSplit/>
        </w:trPr>
        <w:tc>
          <w:tcPr>
            <w:tcW w:type="dxa" w:w="3158"/>
            <w:shd w:fill="eef4f6"/>
            <w:vAlign w:val="top"/>
          </w:tcPr>
          <w:p>
            <w:pPr>
              <w:spacing w:after="40" w:before="40" w:line="240" w:lineRule="auto"/>
            </w:pPr>
            <w:r>
              <w:rPr>
                <w:b w:val="0"/>
                <w:i w:val="0"/>
                <w:sz w:val="17"/>
              </w:rPr>
              <w:t>Roof geometry</w:t>
            </w:r>
          </w:p>
        </w:tc>
        <w:tc>
          <w:tcPr>
            <w:tcW w:type="dxa" w:w="7028"/>
            <w:shd w:fill="eef4f6"/>
            <w:vAlign w:val="top"/>
          </w:tcPr>
          <w:p>
            <w:pPr>
              <w:spacing w:after="40" w:before="40" w:line="240" w:lineRule="auto"/>
            </w:pPr>
            <w:r>
              <w:rPr>
                <w:b w:val="0"/>
                <w:i w:val="0"/>
                <w:sz w:val="17"/>
              </w:rPr>
              <w:t>Two 18 m horizontal half-spans; slope 1:12; half-rafter length 18.062 m</w:t>
            </w:r>
          </w:p>
        </w:tc>
      </w:tr>
      <w:tr>
        <w:trPr>
          <w:cantSplit/>
        </w:trPr>
        <w:tc>
          <w:tcPr>
            <w:tcW w:type="dxa" w:w="3158"/>
            <w:vAlign w:val="top"/>
          </w:tcPr>
          <w:p>
            <w:pPr>
              <w:spacing w:after="40" w:before="40" w:line="240" w:lineRule="auto"/>
            </w:pPr>
            <w:r>
              <w:rPr>
                <w:b w:val="0"/>
                <w:i w:val="0"/>
                <w:sz w:val="17"/>
              </w:rPr>
              <w:t>Supports and gables</w:t>
            </w:r>
          </w:p>
        </w:tc>
        <w:tc>
          <w:tcPr>
            <w:tcW w:type="dxa" w:w="7028"/>
            <w:vAlign w:val="top"/>
          </w:tcPr>
          <w:p>
            <w:pPr>
              <w:spacing w:after="40" w:before="40" w:line="240" w:lineRule="auto"/>
            </w:pPr>
            <w:r>
              <w:rPr>
                <w:b w:val="0"/>
                <w:i w:val="0"/>
                <w:sz w:val="17"/>
              </w:rPr>
              <w:t>Ridge columns at interior frames; gable posts at 6 m spacing</w:t>
            </w:r>
          </w:p>
        </w:tc>
      </w:tr>
      <w:tr>
        <w:trPr>
          <w:cantSplit/>
        </w:trPr>
        <w:tc>
          <w:tcPr>
            <w:tcW w:type="dxa" w:w="3158"/>
            <w:shd w:fill="eef4f6"/>
            <w:vAlign w:val="top"/>
          </w:tcPr>
          <w:p>
            <w:pPr>
              <w:spacing w:after="40" w:before="40" w:line="240" w:lineRule="auto"/>
            </w:pPr>
            <w:r>
              <w:rPr>
                <w:b w:val="0"/>
                <w:i w:val="0"/>
                <w:sz w:val="17"/>
              </w:rPr>
              <w:t>Cladding / openings</w:t>
            </w:r>
          </w:p>
        </w:tc>
        <w:tc>
          <w:tcPr>
            <w:tcW w:type="dxa" w:w="7028"/>
            <w:shd w:fill="eef4f6"/>
            <w:vAlign w:val="top"/>
          </w:tcPr>
          <w:p>
            <w:pPr>
              <w:spacing w:after="40" w:before="40" w:line="240" w:lineRule="auto"/>
            </w:pPr>
            <w:r>
              <w:rPr>
                <w:b w:val="0"/>
                <w:i w:val="0"/>
                <w:sz w:val="17"/>
              </w:rPr>
              <w:t>0.47 mm Galvalume roof and walls; 3 m brick-wall height; 3 framed openings</w:t>
            </w:r>
          </w:p>
        </w:tc>
      </w:tr>
      <w:tr>
        <w:trPr>
          <w:cantSplit/>
        </w:trPr>
        <w:tc>
          <w:tcPr>
            <w:tcW w:type="dxa" w:w="3158"/>
            <w:vAlign w:val="top"/>
          </w:tcPr>
          <w:p>
            <w:pPr>
              <w:spacing w:after="40" w:before="40" w:line="240" w:lineRule="auto"/>
            </w:pPr>
            <w:r>
              <w:rPr>
                <w:b w:val="0"/>
                <w:i w:val="0"/>
                <w:sz w:val="17"/>
              </w:rPr>
              <w:t>Canopies / mezzanine</w:t>
            </w:r>
          </w:p>
        </w:tc>
        <w:tc>
          <w:tcPr>
            <w:tcW w:type="dxa" w:w="7028"/>
            <w:vAlign w:val="top"/>
          </w:tcPr>
          <w:p>
            <w:pPr>
              <w:spacing w:after="40" w:before="40" w:line="240" w:lineRule="auto"/>
            </w:pPr>
            <w:r>
              <w:rPr>
                <w:b w:val="0"/>
                <w:i w:val="0"/>
                <w:sz w:val="17"/>
              </w:rPr>
              <w:t>Three canopy zones with 3 m projection; no mezzanine stated</w:t>
            </w:r>
          </w:p>
        </w:tc>
      </w:tr>
      <w:tr>
        <w:trPr>
          <w:cantSplit/>
        </w:trPr>
        <w:tc>
          <w:tcPr>
            <w:tcW w:type="dxa" w:w="3158"/>
            <w:shd w:fill="eef4f6"/>
            <w:vAlign w:val="top"/>
          </w:tcPr>
          <w:p>
            <w:pPr>
              <w:spacing w:after="40" w:before="40" w:line="240" w:lineRule="auto"/>
            </w:pPr>
            <w:r>
              <w:rPr>
                <w:b w:val="0"/>
                <w:i w:val="0"/>
                <w:sz w:val="17"/>
              </w:rPr>
              <w:t>Materials in analysis</w:t>
            </w:r>
          </w:p>
        </w:tc>
        <w:tc>
          <w:tcPr>
            <w:tcW w:type="dxa" w:w="7028"/>
            <w:shd w:fill="eef4f6"/>
            <w:vAlign w:val="top"/>
          </w:tcPr>
          <w:p>
            <w:pPr>
              <w:spacing w:after="40" w:before="40" w:line="240" w:lineRule="auto"/>
            </w:pPr>
            <w:r>
              <w:rPr>
                <w:b w:val="0"/>
                <w:i w:val="0"/>
                <w:sz w:val="17"/>
              </w:rPr>
              <w:t>Primary steel fy/fu = 345/490 MPa; SHS 310/450 MPa; rods 250/420 MPa</w:t>
            </w:r>
          </w:p>
        </w:tc>
      </w:tr>
    </w:tbl>
    <w:p>
      <w:pPr>
        <w:spacing w:after="40"/>
      </w:pPr>
      <w:r>
        <w:rPr>
          <w:b w:val="0"/>
          <w:i w:val="0"/>
          <w:sz w:val="2"/>
        </w:rPr>
      </w:r>
    </w:p>
    <w:p>
      <w:pPr>
        <w:pStyle w:val="Heading2"/>
      </w:pPr>
      <w:r>
        <w:rPr>
          <w:b w:val="0"/>
          <w:i w:val="0"/>
        </w:rPr>
        <w:t>Types of structures considered during training</w:t>
      </w:r>
    </w:p>
    <w:tbl>
      <w:tblPr>
        <w:tblW w:type="auto" w:w="0"/>
        <w:jc w:val="center"/>
        <w:tblLayout w:type="fixed"/>
        <w:tblLook w:firstColumn="1" w:firstRow="1" w:lastColumn="0" w:lastRow="0" w:noHBand="0" w:noVBand="1" w:val="04A0"/>
      </w:tblPr>
      <w:tblGrid>
        <w:gridCol w:w="2852"/>
        <w:gridCol w:w="7334"/>
      </w:tblGrid>
      <w:tr>
        <w:trPr>
          <w:cantSplit/>
        </w:trPr>
        <w:tc>
          <w:tcPr>
            <w:tcW w:type="dxa" w:w="2852"/>
            <w:shd w:fill="183247"/>
          </w:tcPr>
          <w:p>
            <w:pPr>
              <w:spacing w:after="40" w:before="40"/>
            </w:pPr>
            <w:r>
              <w:rPr>
                <w:b/>
                <w:i w:val="0"/>
                <w:color w:val="FFFFFF"/>
                <w:sz w:val="17"/>
              </w:rPr>
              <w:t>System</w:t>
            </w:r>
          </w:p>
        </w:tc>
        <w:tc>
          <w:tcPr>
            <w:tcW w:type="dxa" w:w="7334"/>
            <w:shd w:fill="183247"/>
          </w:tcPr>
          <w:p>
            <w:pPr>
              <w:spacing w:after="40" w:before="40"/>
            </w:pPr>
            <w:r>
              <w:rPr>
                <w:b/>
                <w:i w:val="0"/>
                <w:color w:val="FFFFFF"/>
                <w:sz w:val="17"/>
              </w:rPr>
              <w:t>Structural action and relevance</w:t>
            </w:r>
          </w:p>
        </w:tc>
      </w:tr>
      <w:tr>
        <w:trPr>
          <w:cantSplit/>
        </w:trPr>
        <w:tc>
          <w:tcPr>
            <w:tcW w:type="dxa" w:w="2852"/>
            <w:shd w:fill="eef4f6"/>
            <w:vAlign w:val="top"/>
          </w:tcPr>
          <w:p>
            <w:pPr>
              <w:spacing w:after="40" w:before="40" w:line="240" w:lineRule="auto"/>
            </w:pPr>
            <w:r>
              <w:rPr>
                <w:b w:val="0"/>
                <w:i w:val="0"/>
                <w:sz w:val="17"/>
              </w:rPr>
              <w:t>RCC frame</w:t>
            </w:r>
          </w:p>
        </w:tc>
        <w:tc>
          <w:tcPr>
            <w:tcW w:type="dxa" w:w="7334"/>
            <w:shd w:fill="eef4f6"/>
            <w:vAlign w:val="top"/>
          </w:tcPr>
          <w:p>
            <w:pPr>
              <w:spacing w:after="40" w:before="40" w:line="240" w:lineRule="auto"/>
            </w:pPr>
            <w:r>
              <w:rPr>
                <w:b w:val="0"/>
                <w:i w:val="0"/>
                <w:sz w:val="17"/>
              </w:rPr>
              <w:t>Concrete beams and columns resist bending and axial force; a useful comparison for stiffness, weight and construction sequence.</w:t>
            </w:r>
          </w:p>
        </w:tc>
      </w:tr>
      <w:tr>
        <w:trPr>
          <w:cantSplit/>
        </w:trPr>
        <w:tc>
          <w:tcPr>
            <w:tcW w:type="dxa" w:w="2852"/>
            <w:vAlign w:val="top"/>
          </w:tcPr>
          <w:p>
            <w:pPr>
              <w:spacing w:after="40" w:before="40" w:line="240" w:lineRule="auto"/>
            </w:pPr>
            <w:r>
              <w:rPr>
                <w:b w:val="0"/>
                <w:i w:val="0"/>
                <w:sz w:val="17"/>
              </w:rPr>
              <w:t>Conventional steel frame</w:t>
            </w:r>
          </w:p>
        </w:tc>
        <w:tc>
          <w:tcPr>
            <w:tcW w:type="dxa" w:w="7334"/>
            <w:vAlign w:val="top"/>
          </w:tcPr>
          <w:p>
            <w:pPr>
              <w:spacing w:after="40" w:before="40" w:line="240" w:lineRule="auto"/>
            </w:pPr>
            <w:r>
              <w:rPr>
                <w:b w:val="0"/>
                <w:i w:val="0"/>
                <w:sz w:val="17"/>
              </w:rPr>
              <w:t>Rolled sections or trusses; suitable for varied layouts, with member sizes selected from standard products.</w:t>
            </w:r>
          </w:p>
        </w:tc>
      </w:tr>
      <w:tr>
        <w:trPr>
          <w:cantSplit/>
        </w:trPr>
        <w:tc>
          <w:tcPr>
            <w:tcW w:type="dxa" w:w="2852"/>
            <w:shd w:fill="eef4f6"/>
            <w:vAlign w:val="top"/>
          </w:tcPr>
          <w:p>
            <w:pPr>
              <w:spacing w:after="40" w:before="40" w:line="240" w:lineRule="auto"/>
            </w:pPr>
            <w:r>
              <w:rPr>
                <w:b w:val="0"/>
                <w:i w:val="0"/>
                <w:sz w:val="17"/>
              </w:rPr>
              <w:t>PEB rigid frame</w:t>
            </w:r>
          </w:p>
        </w:tc>
        <w:tc>
          <w:tcPr>
            <w:tcW w:type="dxa" w:w="7334"/>
            <w:shd w:fill="eef4f6"/>
            <w:vAlign w:val="top"/>
          </w:tcPr>
          <w:p>
            <w:pPr>
              <w:spacing w:after="40" w:before="40" w:line="240" w:lineRule="auto"/>
            </w:pPr>
            <w:r>
              <w:rPr>
                <w:b w:val="0"/>
                <w:i w:val="0"/>
                <w:sz w:val="17"/>
              </w:rPr>
              <w:t>Welded tapered columns and rafters; moment joints provide transverse frame action. This is the principal system studied.</w:t>
            </w:r>
          </w:p>
        </w:tc>
      </w:tr>
      <w:tr>
        <w:trPr>
          <w:cantSplit/>
        </w:trPr>
        <w:tc>
          <w:tcPr>
            <w:tcW w:type="dxa" w:w="2852"/>
            <w:vAlign w:val="top"/>
          </w:tcPr>
          <w:p>
            <w:pPr>
              <w:spacing w:after="40" w:before="40" w:line="240" w:lineRule="auto"/>
            </w:pPr>
            <w:r>
              <w:rPr>
                <w:b w:val="0"/>
                <w:i w:val="0"/>
                <w:sz w:val="17"/>
              </w:rPr>
              <w:t>Braced steel system</w:t>
            </w:r>
          </w:p>
        </w:tc>
        <w:tc>
          <w:tcPr>
            <w:tcW w:type="dxa" w:w="7334"/>
            <w:vAlign w:val="top"/>
          </w:tcPr>
          <w:p>
            <w:pPr>
              <w:spacing w:after="40" w:before="40" w:line="240" w:lineRule="auto"/>
            </w:pPr>
            <w:r>
              <w:rPr>
                <w:b w:val="0"/>
                <w:i w:val="0"/>
                <w:sz w:val="17"/>
              </w:rPr>
              <w:t>Roof and wall diagonals transfer longitudinal actions; the supplied model uses tension-only rods.</w:t>
            </w:r>
          </w:p>
        </w:tc>
      </w:tr>
      <w:tr>
        <w:trPr>
          <w:cantSplit/>
        </w:trPr>
        <w:tc>
          <w:tcPr>
            <w:tcW w:type="dxa" w:w="2852"/>
            <w:shd w:fill="eef4f6"/>
            <w:vAlign w:val="top"/>
          </w:tcPr>
          <w:p>
            <w:pPr>
              <w:spacing w:after="40" w:before="40" w:line="240" w:lineRule="auto"/>
            </w:pPr>
            <w:r>
              <w:rPr>
                <w:b w:val="0"/>
                <w:i w:val="0"/>
                <w:sz w:val="17"/>
              </w:rPr>
              <w:t>Secondary / cladding system</w:t>
            </w:r>
          </w:p>
        </w:tc>
        <w:tc>
          <w:tcPr>
            <w:tcW w:type="dxa" w:w="7334"/>
            <w:shd w:fill="eef4f6"/>
            <w:vAlign w:val="top"/>
          </w:tcPr>
          <w:p>
            <w:pPr>
              <w:spacing w:after="40" w:before="40" w:line="240" w:lineRule="auto"/>
            </w:pPr>
            <w:r>
              <w:rPr>
                <w:b w:val="0"/>
                <w:i w:val="0"/>
                <w:sz w:val="17"/>
              </w:rPr>
              <w:t>Purlins, girts and eave struts transfer surface pressures to primary steel and provide designed restraints.</w:t>
            </w:r>
          </w:p>
        </w:tc>
      </w:tr>
    </w:tbl>
    <w:p>
      <w:pPr>
        <w:spacing w:after="40"/>
      </w:pPr>
      <w:r>
        <w:rPr>
          <w:b w:val="0"/>
          <w:i w:val="0"/>
          <w:sz w:val="2"/>
        </w:rPr>
      </w:r>
    </w:p>
    <w:p>
      <w:pPr>
        <w:ind w:left="120" w:right="120"/>
        <w:shd w:fill="EEF4F6"/>
      </w:pPr>
      <w:r>
        <w:rPr>
          <w:b w:val="0"/>
          <w:i w:val="0"/>
          <w:sz w:val="19"/>
        </w:rPr>
        <w:t>Roof rise = 18 / 12 = 1.50 m; roof angle = tan⁻¹(1/12) = 4.764°; sloping length = √(18² + 1.5²) = 18.062 m.</w:t>
      </w:r>
    </w:p>
    <w:p>
      <w:pPr>
        <w:ind w:left="120" w:right="120"/>
        <w:shd w:fill="FAF1E9"/>
      </w:pPr>
      <w:r>
        <w:rPr>
          <w:b w:val="0"/>
          <w:i w:val="0"/>
          <w:sz w:val="18"/>
        </w:rPr>
        <w:t>The overall width is 36 m, but the model has ridge columns. It must therefore be described as a supported two-span arrangement, rather than a 36 m unobstructed clear span. Clear architectural height and analytical node elevation are different dimensions.</w:t>
      </w:r>
    </w:p>
    <w:p>
      <w:r>
        <w:rPr>
          <w:b w:val="0"/>
          <w:i w:val="0"/>
          <w:sz w:val="15"/>
        </w:rPr>
        <w:t>Source basis: [S1] pp.1–4; [S2] joint coordinates, commands 8–45, and material/design assignments.</w:t>
      </w:r>
    </w:p>
    <w:p>
      <w:r>
        <w:br w:type="page"/>
      </w:r>
    </w:p>
    <w:p>
      <w:r>
        <w:rPr>
          <w:b w:val="0"/>
          <w:i w:val="0"/>
          <w:color w:val="087E8B"/>
          <w:sz w:val="18"/>
        </w:rPr>
        <w:t>WEEK 1 • GRAVITY ACTIONS</w:t>
      </w:r>
    </w:p>
    <w:p>
      <w:pPr>
        <w:pStyle w:val="Heading1"/>
      </w:pPr>
      <w:r>
        <w:rPr>
          <w:b w:val="0"/>
          <w:i w:val="0"/>
        </w:rPr>
        <w:t>Dead load and imposed load calculations</w:t>
      </w:r>
    </w:p>
    <w:p>
      <w:pPr>
        <w:pStyle w:val="Heading2"/>
      </w:pPr>
      <w:r>
        <w:rPr>
          <w:b w:val="0"/>
          <w:i w:val="0"/>
        </w:rPr>
        <w:t>Dead load (DL)</w:t>
      </w:r>
    </w:p>
    <w:p>
      <w:r>
        <w:rPr>
          <w:b w:val="0"/>
          <w:i w:val="0"/>
          <w:sz w:val="20"/>
        </w:rPr>
        <w:t>The model generates steel self-weight in global −Y and multiplies it by 1.15 to include the stated connection allowance. Roof and wall loads are added separately. The training slides use the rounded conversion 100 kg ≈ 1 kN; the following reproduction retains their adopted load values. Detailed design should use a consistent unit-weight convention.</w:t>
      </w:r>
    </w:p>
    <w:tbl>
      <w:tblPr>
        <w:tblW w:type="auto" w:w="0"/>
        <w:jc w:val="center"/>
        <w:tblLayout w:type="fixed"/>
        <w:tblLook w:firstColumn="1" w:firstRow="1" w:lastColumn="0" w:lastRow="0" w:noHBand="0" w:noVBand="1" w:val="04A0"/>
      </w:tblPr>
      <w:tblGrid>
        <w:gridCol w:w="3158"/>
        <w:gridCol w:w="2139"/>
        <w:gridCol w:w="4889"/>
      </w:tblGrid>
      <w:tr>
        <w:trPr>
          <w:cantSplit/>
        </w:trPr>
        <w:tc>
          <w:tcPr>
            <w:tcW w:type="dxa" w:w="3158"/>
            <w:shd w:fill="183247"/>
          </w:tcPr>
          <w:p>
            <w:pPr>
              <w:spacing w:after="40" w:before="40"/>
            </w:pPr>
            <w:r>
              <w:rPr>
                <w:b/>
                <w:i w:val="0"/>
                <w:color w:val="FFFFFF"/>
                <w:sz w:val="17"/>
              </w:rPr>
              <w:t>Roof load component</w:t>
            </w:r>
          </w:p>
        </w:tc>
        <w:tc>
          <w:tcPr>
            <w:tcW w:type="dxa" w:w="2139"/>
            <w:shd w:fill="183247"/>
          </w:tcPr>
          <w:p>
            <w:pPr>
              <w:spacing w:after="40" w:before="40"/>
            </w:pPr>
            <w:r>
              <w:rPr>
                <w:b/>
                <w:i w:val="0"/>
                <w:color w:val="FFFFFF"/>
                <w:sz w:val="17"/>
              </w:rPr>
              <w:t>Adopted value</w:t>
            </w:r>
          </w:p>
        </w:tc>
        <w:tc>
          <w:tcPr>
            <w:tcW w:type="dxa" w:w="4889"/>
            <w:shd w:fill="183247"/>
          </w:tcPr>
          <w:p>
            <w:pPr>
              <w:spacing w:after="40" w:before="40"/>
            </w:pPr>
            <w:r>
              <w:rPr>
                <w:b/>
                <w:i w:val="0"/>
                <w:color w:val="FFFFFF"/>
                <w:sz w:val="17"/>
              </w:rPr>
              <w:t>Calculation / interpretation</w:t>
            </w:r>
          </w:p>
        </w:tc>
      </w:tr>
      <w:tr>
        <w:trPr>
          <w:cantSplit/>
        </w:trPr>
        <w:tc>
          <w:tcPr>
            <w:tcW w:type="dxa" w:w="3158"/>
            <w:shd w:fill="eef4f6"/>
            <w:vAlign w:val="top"/>
          </w:tcPr>
          <w:p>
            <w:pPr>
              <w:spacing w:after="40" w:before="40" w:line="240" w:lineRule="auto"/>
            </w:pPr>
            <w:r>
              <w:rPr>
                <w:b w:val="0"/>
                <w:i w:val="0"/>
                <w:sz w:val="17"/>
              </w:rPr>
              <w:t>Roof sheeting</w:t>
            </w:r>
          </w:p>
        </w:tc>
        <w:tc>
          <w:tcPr>
            <w:tcW w:type="dxa" w:w="2139"/>
            <w:shd w:fill="eef4f6"/>
            <w:vAlign w:val="top"/>
          </w:tcPr>
          <w:p>
            <w:pPr>
              <w:spacing w:after="40" w:before="40" w:line="240" w:lineRule="auto"/>
            </w:pPr>
            <w:r>
              <w:rPr>
                <w:b w:val="0"/>
                <w:i w:val="0"/>
                <w:sz w:val="17"/>
              </w:rPr>
              <w:t>5 kg/m²</w:t>
            </w:r>
          </w:p>
        </w:tc>
        <w:tc>
          <w:tcPr>
            <w:tcW w:type="dxa" w:w="4889"/>
            <w:shd w:fill="eef4f6"/>
            <w:vAlign w:val="top"/>
          </w:tcPr>
          <w:p>
            <w:pPr>
              <w:spacing w:after="40" w:before="40" w:line="240" w:lineRule="auto"/>
            </w:pPr>
            <w:r>
              <w:rPr>
                <w:b w:val="0"/>
                <w:i w:val="0"/>
                <w:sz w:val="17"/>
              </w:rPr>
              <w:t>0.47 mm sheet, as assumed in the source</w:t>
            </w:r>
          </w:p>
        </w:tc>
      </w:tr>
      <w:tr>
        <w:trPr>
          <w:cantSplit/>
        </w:trPr>
        <w:tc>
          <w:tcPr>
            <w:tcW w:type="dxa" w:w="3158"/>
            <w:vAlign w:val="top"/>
          </w:tcPr>
          <w:p>
            <w:pPr>
              <w:spacing w:after="40" w:before="40" w:line="240" w:lineRule="auto"/>
            </w:pPr>
            <w:r>
              <w:rPr>
                <w:b w:val="0"/>
                <w:i w:val="0"/>
                <w:sz w:val="17"/>
              </w:rPr>
              <w:t>Sag rods and flange braces</w:t>
            </w:r>
          </w:p>
        </w:tc>
        <w:tc>
          <w:tcPr>
            <w:tcW w:type="dxa" w:w="2139"/>
            <w:vAlign w:val="top"/>
          </w:tcPr>
          <w:p>
            <w:pPr>
              <w:spacing w:after="40" w:before="40" w:line="240" w:lineRule="auto"/>
            </w:pPr>
            <w:r>
              <w:rPr>
                <w:b w:val="0"/>
                <w:i w:val="0"/>
                <w:sz w:val="17"/>
              </w:rPr>
              <w:t>5 kg/m²</w:t>
            </w:r>
          </w:p>
        </w:tc>
        <w:tc>
          <w:tcPr>
            <w:tcW w:type="dxa" w:w="4889"/>
            <w:vAlign w:val="top"/>
          </w:tcPr>
          <w:p>
            <w:pPr>
              <w:spacing w:after="40" w:before="40" w:line="240" w:lineRule="auto"/>
            </w:pPr>
            <w:r>
              <w:rPr>
                <w:b w:val="0"/>
                <w:i w:val="0"/>
                <w:sz w:val="17"/>
              </w:rPr>
              <w:t>Allowance stated in the training PDF</w:t>
            </w:r>
          </w:p>
        </w:tc>
      </w:tr>
      <w:tr>
        <w:trPr>
          <w:cantSplit/>
        </w:trPr>
        <w:tc>
          <w:tcPr>
            <w:tcW w:type="dxa" w:w="3158"/>
            <w:shd w:fill="eef4f6"/>
            <w:vAlign w:val="top"/>
          </w:tcPr>
          <w:p>
            <w:pPr>
              <w:spacing w:after="40" w:before="40" w:line="240" w:lineRule="auto"/>
            </w:pPr>
            <w:r>
              <w:rPr>
                <w:b w:val="0"/>
                <w:i w:val="0"/>
                <w:sz w:val="17"/>
              </w:rPr>
              <w:t>Collateral load</w:t>
            </w:r>
          </w:p>
        </w:tc>
        <w:tc>
          <w:tcPr>
            <w:tcW w:type="dxa" w:w="2139"/>
            <w:shd w:fill="eef4f6"/>
            <w:vAlign w:val="top"/>
          </w:tcPr>
          <w:p>
            <w:pPr>
              <w:spacing w:after="40" w:before="40" w:line="240" w:lineRule="auto"/>
            </w:pPr>
            <w:r>
              <w:rPr>
                <w:b w:val="0"/>
                <w:i w:val="0"/>
                <w:sz w:val="17"/>
              </w:rPr>
              <w:t>10 kg/m²</w:t>
            </w:r>
          </w:p>
        </w:tc>
        <w:tc>
          <w:tcPr>
            <w:tcW w:type="dxa" w:w="4889"/>
            <w:shd w:fill="eef4f6"/>
            <w:vAlign w:val="top"/>
          </w:tcPr>
          <w:p>
            <w:pPr>
              <w:spacing w:after="40" w:before="40" w:line="240" w:lineRule="auto"/>
            </w:pPr>
            <w:r>
              <w:rPr>
                <w:b w:val="0"/>
                <w:i w:val="0"/>
                <w:sz w:val="17"/>
              </w:rPr>
              <w:t>Services allowance; specific supported equipment requires confirmation</w:t>
            </w:r>
          </w:p>
        </w:tc>
      </w:tr>
      <w:tr>
        <w:trPr>
          <w:cantSplit/>
        </w:trPr>
        <w:tc>
          <w:tcPr>
            <w:tcW w:type="dxa" w:w="3158"/>
            <w:vAlign w:val="top"/>
          </w:tcPr>
          <w:p>
            <w:pPr>
              <w:spacing w:after="40" w:before="40" w:line="240" w:lineRule="auto"/>
            </w:pPr>
            <w:r>
              <w:rPr>
                <w:b w:val="0"/>
                <w:i w:val="0"/>
                <w:sz w:val="17"/>
              </w:rPr>
              <w:t>Total surface allowance</w:t>
            </w:r>
          </w:p>
        </w:tc>
        <w:tc>
          <w:tcPr>
            <w:tcW w:type="dxa" w:w="2139"/>
            <w:vAlign w:val="top"/>
          </w:tcPr>
          <w:p>
            <w:pPr>
              <w:spacing w:after="40" w:before="40" w:line="240" w:lineRule="auto"/>
            </w:pPr>
            <w:r>
              <w:rPr>
                <w:b w:val="0"/>
                <w:i w:val="0"/>
                <w:sz w:val="17"/>
              </w:rPr>
              <w:t>0.20 kN/m²</w:t>
            </w:r>
          </w:p>
        </w:tc>
        <w:tc>
          <w:tcPr>
            <w:tcW w:type="dxa" w:w="4889"/>
            <w:vAlign w:val="top"/>
          </w:tcPr>
          <w:p>
            <w:pPr>
              <w:spacing w:after="40" w:before="40" w:line="240" w:lineRule="auto"/>
            </w:pPr>
            <w:r>
              <w:rPr>
                <w:b w:val="0"/>
                <w:i w:val="0"/>
                <w:sz w:val="17"/>
              </w:rPr>
              <w:t>20 kg/m² using the source conversion</w:t>
            </w:r>
          </w:p>
        </w:tc>
      </w:tr>
      <w:tr>
        <w:trPr>
          <w:cantSplit/>
        </w:trPr>
        <w:tc>
          <w:tcPr>
            <w:tcW w:type="dxa" w:w="3158"/>
            <w:shd w:fill="eef4f6"/>
            <w:vAlign w:val="top"/>
          </w:tcPr>
          <w:p>
            <w:pPr>
              <w:spacing w:after="40" w:before="40" w:line="240" w:lineRule="auto"/>
            </w:pPr>
            <w:r>
              <w:rPr>
                <w:b w:val="0"/>
                <w:i w:val="0"/>
                <w:sz w:val="17"/>
              </w:rPr>
              <w:t>Load on main-frame rafter</w:t>
            </w:r>
          </w:p>
        </w:tc>
        <w:tc>
          <w:tcPr>
            <w:tcW w:type="dxa" w:w="2139"/>
            <w:shd w:fill="eef4f6"/>
            <w:vAlign w:val="top"/>
          </w:tcPr>
          <w:p>
            <w:pPr>
              <w:spacing w:after="40" w:before="40" w:line="240" w:lineRule="auto"/>
            </w:pPr>
            <w:r>
              <w:rPr>
                <w:b w:val="0"/>
                <w:i w:val="0"/>
                <w:sz w:val="17"/>
              </w:rPr>
              <w:t>1.620 kN/m</w:t>
            </w:r>
          </w:p>
        </w:tc>
        <w:tc>
          <w:tcPr>
            <w:tcW w:type="dxa" w:w="4889"/>
            <w:shd w:fill="eef4f6"/>
            <w:vAlign w:val="top"/>
          </w:tcPr>
          <w:p>
            <w:pPr>
              <w:spacing w:after="40" w:before="40" w:line="240" w:lineRule="auto"/>
            </w:pPr>
            <w:r>
              <w:rPr>
                <w:b w:val="0"/>
                <w:i w:val="0"/>
                <w:sz w:val="17"/>
              </w:rPr>
              <w:t>0.20 × 8.1 tributary width</w:t>
            </w:r>
          </w:p>
        </w:tc>
      </w:tr>
      <w:tr>
        <w:trPr>
          <w:cantSplit/>
        </w:trPr>
        <w:tc>
          <w:tcPr>
            <w:tcW w:type="dxa" w:w="3158"/>
            <w:vAlign w:val="top"/>
          </w:tcPr>
          <w:p>
            <w:pPr>
              <w:spacing w:after="40" w:before="40" w:line="240" w:lineRule="auto"/>
            </w:pPr>
            <w:r>
              <w:rPr>
                <w:b w:val="0"/>
                <w:i w:val="0"/>
                <w:sz w:val="17"/>
              </w:rPr>
              <w:t>Purlin equivalent line load</w:t>
            </w:r>
          </w:p>
        </w:tc>
        <w:tc>
          <w:tcPr>
            <w:tcW w:type="dxa" w:w="2139"/>
            <w:vAlign w:val="top"/>
          </w:tcPr>
          <w:p>
            <w:pPr>
              <w:spacing w:after="40" w:before="40" w:line="240" w:lineRule="auto"/>
            </w:pPr>
            <w:r>
              <w:rPr>
                <w:b w:val="0"/>
                <w:i w:val="0"/>
                <w:sz w:val="17"/>
              </w:rPr>
              <w:t>0.551 kN/m</w:t>
            </w:r>
          </w:p>
        </w:tc>
        <w:tc>
          <w:tcPr>
            <w:tcW w:type="dxa" w:w="4889"/>
            <w:vAlign w:val="top"/>
          </w:tcPr>
          <w:p>
            <w:pPr>
              <w:spacing w:after="40" w:before="40" w:line="240" w:lineRule="auto"/>
            </w:pPr>
            <w:r>
              <w:rPr>
                <w:b w:val="0"/>
                <w:i w:val="0"/>
                <w:sz w:val="17"/>
              </w:rPr>
              <w:t>14 × 8.1 × 8.77 / 18.062 = 55.06 kg/m</w:t>
            </w:r>
          </w:p>
        </w:tc>
      </w:tr>
      <w:tr>
        <w:trPr>
          <w:cantSplit/>
        </w:trPr>
        <w:tc>
          <w:tcPr>
            <w:tcW w:type="dxa" w:w="3158"/>
            <w:shd w:fill="eef4f6"/>
            <w:vAlign w:val="top"/>
          </w:tcPr>
          <w:p>
            <w:pPr>
              <w:spacing w:after="40" w:before="40" w:line="240" w:lineRule="auto"/>
            </w:pPr>
            <w:r>
              <w:rPr>
                <w:b w:val="0"/>
                <w:i w:val="0"/>
                <w:sz w:val="17"/>
              </w:rPr>
              <w:t>Total applied roof DL</w:t>
            </w:r>
          </w:p>
        </w:tc>
        <w:tc>
          <w:tcPr>
            <w:tcW w:type="dxa" w:w="2139"/>
            <w:shd w:fill="eef4f6"/>
            <w:vAlign w:val="top"/>
          </w:tcPr>
          <w:p>
            <w:pPr>
              <w:spacing w:after="40" w:before="40" w:line="240" w:lineRule="auto"/>
            </w:pPr>
            <w:r>
              <w:rPr>
                <w:b w:val="0"/>
                <w:i w:val="0"/>
                <w:sz w:val="17"/>
              </w:rPr>
              <w:t>2.171 kN/m</w:t>
            </w:r>
          </w:p>
        </w:tc>
        <w:tc>
          <w:tcPr>
            <w:tcW w:type="dxa" w:w="4889"/>
            <w:shd w:fill="eef4f6"/>
            <w:vAlign w:val="top"/>
          </w:tcPr>
          <w:p>
            <w:pPr>
              <w:spacing w:after="40" w:before="40" w:line="240" w:lineRule="auto"/>
            </w:pPr>
            <w:r>
              <w:rPr>
                <w:b w:val="0"/>
                <w:i w:val="0"/>
                <w:sz w:val="17"/>
              </w:rPr>
              <w:t>1.620 + 0.551; end-frame value ≈ 1.086 kN/m</w:t>
            </w:r>
          </w:p>
        </w:tc>
      </w:tr>
    </w:tbl>
    <w:p>
      <w:pPr>
        <w:spacing w:after="40"/>
      </w:pPr>
      <w:r>
        <w:rPr>
          <w:b w:val="0"/>
          <w:i w:val="0"/>
          <w:sz w:val="2"/>
        </w:rPr>
      </w:r>
    </w:p>
    <w:p>
      <w:r>
        <w:rPr>
          <w:b w:val="0"/>
          <w:i w:val="0"/>
          <w:sz w:val="20"/>
        </w:rPr>
        <w:t>The purlin assumption is Z 270 × 75 × 20 × 2.55 mm, weighing 8.77 kg/m. Fourteen lines along an 18.062 m slope correspond to 13 spaces, or about 1.389 m average spacing. A layout limited to 1.5 m spacing requires a ceiling operation: ceil(18.062/1.5) + 1 = 14 lines. The exact eave/ridge sharing and member layout must be reconciled.</w:t>
      </w:r>
    </w:p>
    <w:p>
      <w:pPr>
        <w:ind w:left="120" w:right="120"/>
        <w:shd w:fill="EEF4F6"/>
      </w:pPr>
      <w:r>
        <w:rPr>
          <w:b w:val="0"/>
          <w:i w:val="0"/>
          <w:sz w:val="19"/>
        </w:rPr>
        <w:t>Side-column DL = 0.10 × 8.1 + 0.608 ≈ 1.410 kN/m.</w:t>
        <w:br/>
        <w:t>Gable-post DL = 0.10 × 6.0 + 0.380 = 0.980 kN/m.</w:t>
        <w:br/>
        <w:t>Eave-strut + gutter point load = (10.70 + 5.89) × 8.1 / 100 = 1.344 kN.</w:t>
      </w:r>
    </w:p>
    <w:p>
      <w:pPr>
        <w:pStyle w:val="Heading2"/>
      </w:pPr>
      <w:r>
        <w:rPr>
          <w:b w:val="0"/>
          <w:i w:val="0"/>
        </w:rPr>
        <w:t>Roof imposed load and gutter water</w:t>
      </w:r>
    </w:p>
    <w:p>
      <w:r>
        <w:rPr>
          <w:b w:val="0"/>
          <w:i w:val="0"/>
          <w:sz w:val="20"/>
        </w:rPr>
        <w:t>The training basis adopts 0.75 kN/m² for the low-slope roof without general access. Loads in the ANL are applied as member UDLs in global −Y. For final input, distinguish loads defined on plan area from loads per sloping member length; the source directly uses the tributary-width products below.</w:t>
      </w:r>
    </w:p>
    <w:p>
      <w:pPr>
        <w:ind w:left="120" w:right="120"/>
        <w:shd w:fill="EEF4F6"/>
      </w:pPr>
      <w:r>
        <w:rPr>
          <w:b w:val="0"/>
          <w:i w:val="0"/>
          <w:sz w:val="19"/>
        </w:rPr>
        <w:t>Main-frame roof LL = 0.75 × 8.1 = 6.075 kN/m.</w:t>
        <w:br/>
        <w:t>End-frame roof LL = 0.5 × 6.075 = 3.0375 kN/m.</w:t>
        <w:br/>
        <w:t>Gutter-water load = 0.25 × 0.25 × 10 × 8.1 = 5.0625 kN per interior eave node.</w:t>
        <w:br/>
        <w:t>End-frame gutter-water load = 2.5313 kN (model rounded to 2.532 kN).</w:t>
      </w:r>
    </w:p>
    <w:p>
      <w:pPr>
        <w:ind w:left="120" w:right="120"/>
        <w:shd w:fill="FAF1E9"/>
      </w:pPr>
      <w:r>
        <w:rPr>
          <w:b w:val="0"/>
          <w:i w:val="0"/>
          <w:sz w:val="18"/>
        </w:rPr>
        <w:t>The 8.1 m loading width is used in the supplied calculations even though most geometrical bays are 8.0 m. Brick-wall support, maintenance point loads, drainage blockage, erection loads and any equipment loads require an explicit design basis; they are not assumed to be verified by these calculations.</w:t>
      </w:r>
    </w:p>
    <w:p>
      <w:r>
        <w:rPr>
          <w:b w:val="0"/>
          <w:i w:val="0"/>
          <w:sz w:val="15"/>
        </w:rPr>
        <w:t>Source basis: [S1] pp.5, 9–12; [S2] commands 164–184. Imposed-load scope: [R2].</w:t>
      </w:r>
    </w:p>
    <w:p>
      <w:r>
        <w:br w:type="page"/>
      </w:r>
    </w:p>
    <w:p>
      <w:r>
        <w:rPr>
          <w:b w:val="0"/>
          <w:i w:val="0"/>
          <w:color w:val="087E8B"/>
          <w:sz w:val="18"/>
        </w:rPr>
        <w:t>WEEK 1 • LATERAL ACTIONS</w:t>
      </w:r>
    </w:p>
    <w:p>
      <w:pPr>
        <w:pStyle w:val="Heading1"/>
      </w:pPr>
      <w:r>
        <w:rPr>
          <w:b w:val="0"/>
          <w:i w:val="0"/>
        </w:rPr>
        <w:t>Wind and earthquake load calculations</w:t>
      </w:r>
    </w:p>
    <w:p>
      <w:pPr>
        <w:pStyle w:val="Heading2"/>
      </w:pPr>
      <w:r>
        <w:rPr>
          <w:b w:val="0"/>
          <w:i w:val="0"/>
        </w:rPr>
        <w:t>Wind calculation reproduced from the training PDF</w:t>
      </w:r>
    </w:p>
    <w:tbl>
      <w:tblPr>
        <w:tblW w:type="auto" w:w="0"/>
        <w:jc w:val="center"/>
        <w:tblLayout w:type="fixed"/>
        <w:tblLook w:firstColumn="1" w:firstRow="1" w:lastColumn="0" w:lastRow="0" w:noHBand="0" w:noVBand="1" w:val="04A0"/>
      </w:tblPr>
      <w:tblGrid>
        <w:gridCol w:w="3870"/>
        <w:gridCol w:w="6315"/>
      </w:tblGrid>
      <w:tr>
        <w:trPr>
          <w:cantSplit/>
        </w:trPr>
        <w:tc>
          <w:tcPr>
            <w:tcW w:type="dxa" w:w="3870"/>
            <w:shd w:fill="183247"/>
          </w:tcPr>
          <w:p>
            <w:pPr>
              <w:spacing w:after="40" w:before="40"/>
            </w:pPr>
            <w:r>
              <w:rPr>
                <w:b/>
                <w:i w:val="0"/>
                <w:color w:val="FFFFFF"/>
                <w:sz w:val="17"/>
              </w:rPr>
              <w:t>Input</w:t>
            </w:r>
          </w:p>
        </w:tc>
        <w:tc>
          <w:tcPr>
            <w:tcW w:type="dxa" w:w="6315"/>
            <w:shd w:fill="183247"/>
          </w:tcPr>
          <w:p>
            <w:pPr>
              <w:spacing w:after="40" w:before="40"/>
            </w:pPr>
            <w:r>
              <w:rPr>
                <w:b/>
                <w:i w:val="0"/>
                <w:color w:val="FFFFFF"/>
                <w:sz w:val="17"/>
              </w:rPr>
              <w:t>Adopted source value</w:t>
            </w:r>
          </w:p>
        </w:tc>
      </w:tr>
      <w:tr>
        <w:trPr>
          <w:cantSplit/>
        </w:trPr>
        <w:tc>
          <w:tcPr>
            <w:tcW w:type="dxa" w:w="3870"/>
            <w:shd w:fill="eef4f6"/>
            <w:vAlign w:val="top"/>
          </w:tcPr>
          <w:p>
            <w:pPr>
              <w:spacing w:after="40" w:before="40" w:line="240" w:lineRule="auto"/>
            </w:pPr>
            <w:r>
              <w:rPr>
                <w:b w:val="0"/>
                <w:i w:val="0"/>
                <w:sz w:val="17"/>
              </w:rPr>
              <w:t>Basic wind speed and modifiers</w:t>
            </w:r>
          </w:p>
        </w:tc>
        <w:tc>
          <w:tcPr>
            <w:tcW w:type="dxa" w:w="6315"/>
            <w:shd w:fill="eef4f6"/>
            <w:vAlign w:val="top"/>
          </w:tcPr>
          <w:p>
            <w:pPr>
              <w:spacing w:after="40" w:before="40" w:line="240" w:lineRule="auto"/>
            </w:pPr>
            <w:r>
              <w:rPr>
                <w:b w:val="0"/>
                <w:i w:val="0"/>
                <w:sz w:val="17"/>
              </w:rPr>
              <w:t>Vb = 50 m/s; k1 = 1.0; k2 = 1.0; k3 = 1.0; k4 = 1.15</w:t>
            </w:r>
          </w:p>
        </w:tc>
      </w:tr>
      <w:tr>
        <w:trPr>
          <w:cantSplit/>
        </w:trPr>
        <w:tc>
          <w:tcPr>
            <w:tcW w:type="dxa" w:w="3870"/>
            <w:vAlign w:val="top"/>
          </w:tcPr>
          <w:p>
            <w:pPr>
              <w:spacing w:after="40" w:before="40" w:line="240" w:lineRule="auto"/>
            </w:pPr>
            <w:r>
              <w:rPr>
                <w:b w:val="0"/>
                <w:i w:val="0"/>
                <w:sz w:val="17"/>
              </w:rPr>
              <w:t>Exposure / pressure modifiers</w:t>
            </w:r>
          </w:p>
        </w:tc>
        <w:tc>
          <w:tcPr>
            <w:tcW w:type="dxa" w:w="6315"/>
            <w:vAlign w:val="top"/>
          </w:tcPr>
          <w:p>
            <w:pPr>
              <w:spacing w:after="40" w:before="40" w:line="240" w:lineRule="auto"/>
            </w:pPr>
            <w:r>
              <w:rPr>
                <w:b w:val="0"/>
                <w:i w:val="0"/>
                <w:sz w:val="17"/>
              </w:rPr>
              <w:t>Terrain category 2; Kd = 1.0; Ka = 0.83; Kc = 0.90</w:t>
            </w:r>
          </w:p>
        </w:tc>
      </w:tr>
      <w:tr>
        <w:trPr>
          <w:cantSplit/>
        </w:trPr>
        <w:tc>
          <w:tcPr>
            <w:tcW w:type="dxa" w:w="3870"/>
            <w:shd w:fill="eef4f6"/>
            <w:vAlign w:val="top"/>
          </w:tcPr>
          <w:p>
            <w:pPr>
              <w:spacing w:after="40" w:before="40" w:line="240" w:lineRule="auto"/>
            </w:pPr>
            <w:r>
              <w:rPr>
                <w:b w:val="0"/>
                <w:i w:val="0"/>
                <w:sz w:val="17"/>
              </w:rPr>
              <w:t>Internal pressure</w:t>
            </w:r>
          </w:p>
        </w:tc>
        <w:tc>
          <w:tcPr>
            <w:tcW w:type="dxa" w:w="6315"/>
            <w:shd w:fill="eef4f6"/>
            <w:vAlign w:val="top"/>
          </w:tcPr>
          <w:p>
            <w:pPr>
              <w:spacing w:after="40" w:before="40" w:line="240" w:lineRule="auto"/>
            </w:pPr>
            <w:r>
              <w:rPr>
                <w:b w:val="0"/>
                <w:i w:val="0"/>
                <w:sz w:val="17"/>
              </w:rPr>
              <w:t>Cpi = +0.5 and −0.5; source assumes 5–20% openings</w:t>
            </w:r>
          </w:p>
        </w:tc>
      </w:tr>
      <w:tr>
        <w:trPr>
          <w:cantSplit/>
        </w:trPr>
        <w:tc>
          <w:tcPr>
            <w:tcW w:type="dxa" w:w="3870"/>
            <w:vAlign w:val="top"/>
          </w:tcPr>
          <w:p>
            <w:pPr>
              <w:spacing w:after="40" w:before="40" w:line="240" w:lineRule="auto"/>
            </w:pPr>
            <w:r>
              <w:rPr>
                <w:b w:val="0"/>
                <w:i w:val="0"/>
                <w:sz w:val="17"/>
              </w:rPr>
              <w:t>Dimensions used for coefficients</w:t>
            </w:r>
          </w:p>
        </w:tc>
        <w:tc>
          <w:tcPr>
            <w:tcW w:type="dxa" w:w="6315"/>
            <w:vAlign w:val="top"/>
          </w:tcPr>
          <w:p>
            <w:pPr>
              <w:spacing w:after="40" w:before="40" w:line="240" w:lineRule="auto"/>
            </w:pPr>
            <w:r>
              <w:rPr>
                <w:b w:val="0"/>
                <w:i w:val="0"/>
                <w:sz w:val="17"/>
              </w:rPr>
              <w:t>h/w = 10/36 = 0.278; L/w = 72.2/36 = 2.006</w:t>
            </w:r>
          </w:p>
        </w:tc>
      </w:tr>
    </w:tbl>
    <w:p>
      <w:pPr>
        <w:spacing w:after="40"/>
      </w:pPr>
      <w:r>
        <w:rPr>
          <w:b w:val="0"/>
          <w:i w:val="0"/>
          <w:sz w:val="2"/>
        </w:rPr>
      </w:r>
    </w:p>
    <w:p>
      <w:pPr>
        <w:ind w:left="120" w:right="120"/>
        <w:shd w:fill="EEF4F6"/>
      </w:pPr>
      <w:r>
        <w:rPr>
          <w:b w:val="0"/>
          <w:i w:val="0"/>
          <w:sz w:val="19"/>
        </w:rPr>
        <w:t>Vz = Vb k1 k2 k3 k4 = 50 × 1 × 1 × 1 × 1.15 = 57.5 m/s.</w:t>
        <w:br/>
        <w:t>pz = 0.6 Vz² = 1,983.75 N/m² = 1.984 kN/m².</w:t>
        <w:br/>
        <w:t>pd = Kd Ka Kc pz = 1 × 0.83 × 0.90 × 1.984 ≈ 1.482 kN/m².</w:t>
        <w:br/>
        <w:t>Net pressure = (Cpe − Cpi) pd; line load = net pressure × tributary width.</w:t>
      </w:r>
    </w:p>
    <w:tbl>
      <w:tblPr>
        <w:tblW w:type="auto" w:w="0"/>
        <w:jc w:val="center"/>
        <w:tblLayout w:type="fixed"/>
        <w:tblLook w:firstColumn="1" w:firstRow="1" w:lastColumn="0" w:lastRow="0" w:noHBand="0" w:noVBand="1" w:val="04A0"/>
      </w:tblPr>
      <w:tblGrid>
        <w:gridCol w:w="5296"/>
        <w:gridCol w:w="4889"/>
      </w:tblGrid>
      <w:tr>
        <w:trPr>
          <w:cantSplit/>
        </w:trPr>
        <w:tc>
          <w:tcPr>
            <w:tcW w:type="dxa" w:w="5296"/>
            <w:shd w:fill="183247"/>
          </w:tcPr>
          <w:p>
            <w:pPr>
              <w:spacing w:after="40" w:before="40"/>
            </w:pPr>
            <w:r>
              <w:rPr>
                <w:b/>
                <w:i w:val="0"/>
                <w:color w:val="FFFFFF"/>
                <w:sz w:val="17"/>
              </w:rPr>
              <w:t>Surface / source coefficients</w:t>
            </w:r>
          </w:p>
        </w:tc>
        <w:tc>
          <w:tcPr>
            <w:tcW w:type="dxa" w:w="4889"/>
            <w:shd w:fill="183247"/>
          </w:tcPr>
          <w:p>
            <w:pPr>
              <w:spacing w:after="40" w:before="40"/>
            </w:pPr>
            <w:r>
              <w:rPr>
                <w:b/>
                <w:i w:val="0"/>
                <w:color w:val="FFFFFF"/>
                <w:sz w:val="17"/>
              </w:rPr>
              <w:t>Worked line load at 8.1 m width</w:t>
            </w:r>
          </w:p>
        </w:tc>
      </w:tr>
      <w:tr>
        <w:trPr>
          <w:cantSplit/>
        </w:trPr>
        <w:tc>
          <w:tcPr>
            <w:tcW w:type="dxa" w:w="5296"/>
            <w:shd w:fill="eef4f6"/>
            <w:vAlign w:val="top"/>
          </w:tcPr>
          <w:p>
            <w:pPr>
              <w:spacing w:after="40" w:before="40" w:line="240" w:lineRule="auto"/>
            </w:pPr>
            <w:r>
              <w:rPr>
                <w:b w:val="0"/>
                <w:i w:val="0"/>
                <w:sz w:val="17"/>
              </w:rPr>
              <w:t>Windward wall; Cpe = +0.7, Cpi = +0.5</w:t>
            </w:r>
          </w:p>
        </w:tc>
        <w:tc>
          <w:tcPr>
            <w:tcW w:type="dxa" w:w="4889"/>
            <w:shd w:fill="eef4f6"/>
            <w:vAlign w:val="top"/>
          </w:tcPr>
          <w:p>
            <w:pPr>
              <w:spacing w:after="40" w:before="40" w:line="240" w:lineRule="auto"/>
            </w:pPr>
            <w:r>
              <w:rPr>
                <w:b w:val="0"/>
                <w:i w:val="0"/>
                <w:sz w:val="17"/>
              </w:rPr>
              <w:t>(+0.7 − 0.5) × 1.482 × 8.1 = +2.40 kN/m</w:t>
            </w:r>
          </w:p>
        </w:tc>
      </w:tr>
      <w:tr>
        <w:trPr>
          <w:cantSplit/>
        </w:trPr>
        <w:tc>
          <w:tcPr>
            <w:tcW w:type="dxa" w:w="5296"/>
            <w:vAlign w:val="top"/>
          </w:tcPr>
          <w:p>
            <w:pPr>
              <w:spacing w:after="40" w:before="40" w:line="240" w:lineRule="auto"/>
            </w:pPr>
            <w:r>
              <w:rPr>
                <w:b w:val="0"/>
                <w:i w:val="0"/>
                <w:sz w:val="17"/>
              </w:rPr>
              <w:t>Windward wall; Cpe = +0.7, Cpi = −0.5</w:t>
            </w:r>
          </w:p>
        </w:tc>
        <w:tc>
          <w:tcPr>
            <w:tcW w:type="dxa" w:w="4889"/>
            <w:vAlign w:val="top"/>
          </w:tcPr>
          <w:p>
            <w:pPr>
              <w:spacing w:after="40" w:before="40" w:line="240" w:lineRule="auto"/>
            </w:pPr>
            <w:r>
              <w:rPr>
                <w:b w:val="0"/>
                <w:i w:val="0"/>
                <w:sz w:val="17"/>
              </w:rPr>
              <w:t>(+0.7 + 0.5) × 1.482 × 8.1 = +14.41 kN/m</w:t>
            </w:r>
          </w:p>
        </w:tc>
      </w:tr>
      <w:tr>
        <w:trPr>
          <w:cantSplit/>
        </w:trPr>
        <w:tc>
          <w:tcPr>
            <w:tcW w:type="dxa" w:w="5296"/>
            <w:shd w:fill="eef4f6"/>
            <w:vAlign w:val="top"/>
          </w:tcPr>
          <w:p>
            <w:pPr>
              <w:spacing w:after="40" w:before="40" w:line="240" w:lineRule="auto"/>
            </w:pPr>
            <w:r>
              <w:rPr>
                <w:b w:val="0"/>
                <w:i w:val="0"/>
                <w:sz w:val="17"/>
              </w:rPr>
              <w:t>Roof EF at 0°; Cpe = −0.9, Cpi = +0.5</w:t>
            </w:r>
          </w:p>
        </w:tc>
        <w:tc>
          <w:tcPr>
            <w:tcW w:type="dxa" w:w="4889"/>
            <w:shd w:fill="eef4f6"/>
            <w:vAlign w:val="top"/>
          </w:tcPr>
          <w:p>
            <w:pPr>
              <w:spacing w:after="40" w:before="40" w:line="240" w:lineRule="auto"/>
            </w:pPr>
            <w:r>
              <w:rPr>
                <w:b w:val="0"/>
                <w:i w:val="0"/>
                <w:sz w:val="17"/>
              </w:rPr>
              <w:t>(−0.9 − 0.5) × 1.482 × 8.1 = −16.81 kN/m</w:t>
            </w:r>
          </w:p>
        </w:tc>
      </w:tr>
      <w:tr>
        <w:trPr>
          <w:cantSplit/>
        </w:trPr>
        <w:tc>
          <w:tcPr>
            <w:tcW w:type="dxa" w:w="5296"/>
            <w:vAlign w:val="top"/>
          </w:tcPr>
          <w:p>
            <w:pPr>
              <w:spacing w:after="40" w:before="40" w:line="240" w:lineRule="auto"/>
            </w:pPr>
            <w:r>
              <w:rPr>
                <w:b w:val="0"/>
                <w:i w:val="0"/>
                <w:sz w:val="17"/>
              </w:rPr>
              <w:t>Roof GH at 0°; Cpe = −0.4, Cpi = +0.5</w:t>
            </w:r>
          </w:p>
        </w:tc>
        <w:tc>
          <w:tcPr>
            <w:tcW w:type="dxa" w:w="4889"/>
            <w:vAlign w:val="top"/>
          </w:tcPr>
          <w:p>
            <w:pPr>
              <w:spacing w:after="40" w:before="40" w:line="240" w:lineRule="auto"/>
            </w:pPr>
            <w:r>
              <w:rPr>
                <w:b w:val="0"/>
                <w:i w:val="0"/>
                <w:sz w:val="17"/>
              </w:rPr>
              <w:t>(−0.4 − 0.5) × 1.482 × 8.1 = −10.80 kN/m</w:t>
            </w:r>
          </w:p>
        </w:tc>
      </w:tr>
    </w:tbl>
    <w:p>
      <w:pPr>
        <w:spacing w:after="40"/>
      </w:pPr>
      <w:r>
        <w:rPr>
          <w:b w:val="0"/>
          <w:i w:val="0"/>
          <w:sz w:val="2"/>
        </w:rPr>
      </w:r>
    </w:p>
    <w:p>
      <w:r>
        <w:rPr>
          <w:b w:val="0"/>
          <w:i w:val="0"/>
          <w:sz w:val="20"/>
        </w:rPr>
        <w:t>Negative pressure denotes suction on the surface. Its sign in STAAD depends on the member local axes: the ANL uses local Y for roof wind and global X/Z for wall wind. Coefficients, openings, area reductions, local cladding zones and the applicable wind map must be confirmed against the project-adopted standard; the slide values are not independently certified here.</w:t>
      </w:r>
    </w:p>
    <w:p>
      <w:pPr>
        <w:pStyle w:val="Heading2"/>
      </w:pPr>
      <w:r>
        <w:rPr>
          <w:b w:val="0"/>
          <w:i w:val="0"/>
        </w:rPr>
        <w:t>Earthquake calculation reproduced from the analysis</w:t>
      </w:r>
    </w:p>
    <w:p>
      <w:r>
        <w:rPr>
          <w:b w:val="0"/>
          <w:i w:val="0"/>
          <w:sz w:val="20"/>
        </w:rPr>
        <w:t>The source uses an equivalent-static IS 1893 basis with Z = 0.16, R = 4, I = 1.2, 5% damping and medium soil. STAAD reports T = 0.53081 s, Sa/g = 2.50 and seismic weight W = 2,181.48 kN in both horizontal directions.</w:t>
      </w:r>
    </w:p>
    <w:p>
      <w:pPr>
        <w:ind w:left="120" w:right="120"/>
        <w:shd w:fill="EEF4F6"/>
      </w:pPr>
      <w:r>
        <w:rPr>
          <w:b w:val="0"/>
          <w:i w:val="0"/>
          <w:sz w:val="19"/>
        </w:rPr>
        <w:t>Ah = (Z / 2) × (I / R) × (Sa/g) = (0.16 / 2) × (1.2 / 4) × 2.5 = 0.060.</w:t>
        <w:br/>
        <w:t>VB = Ah W = 0.060 × 2,181.48 = 130.889 kN ≈ 130.89 kN.</w:t>
      </w:r>
    </w:p>
    <w:p>
      <w:pPr>
        <w:ind w:left="120" w:right="120"/>
        <w:shd w:fill="FAF1E9"/>
      </w:pPr>
      <w:r>
        <w:rPr>
          <w:b w:val="0"/>
          <w:i w:val="0"/>
          <w:sz w:val="18"/>
        </w:rPr>
        <w:t>The seismic weight command uses SELFWEIGHT 1.5, while the DL case uses 1.15. The intended seismic mass must be reconciled. This report preserves the supplied code basis, including the PDF’s IS 1893 (Part 1):2016 reference; it does not establish the code edition or amendments required for a new 2026 approval.</w:t>
      </w:r>
    </w:p>
    <w:p>
      <w:r>
        <w:rPr>
          <w:b w:val="0"/>
          <w:i w:val="0"/>
          <w:sz w:val="15"/>
        </w:rPr>
        <w:t>Source basis: [S1] pp.13–27, 36–43; [S2] commands 142–163 and printed pp.4–5.</w:t>
      </w:r>
    </w:p>
    <w:p>
      <w:r>
        <w:br w:type="page"/>
      </w:r>
    </w:p>
    <w:p>
      <w:r>
        <w:rPr>
          <w:b w:val="0"/>
          <w:i w:val="0"/>
          <w:color w:val="087E8B"/>
          <w:sz w:val="18"/>
        </w:rPr>
        <w:t>WEEK 1 • INPUT DOCUMENTATION</w:t>
      </w:r>
    </w:p>
    <w:p>
      <w:pPr>
        <w:pStyle w:val="Heading1"/>
      </w:pPr>
      <w:r>
        <w:rPr>
          <w:b w:val="0"/>
          <w:i w:val="0"/>
        </w:rPr>
        <w:t>Load cases and combination register</w:t>
      </w:r>
    </w:p>
    <w:tbl>
      <w:tblPr>
        <w:tblW w:type="auto" w:w="0"/>
        <w:jc w:val="center"/>
        <w:tblLayout w:type="fixed"/>
        <w:tblLook w:firstColumn="1" w:firstRow="1" w:lastColumn="0" w:lastRow="0" w:noHBand="0" w:noVBand="1" w:val="04A0"/>
      </w:tblPr>
      <w:tblGrid>
        <w:gridCol w:w="1324"/>
        <w:gridCol w:w="3769"/>
        <w:gridCol w:w="5093"/>
      </w:tblGrid>
      <w:tr>
        <w:trPr>
          <w:cantSplit/>
        </w:trPr>
        <w:tc>
          <w:tcPr>
            <w:tcW w:type="dxa" w:w="1324"/>
            <w:shd w:fill="183247"/>
          </w:tcPr>
          <w:p>
            <w:pPr>
              <w:spacing w:after="40" w:before="40"/>
            </w:pPr>
            <w:r>
              <w:rPr>
                <w:b/>
                <w:i w:val="0"/>
                <w:color w:val="FFFFFF"/>
                <w:sz w:val="17"/>
              </w:rPr>
              <w:t>Case</w:t>
            </w:r>
          </w:p>
        </w:tc>
        <w:tc>
          <w:tcPr>
            <w:tcW w:type="dxa" w:w="3769"/>
            <w:shd w:fill="183247"/>
          </w:tcPr>
          <w:p>
            <w:pPr>
              <w:spacing w:after="40" w:before="40"/>
            </w:pPr>
            <w:r>
              <w:rPr>
                <w:b/>
                <w:i w:val="0"/>
                <w:color w:val="FFFFFF"/>
                <w:sz w:val="17"/>
              </w:rPr>
              <w:t>Physical action</w:t>
            </w:r>
          </w:p>
        </w:tc>
        <w:tc>
          <w:tcPr>
            <w:tcW w:type="dxa" w:w="5093"/>
            <w:shd w:fill="183247"/>
          </w:tcPr>
          <w:p>
            <w:pPr>
              <w:spacing w:after="40" w:before="40"/>
            </w:pPr>
            <w:r>
              <w:rPr>
                <w:b/>
                <w:i w:val="0"/>
                <w:color w:val="FFFFFF"/>
                <w:sz w:val="17"/>
              </w:rPr>
              <w:t>Model description</w:t>
            </w:r>
          </w:p>
        </w:tc>
      </w:tr>
      <w:tr>
        <w:trPr>
          <w:cantSplit/>
        </w:trPr>
        <w:tc>
          <w:tcPr>
            <w:tcW w:type="dxa" w:w="1324"/>
            <w:shd w:fill="eef4f6"/>
            <w:vAlign w:val="top"/>
          </w:tcPr>
          <w:p>
            <w:pPr>
              <w:spacing w:after="40" w:before="40" w:line="240" w:lineRule="auto"/>
            </w:pPr>
            <w:r>
              <w:rPr>
                <w:b w:val="0"/>
                <w:i w:val="0"/>
                <w:sz w:val="17"/>
              </w:rPr>
              <w:t>1 / 2</w:t>
            </w:r>
          </w:p>
        </w:tc>
        <w:tc>
          <w:tcPr>
            <w:tcW w:type="dxa" w:w="3769"/>
            <w:shd w:fill="eef4f6"/>
            <w:vAlign w:val="top"/>
          </w:tcPr>
          <w:p>
            <w:pPr>
              <w:spacing w:after="40" w:before="40" w:line="240" w:lineRule="auto"/>
            </w:pPr>
            <w:r>
              <w:rPr>
                <w:b w:val="0"/>
                <w:i w:val="0"/>
                <w:sz w:val="17"/>
              </w:rPr>
              <w:t>EL X+ / EL Z+</w:t>
            </w:r>
          </w:p>
        </w:tc>
        <w:tc>
          <w:tcPr>
            <w:tcW w:type="dxa" w:w="5093"/>
            <w:shd w:fill="eef4f6"/>
            <w:vAlign w:val="top"/>
          </w:tcPr>
          <w:p>
            <w:pPr>
              <w:spacing w:after="40" w:before="40" w:line="240" w:lineRule="auto"/>
            </w:pPr>
            <w:r>
              <w:rPr>
                <w:b w:val="0"/>
                <w:i w:val="0"/>
                <w:sz w:val="17"/>
              </w:rPr>
              <w:t>Positive-direction equivalent-static earthquake cases</w:t>
            </w:r>
          </w:p>
        </w:tc>
      </w:tr>
      <w:tr>
        <w:trPr>
          <w:cantSplit/>
        </w:trPr>
        <w:tc>
          <w:tcPr>
            <w:tcW w:type="dxa" w:w="1324"/>
            <w:vAlign w:val="top"/>
          </w:tcPr>
          <w:p>
            <w:pPr>
              <w:spacing w:after="40" w:before="40" w:line="240" w:lineRule="auto"/>
            </w:pPr>
            <w:r>
              <w:rPr>
                <w:b w:val="0"/>
                <w:i w:val="0"/>
                <w:sz w:val="17"/>
              </w:rPr>
              <w:t>3 / 4</w:t>
            </w:r>
          </w:p>
        </w:tc>
        <w:tc>
          <w:tcPr>
            <w:tcW w:type="dxa" w:w="3769"/>
            <w:vAlign w:val="top"/>
          </w:tcPr>
          <w:p>
            <w:pPr>
              <w:spacing w:after="40" w:before="40" w:line="240" w:lineRule="auto"/>
            </w:pPr>
            <w:r>
              <w:rPr>
                <w:b w:val="0"/>
                <w:i w:val="0"/>
                <w:sz w:val="17"/>
              </w:rPr>
              <w:t>DL / LL</w:t>
            </w:r>
          </w:p>
        </w:tc>
        <w:tc>
          <w:tcPr>
            <w:tcW w:type="dxa" w:w="5093"/>
            <w:vAlign w:val="top"/>
          </w:tcPr>
          <w:p>
            <w:pPr>
              <w:spacing w:after="40" w:before="40" w:line="240" w:lineRule="auto"/>
            </w:pPr>
            <w:r>
              <w:rPr>
                <w:b w:val="0"/>
                <w:i w:val="0"/>
                <w:sz w:val="17"/>
              </w:rPr>
              <w:t>Gravity self-weight, roof/wall DL, roof LL and gutter loads</w:t>
            </w:r>
          </w:p>
        </w:tc>
      </w:tr>
      <w:tr>
        <w:trPr>
          <w:cantSplit/>
        </w:trPr>
        <w:tc>
          <w:tcPr>
            <w:tcW w:type="dxa" w:w="1324"/>
            <w:shd w:fill="eef4f6"/>
            <w:vAlign w:val="top"/>
          </w:tcPr>
          <w:p>
            <w:pPr>
              <w:spacing w:after="40" w:before="40" w:line="240" w:lineRule="auto"/>
            </w:pPr>
            <w:r>
              <w:rPr>
                <w:b w:val="0"/>
                <w:i w:val="0"/>
                <w:sz w:val="17"/>
              </w:rPr>
              <w:t>5 / 6</w:t>
            </w:r>
          </w:p>
        </w:tc>
        <w:tc>
          <w:tcPr>
            <w:tcW w:type="dxa" w:w="3769"/>
            <w:shd w:fill="eef4f6"/>
            <w:vAlign w:val="top"/>
          </w:tcPr>
          <w:p>
            <w:pPr>
              <w:spacing w:after="40" w:before="40" w:line="240" w:lineRule="auto"/>
            </w:pPr>
            <w:r>
              <w:rPr>
                <w:b w:val="0"/>
                <w:i w:val="0"/>
                <w:sz w:val="17"/>
              </w:rPr>
              <w:t>WL 0° +Cpi / −Cpi</w:t>
            </w:r>
          </w:p>
        </w:tc>
        <w:tc>
          <w:tcPr>
            <w:tcW w:type="dxa" w:w="5093"/>
            <w:shd w:fill="eef4f6"/>
            <w:vAlign w:val="top"/>
          </w:tcPr>
          <w:p>
            <w:pPr>
              <w:spacing w:after="40" w:before="40" w:line="240" w:lineRule="auto"/>
            </w:pPr>
            <w:r>
              <w:rPr>
                <w:b w:val="0"/>
                <w:i w:val="0"/>
                <w:sz w:val="17"/>
              </w:rPr>
              <w:t>Transverse wind with both internal-pressure signs</w:t>
            </w:r>
          </w:p>
        </w:tc>
      </w:tr>
      <w:tr>
        <w:trPr>
          <w:cantSplit/>
        </w:trPr>
        <w:tc>
          <w:tcPr>
            <w:tcW w:type="dxa" w:w="1324"/>
            <w:vAlign w:val="top"/>
          </w:tcPr>
          <w:p>
            <w:pPr>
              <w:spacing w:after="40" w:before="40" w:line="240" w:lineRule="auto"/>
            </w:pPr>
            <w:r>
              <w:rPr>
                <w:b w:val="0"/>
                <w:i w:val="0"/>
                <w:sz w:val="17"/>
              </w:rPr>
              <w:t>7 / 8</w:t>
            </w:r>
          </w:p>
        </w:tc>
        <w:tc>
          <w:tcPr>
            <w:tcW w:type="dxa" w:w="3769"/>
            <w:vAlign w:val="top"/>
          </w:tcPr>
          <w:p>
            <w:pPr>
              <w:spacing w:after="40" w:before="40" w:line="240" w:lineRule="auto"/>
            </w:pPr>
            <w:r>
              <w:rPr>
                <w:b w:val="0"/>
                <w:i w:val="0"/>
                <w:sz w:val="17"/>
              </w:rPr>
              <w:t>WL 90° +Cpi / −Cpi</w:t>
            </w:r>
          </w:p>
        </w:tc>
        <w:tc>
          <w:tcPr>
            <w:tcW w:type="dxa" w:w="5093"/>
            <w:vAlign w:val="top"/>
          </w:tcPr>
          <w:p>
            <w:pPr>
              <w:spacing w:after="40" w:before="40" w:line="240" w:lineRule="auto"/>
            </w:pPr>
            <w:r>
              <w:rPr>
                <w:b w:val="0"/>
                <w:i w:val="0"/>
                <w:sz w:val="17"/>
              </w:rPr>
              <w:t>Longitudinal wind with both internal-pressure signs</w:t>
            </w:r>
          </w:p>
        </w:tc>
      </w:tr>
    </w:tbl>
    <w:p>
      <w:pPr>
        <w:spacing w:after="40"/>
      </w:pPr>
      <w:r>
        <w:rPr>
          <w:b w:val="0"/>
          <w:i w:val="0"/>
          <w:sz w:val="2"/>
        </w:rPr>
      </w:r>
    </w:p>
    <w:p>
      <w:r>
        <w:rPr>
          <w:b w:val="0"/>
          <w:i w:val="0"/>
          <w:sz w:val="20"/>
        </w:rPr>
        <w:t>There are 8 primary cases, 19 strength combinations (101–119) and 13 service combinations (201–213). In the register below, W5…W8 refer to wind cases 5…8, and EX/EZ refer to cases 1/2. Combination titles are reproduced separately from the numerical input where they disagree.</w:t>
      </w:r>
    </w:p>
    <w:tbl>
      <w:tblPr>
        <w:tblW w:type="auto" w:w="0"/>
        <w:jc w:val="center"/>
        <w:tblLayout w:type="fixed"/>
        <w:tblLook w:firstColumn="1" w:firstRow="1" w:lastColumn="0" w:lastRow="0" w:noHBand="0" w:noVBand="1" w:val="04A0"/>
      </w:tblPr>
      <w:tblGrid>
        <w:gridCol w:w="2954"/>
        <w:gridCol w:w="7232"/>
      </w:tblGrid>
      <w:tr>
        <w:trPr>
          <w:cantSplit/>
        </w:trPr>
        <w:tc>
          <w:tcPr>
            <w:tcW w:type="dxa" w:w="2954"/>
            <w:shd w:fill="183247"/>
          </w:tcPr>
          <w:p>
            <w:pPr>
              <w:spacing w:after="40" w:before="40"/>
            </w:pPr>
            <w:r>
              <w:rPr>
                <w:b/>
                <w:i w:val="0"/>
                <w:color w:val="FFFFFF"/>
                <w:sz w:val="17"/>
              </w:rPr>
              <w:t>Combination IDs</w:t>
            </w:r>
          </w:p>
        </w:tc>
        <w:tc>
          <w:tcPr>
            <w:tcW w:type="dxa" w:w="7232"/>
            <w:shd w:fill="183247"/>
          </w:tcPr>
          <w:p>
            <w:pPr>
              <w:spacing w:after="40" w:before="40"/>
            </w:pPr>
            <w:r>
              <w:rPr>
                <w:b/>
                <w:i w:val="0"/>
                <w:color w:val="FFFFFF"/>
                <w:sz w:val="17"/>
              </w:rPr>
              <w:t>Expressions in the supplied model</w:t>
            </w:r>
          </w:p>
        </w:tc>
      </w:tr>
      <w:tr>
        <w:trPr>
          <w:cantSplit/>
        </w:trPr>
        <w:tc>
          <w:tcPr>
            <w:tcW w:type="dxa" w:w="2954"/>
            <w:shd w:fill="eef4f6"/>
            <w:vAlign w:val="top"/>
          </w:tcPr>
          <w:p>
            <w:pPr>
              <w:spacing w:after="40" w:before="40" w:line="240" w:lineRule="auto"/>
            </w:pPr>
            <w:r>
              <w:rPr>
                <w:b w:val="0"/>
                <w:i w:val="0"/>
                <w:sz w:val="17"/>
              </w:rPr>
              <w:t>101</w:t>
            </w:r>
          </w:p>
        </w:tc>
        <w:tc>
          <w:tcPr>
            <w:tcW w:type="dxa" w:w="7232"/>
            <w:shd w:fill="eef4f6"/>
            <w:vAlign w:val="top"/>
          </w:tcPr>
          <w:p>
            <w:pPr>
              <w:spacing w:after="40" w:before="40" w:line="240" w:lineRule="auto"/>
            </w:pPr>
            <w:r>
              <w:rPr>
                <w:b w:val="0"/>
                <w:i w:val="0"/>
                <w:sz w:val="17"/>
              </w:rPr>
              <w:t>1.5D + 1.5L</w:t>
            </w:r>
          </w:p>
        </w:tc>
      </w:tr>
      <w:tr>
        <w:trPr>
          <w:cantSplit/>
        </w:trPr>
        <w:tc>
          <w:tcPr>
            <w:tcW w:type="dxa" w:w="2954"/>
            <w:vAlign w:val="top"/>
          </w:tcPr>
          <w:p>
            <w:pPr>
              <w:spacing w:after="40" w:before="40" w:line="240" w:lineRule="auto"/>
            </w:pPr>
            <w:r>
              <w:rPr>
                <w:b w:val="0"/>
                <w:i w:val="0"/>
                <w:sz w:val="17"/>
              </w:rPr>
              <w:t>102, 103, 104, 105</w:t>
            </w:r>
          </w:p>
        </w:tc>
        <w:tc>
          <w:tcPr>
            <w:tcW w:type="dxa" w:w="7232"/>
            <w:vAlign w:val="top"/>
          </w:tcPr>
          <w:p>
            <w:pPr>
              <w:spacing w:after="40" w:before="40" w:line="240" w:lineRule="auto"/>
            </w:pPr>
            <w:r>
              <w:rPr>
                <w:b w:val="0"/>
                <w:i w:val="0"/>
                <w:sz w:val="17"/>
              </w:rPr>
              <w:t>1.2D + 1.2L + 1.2W5 / W6 / W7 / W8, respectively</w:t>
            </w:r>
          </w:p>
        </w:tc>
      </w:tr>
      <w:tr>
        <w:trPr>
          <w:cantSplit/>
        </w:trPr>
        <w:tc>
          <w:tcPr>
            <w:tcW w:type="dxa" w:w="2954"/>
            <w:shd w:fill="eef4f6"/>
            <w:vAlign w:val="top"/>
          </w:tcPr>
          <w:p>
            <w:pPr>
              <w:spacing w:after="40" w:before="40" w:line="240" w:lineRule="auto"/>
            </w:pPr>
            <w:r>
              <w:rPr>
                <w:b w:val="0"/>
                <w:i w:val="0"/>
                <w:sz w:val="17"/>
              </w:rPr>
              <w:t>106, 107</w:t>
            </w:r>
          </w:p>
        </w:tc>
        <w:tc>
          <w:tcPr>
            <w:tcW w:type="dxa" w:w="7232"/>
            <w:shd w:fill="eef4f6"/>
            <w:vAlign w:val="top"/>
          </w:tcPr>
          <w:p>
            <w:pPr>
              <w:spacing w:after="40" w:before="40" w:line="240" w:lineRule="auto"/>
            </w:pPr>
            <w:r>
              <w:rPr>
                <w:b w:val="0"/>
                <w:i w:val="0"/>
                <w:sz w:val="17"/>
              </w:rPr>
              <w:t>1.2D + 1.2L + 1.2EX / EZ, respectively</w:t>
            </w:r>
          </w:p>
        </w:tc>
      </w:tr>
      <w:tr>
        <w:trPr>
          <w:cantSplit/>
        </w:trPr>
        <w:tc>
          <w:tcPr>
            <w:tcW w:type="dxa" w:w="2954"/>
            <w:vAlign w:val="top"/>
          </w:tcPr>
          <w:p>
            <w:pPr>
              <w:spacing w:after="40" w:before="40" w:line="240" w:lineRule="auto"/>
            </w:pPr>
            <w:r>
              <w:rPr>
                <w:b w:val="0"/>
                <w:i w:val="0"/>
                <w:sz w:val="17"/>
              </w:rPr>
              <w:t>108, 109, 110, 111</w:t>
            </w:r>
          </w:p>
        </w:tc>
        <w:tc>
          <w:tcPr>
            <w:tcW w:type="dxa" w:w="7232"/>
            <w:vAlign w:val="top"/>
          </w:tcPr>
          <w:p>
            <w:pPr>
              <w:spacing w:after="40" w:before="40" w:line="240" w:lineRule="auto"/>
            </w:pPr>
            <w:r>
              <w:rPr>
                <w:b w:val="0"/>
                <w:i w:val="0"/>
                <w:sz w:val="17"/>
              </w:rPr>
              <w:t>1.5D + 1.5W5 / W6 / W7 / W8, respectively</w:t>
            </w:r>
          </w:p>
        </w:tc>
      </w:tr>
      <w:tr>
        <w:trPr>
          <w:cantSplit/>
        </w:trPr>
        <w:tc>
          <w:tcPr>
            <w:tcW w:type="dxa" w:w="2954"/>
            <w:shd w:fill="eef4f6"/>
            <w:vAlign w:val="top"/>
          </w:tcPr>
          <w:p>
            <w:pPr>
              <w:spacing w:after="40" w:before="40" w:line="240" w:lineRule="auto"/>
            </w:pPr>
            <w:r>
              <w:rPr>
                <w:b w:val="0"/>
                <w:i w:val="0"/>
                <w:sz w:val="17"/>
              </w:rPr>
              <w:t>112, 113</w:t>
            </w:r>
          </w:p>
        </w:tc>
        <w:tc>
          <w:tcPr>
            <w:tcW w:type="dxa" w:w="7232"/>
            <w:shd w:fill="eef4f6"/>
            <w:vAlign w:val="top"/>
          </w:tcPr>
          <w:p>
            <w:pPr>
              <w:spacing w:after="40" w:before="40" w:line="240" w:lineRule="auto"/>
            </w:pPr>
            <w:r>
              <w:rPr>
                <w:b w:val="0"/>
                <w:i w:val="0"/>
                <w:sz w:val="17"/>
              </w:rPr>
              <w:t>1.5D + 1.5EX / EZ, respectively</w:t>
            </w:r>
          </w:p>
        </w:tc>
      </w:tr>
      <w:tr>
        <w:trPr>
          <w:cantSplit/>
        </w:trPr>
        <w:tc>
          <w:tcPr>
            <w:tcW w:type="dxa" w:w="2954"/>
            <w:vAlign w:val="top"/>
          </w:tcPr>
          <w:p>
            <w:pPr>
              <w:spacing w:after="40" w:before="40" w:line="240" w:lineRule="auto"/>
            </w:pPr>
            <w:r>
              <w:rPr>
                <w:b w:val="0"/>
                <w:i w:val="0"/>
                <w:sz w:val="17"/>
              </w:rPr>
              <w:t>114, 115, 116, 117</w:t>
            </w:r>
          </w:p>
        </w:tc>
        <w:tc>
          <w:tcPr>
            <w:tcW w:type="dxa" w:w="7232"/>
            <w:vAlign w:val="top"/>
          </w:tcPr>
          <w:p>
            <w:pPr>
              <w:spacing w:after="40" w:before="40" w:line="240" w:lineRule="auto"/>
            </w:pPr>
            <w:r>
              <w:rPr>
                <w:b w:val="0"/>
                <w:i w:val="0"/>
                <w:sz w:val="17"/>
              </w:rPr>
              <w:t>0.9D + 1.5W5 / W6 / W7 / W8, respectively</w:t>
            </w:r>
          </w:p>
        </w:tc>
      </w:tr>
      <w:tr>
        <w:trPr>
          <w:cantSplit/>
        </w:trPr>
        <w:tc>
          <w:tcPr>
            <w:tcW w:type="dxa" w:w="2954"/>
            <w:shd w:fill="eef4f6"/>
            <w:vAlign w:val="top"/>
          </w:tcPr>
          <w:p>
            <w:pPr>
              <w:spacing w:after="40" w:before="40" w:line="240" w:lineRule="auto"/>
            </w:pPr>
            <w:r>
              <w:rPr>
                <w:b w:val="0"/>
                <w:i w:val="0"/>
                <w:sz w:val="17"/>
              </w:rPr>
              <w:t>118</w:t>
            </w:r>
          </w:p>
        </w:tc>
        <w:tc>
          <w:tcPr>
            <w:tcW w:type="dxa" w:w="7232"/>
            <w:shd w:fill="eef4f6"/>
            <w:vAlign w:val="top"/>
          </w:tcPr>
          <w:p>
            <w:pPr>
              <w:spacing w:after="40" w:before="40" w:line="240" w:lineRule="auto"/>
            </w:pPr>
            <w:r>
              <w:rPr>
                <w:b w:val="0"/>
                <w:i w:val="0"/>
                <w:sz w:val="17"/>
              </w:rPr>
              <w:t>Title: 0.9D + 1.5EX; ACTUAL INPUT: 0.9D + 11.5EX</w:t>
            </w:r>
          </w:p>
        </w:tc>
      </w:tr>
      <w:tr>
        <w:trPr>
          <w:cantSplit/>
        </w:trPr>
        <w:tc>
          <w:tcPr>
            <w:tcW w:type="dxa" w:w="2954"/>
            <w:vAlign w:val="top"/>
          </w:tcPr>
          <w:p>
            <w:pPr>
              <w:spacing w:after="40" w:before="40" w:line="240" w:lineRule="auto"/>
            </w:pPr>
            <w:r>
              <w:rPr>
                <w:b w:val="0"/>
                <w:i w:val="0"/>
                <w:sz w:val="17"/>
              </w:rPr>
              <w:t>119</w:t>
            </w:r>
          </w:p>
        </w:tc>
        <w:tc>
          <w:tcPr>
            <w:tcW w:type="dxa" w:w="7232"/>
            <w:vAlign w:val="top"/>
          </w:tcPr>
          <w:p>
            <w:pPr>
              <w:spacing w:after="40" w:before="40" w:line="240" w:lineRule="auto"/>
            </w:pPr>
            <w:r>
              <w:rPr>
                <w:b w:val="0"/>
                <w:i w:val="0"/>
                <w:sz w:val="17"/>
              </w:rPr>
              <w:t>0.9D + 1.5EZ</w:t>
            </w:r>
          </w:p>
        </w:tc>
      </w:tr>
      <w:tr>
        <w:trPr>
          <w:cantSplit/>
        </w:trPr>
        <w:tc>
          <w:tcPr>
            <w:tcW w:type="dxa" w:w="2954"/>
            <w:shd w:fill="eef4f6"/>
            <w:vAlign w:val="top"/>
          </w:tcPr>
          <w:p>
            <w:pPr>
              <w:spacing w:after="40" w:before="40" w:line="240" w:lineRule="auto"/>
            </w:pPr>
            <w:r>
              <w:rPr>
                <w:b w:val="0"/>
                <w:i w:val="0"/>
                <w:sz w:val="17"/>
              </w:rPr>
              <w:t>201</w:t>
            </w:r>
          </w:p>
        </w:tc>
        <w:tc>
          <w:tcPr>
            <w:tcW w:type="dxa" w:w="7232"/>
            <w:shd w:fill="eef4f6"/>
            <w:vAlign w:val="top"/>
          </w:tcPr>
          <w:p>
            <w:pPr>
              <w:spacing w:after="40" w:before="40" w:line="240" w:lineRule="auto"/>
            </w:pPr>
            <w:r>
              <w:rPr>
                <w:b w:val="0"/>
                <w:i w:val="0"/>
                <w:sz w:val="17"/>
              </w:rPr>
              <w:t>D + L</w:t>
            </w:r>
          </w:p>
        </w:tc>
      </w:tr>
      <w:tr>
        <w:trPr>
          <w:cantSplit/>
        </w:trPr>
        <w:tc>
          <w:tcPr>
            <w:tcW w:type="dxa" w:w="2954"/>
            <w:vAlign w:val="top"/>
          </w:tcPr>
          <w:p>
            <w:pPr>
              <w:spacing w:after="40" w:before="40" w:line="240" w:lineRule="auto"/>
            </w:pPr>
            <w:r>
              <w:rPr>
                <w:b w:val="0"/>
                <w:i w:val="0"/>
                <w:sz w:val="17"/>
              </w:rPr>
              <w:t>202, 203</w:t>
            </w:r>
          </w:p>
        </w:tc>
        <w:tc>
          <w:tcPr>
            <w:tcW w:type="dxa" w:w="7232"/>
            <w:vAlign w:val="top"/>
          </w:tcPr>
          <w:p>
            <w:pPr>
              <w:spacing w:after="40" w:before="40" w:line="240" w:lineRule="auto"/>
            </w:pPr>
            <w:r>
              <w:rPr>
                <w:b w:val="0"/>
                <w:i w:val="0"/>
                <w:sz w:val="17"/>
              </w:rPr>
              <w:t>D + 0.8L + 0.8EX / EZ, respectively</w:t>
            </w:r>
          </w:p>
        </w:tc>
      </w:tr>
      <w:tr>
        <w:trPr>
          <w:cantSplit/>
        </w:trPr>
        <w:tc>
          <w:tcPr>
            <w:tcW w:type="dxa" w:w="2954"/>
            <w:shd w:fill="eef4f6"/>
            <w:vAlign w:val="top"/>
          </w:tcPr>
          <w:p>
            <w:pPr>
              <w:spacing w:after="40" w:before="40" w:line="240" w:lineRule="auto"/>
            </w:pPr>
            <w:r>
              <w:rPr>
                <w:b w:val="0"/>
                <w:i w:val="0"/>
                <w:sz w:val="17"/>
              </w:rPr>
              <w:t>204, 205, 206, 207</w:t>
            </w:r>
          </w:p>
        </w:tc>
        <w:tc>
          <w:tcPr>
            <w:tcW w:type="dxa" w:w="7232"/>
            <w:shd w:fill="eef4f6"/>
            <w:vAlign w:val="top"/>
          </w:tcPr>
          <w:p>
            <w:pPr>
              <w:spacing w:after="40" w:before="40" w:line="240" w:lineRule="auto"/>
            </w:pPr>
            <w:r>
              <w:rPr>
                <w:b w:val="0"/>
                <w:i w:val="0"/>
                <w:sz w:val="17"/>
              </w:rPr>
              <w:t>D + 0.8L + 0.8W5 / W6 / W7 / W8, respectively</w:t>
            </w:r>
          </w:p>
        </w:tc>
      </w:tr>
      <w:tr>
        <w:trPr>
          <w:cantSplit/>
        </w:trPr>
        <w:tc>
          <w:tcPr>
            <w:tcW w:type="dxa" w:w="2954"/>
            <w:vAlign w:val="top"/>
          </w:tcPr>
          <w:p>
            <w:pPr>
              <w:spacing w:after="40" w:before="40" w:line="240" w:lineRule="auto"/>
            </w:pPr>
            <w:r>
              <w:rPr>
                <w:b w:val="0"/>
                <w:i w:val="0"/>
                <w:sz w:val="17"/>
              </w:rPr>
              <w:t>208, 209</w:t>
            </w:r>
          </w:p>
        </w:tc>
        <w:tc>
          <w:tcPr>
            <w:tcW w:type="dxa" w:w="7232"/>
            <w:vAlign w:val="top"/>
          </w:tcPr>
          <w:p>
            <w:pPr>
              <w:spacing w:after="40" w:before="40" w:line="240" w:lineRule="auto"/>
            </w:pPr>
            <w:r>
              <w:rPr>
                <w:b w:val="0"/>
                <w:i w:val="0"/>
                <w:sz w:val="17"/>
              </w:rPr>
              <w:t>D + EX / EZ, respectively</w:t>
            </w:r>
          </w:p>
        </w:tc>
      </w:tr>
      <w:tr>
        <w:trPr>
          <w:cantSplit/>
        </w:trPr>
        <w:tc>
          <w:tcPr>
            <w:tcW w:type="dxa" w:w="2954"/>
            <w:shd w:fill="eef4f6"/>
            <w:vAlign w:val="top"/>
          </w:tcPr>
          <w:p>
            <w:pPr>
              <w:spacing w:after="40" w:before="40" w:line="240" w:lineRule="auto"/>
            </w:pPr>
            <w:r>
              <w:rPr>
                <w:b w:val="0"/>
                <w:i w:val="0"/>
                <w:sz w:val="17"/>
              </w:rPr>
              <w:t>210, 211, 212, 213</w:t>
            </w:r>
          </w:p>
        </w:tc>
        <w:tc>
          <w:tcPr>
            <w:tcW w:type="dxa" w:w="7232"/>
            <w:shd w:fill="eef4f6"/>
            <w:vAlign w:val="top"/>
          </w:tcPr>
          <w:p>
            <w:pPr>
              <w:spacing w:after="40" w:before="40" w:line="240" w:lineRule="auto"/>
            </w:pPr>
            <w:r>
              <w:rPr>
                <w:b w:val="0"/>
                <w:i w:val="0"/>
                <w:sz w:val="17"/>
              </w:rPr>
              <w:t>D + W5 / W6 / W7 / W8, respectively</w:t>
            </w:r>
          </w:p>
        </w:tc>
      </w:tr>
    </w:tbl>
    <w:p>
      <w:pPr>
        <w:spacing w:after="40"/>
      </w:pPr>
      <w:r>
        <w:rPr>
          <w:b w:val="0"/>
          <w:i w:val="0"/>
          <w:sz w:val="2"/>
        </w:rPr>
      </w:r>
    </w:p>
    <w:p>
      <w:pPr>
        <w:pStyle w:val="Heading2"/>
      </w:pPr>
      <w:r>
        <w:rPr>
          <w:b w:val="0"/>
          <w:i w:val="0"/>
        </w:rPr>
        <w:t>Input checks identified during the study</w:t>
      </w:r>
    </w:p>
    <w:p>
      <w:r>
        <w:rPr>
          <w:b w:val="0"/>
          <w:i w:val="0"/>
          <w:sz w:val="20"/>
        </w:rPr>
      </w:r>
      <w:r>
        <w:rPr>
          <w:b/>
          <w:i w:val="0"/>
          <w:sz w:val="20"/>
        </w:rPr>
        <w:t>LC118:</w:t>
      </w:r>
      <w:r>
        <w:rPr>
          <w:b w:val="0"/>
          <w:i w:val="0"/>
          <w:sz w:val="20"/>
        </w:rPr>
        <w:t xml:space="preserve"> command 274 is “3 0.9 1 11.5”. The earthquake factor is 7.667 times the 1.5 stated in the title. A revised factor must be confirmed and analysed; the report does not silently substitute a corrected result. </w:t>
      </w:r>
      <w:r>
        <w:rPr>
          <w:b/>
          <w:i w:val="0"/>
          <w:sz w:val="20"/>
        </w:rPr>
        <w:t>Load classification:</w:t>
      </w:r>
      <w:r>
        <w:rPr>
          <w:b w:val="0"/>
          <w:i w:val="0"/>
          <w:sz w:val="20"/>
        </w:rPr>
        <w:t xml:space="preserve"> cases 3–8 are also tagged LOADTYPE SEISMIC, despite their DL/LL/WL titles. These labels should be corrected for clear future processing.</w:t>
      </w:r>
    </w:p>
    <w:p>
      <w:r>
        <w:rPr>
          <w:b w:val="0"/>
          <w:i w:val="0"/>
          <w:sz w:val="20"/>
        </w:rPr>
      </w:r>
      <w:r>
        <w:rPr>
          <w:b/>
          <w:i w:val="0"/>
          <w:sz w:val="20"/>
        </w:rPr>
        <w:t>Direction and wind-zone coverage:</w:t>
      </w:r>
      <w:r>
        <w:rPr>
          <w:b w:val="0"/>
          <w:i w:val="0"/>
          <w:sz w:val="20"/>
        </w:rPr>
        <w:t xml:space="preserve"> explicit negative earthquake directions are absent from the listed cases. The 90° roof-pressure zones in PDF pp.37/43 also need reconciliation with ANL cases 7/8: case 8 applies +10.8 kN/m to both roof slopes, whereas the PDF table lists different zone values. Review the full required lateral-action set and local-axis signs before re-analysis.</w:t>
      </w:r>
    </w:p>
    <w:p>
      <w:r>
        <w:rPr>
          <w:b w:val="0"/>
          <w:i w:val="0"/>
          <w:sz w:val="15"/>
        </w:rPr>
        <w:t>Source basis: [S2] commands 156–302; strength/service envelopes at commands 304–307. [S1] pp.34–37, 43.</w:t>
      </w:r>
    </w:p>
    <w:p>
      <w:r>
        <w:br w:type="page"/>
      </w:r>
    </w:p>
    <w:p>
      <w:r>
        <w:rPr>
          <w:b w:val="0"/>
          <w:i w:val="0"/>
          <w:color w:val="087E8B"/>
          <w:sz w:val="18"/>
        </w:rPr>
        <w:t>WEEK 2 • ANALYSIS OF MEMBERS</w:t>
      </w:r>
    </w:p>
    <w:p>
      <w:pPr>
        <w:pStyle w:val="Heading1"/>
      </w:pPr>
      <w:r>
        <w:rPr>
          <w:b w:val="0"/>
          <w:i w:val="0"/>
        </w:rPr>
        <w:t>Structural model and analysis procedure</w:t>
      </w:r>
    </w:p>
    <w:p>
      <w:r>
        <w:rPr>
          <w:b w:val="0"/>
          <w:i w:val="0"/>
          <w:sz w:val="20"/>
        </w:rPr>
        <w:t>The model is a three-dimensional STAAD SPACE frame with 180 joints, 314 beam members and 38 pinned supports. Global X is across the 36 m width, Y is vertical and Z is along the 72.2 m length. Pins restrain translations and release support rotations; the bases still transfer vertical force, horizontal shear and possible uplift.</w:t>
      </w:r>
    </w:p>
    <w:p>
      <w:pPr>
        <w:spacing w:after="60"/>
        <w:jc w:val="center"/>
      </w:pPr>
      <w:r>
        <w:drawing>
          <wp:inline xmlns:a="http://schemas.openxmlformats.org/drawingml/2006/main" xmlns:pic="http://schemas.openxmlformats.org/drawingml/2006/picture">
            <wp:extent cx="5199681" cy="2324099"/>
            <wp:docPr id="2" name="Picture 2"/>
            <wp:cNvGraphicFramePr>
              <a:graphicFrameLocks noChangeAspect="1"/>
            </wp:cNvGraphicFramePr>
            <a:graphic>
              <a:graphicData uri="http://schemas.openxmlformats.org/drawingml/2006/picture">
                <pic:pic>
                  <pic:nvPicPr>
                    <pic:cNvPr id="0" name="model.png"/>
                    <pic:cNvPicPr/>
                  </pic:nvPicPr>
                  <pic:blipFill>
                    <a:blip r:embed="rId11"/>
                    <a:stretch>
                      <a:fillRect/>
                    </a:stretch>
                  </pic:blipFill>
                  <pic:spPr>
                    <a:xfrm>
                      <a:off x="0" y="0"/>
                      <a:ext cx="5199681" cy="2324099"/>
                    </a:xfrm>
                    <a:prstGeom prst="rect"/>
                  </pic:spPr>
                </pic:pic>
              </a:graphicData>
            </a:graphic>
          </wp:inline>
        </w:drawing>
      </w:r>
    </w:p>
    <w:p>
      <w:r>
        <w:rPr>
          <w:b w:val="0"/>
          <w:i w:val="0"/>
          <w:sz w:val="16"/>
        </w:rPr>
        <w:t>Figure 1. Analytical geometry reconstructed from the supplied joint coordinates and member incidences. Teal lines indicate the modelled rod bracing.</w:t>
      </w:r>
    </w:p>
    <w:tbl>
      <w:tblPr>
        <w:tblW w:type="auto" w:w="0"/>
        <w:jc w:val="center"/>
        <w:tblLayout w:type="fixed"/>
        <w:tblLook w:firstColumn="1" w:firstRow="1" w:lastColumn="0" w:lastRow="0" w:noHBand="0" w:noVBand="1" w:val="04A0"/>
      </w:tblPr>
      <w:tblGrid>
        <w:gridCol w:w="3056"/>
        <w:gridCol w:w="7130"/>
      </w:tblGrid>
      <w:tr>
        <w:trPr>
          <w:cantSplit/>
        </w:trPr>
        <w:tc>
          <w:tcPr>
            <w:tcW w:type="dxa" w:w="3056"/>
            <w:shd w:fill="183247"/>
          </w:tcPr>
          <w:p>
            <w:pPr>
              <w:spacing w:after="40" w:before="40"/>
            </w:pPr>
            <w:r>
              <w:rPr>
                <w:b/>
                <w:i w:val="0"/>
                <w:color w:val="FFFFFF"/>
                <w:sz w:val="17"/>
              </w:rPr>
              <w:t>Analysis feature</w:t>
            </w:r>
          </w:p>
        </w:tc>
        <w:tc>
          <w:tcPr>
            <w:tcW w:type="dxa" w:w="7130"/>
            <w:shd w:fill="183247"/>
          </w:tcPr>
          <w:p>
            <w:pPr>
              <w:spacing w:after="40" w:before="40"/>
            </w:pPr>
            <w:r>
              <w:rPr>
                <w:b/>
                <w:i w:val="0"/>
                <w:color w:val="FFFFFF"/>
                <w:sz w:val="17"/>
              </w:rPr>
              <w:t>Meaning for structural behaviour</w:t>
            </w:r>
          </w:p>
        </w:tc>
      </w:tr>
      <w:tr>
        <w:trPr>
          <w:cantSplit/>
        </w:trPr>
        <w:tc>
          <w:tcPr>
            <w:tcW w:type="dxa" w:w="3056"/>
            <w:shd w:fill="eef4f6"/>
            <w:vAlign w:val="top"/>
          </w:tcPr>
          <w:p>
            <w:pPr>
              <w:spacing w:after="40" w:before="40" w:line="240" w:lineRule="auto"/>
            </w:pPr>
            <w:r>
              <w:rPr>
                <w:b w:val="0"/>
                <w:i w:val="0"/>
                <w:sz w:val="17"/>
              </w:rPr>
              <w:t>Rigid primary frame joints</w:t>
            </w:r>
          </w:p>
        </w:tc>
        <w:tc>
          <w:tcPr>
            <w:tcW w:type="dxa" w:w="7130"/>
            <w:shd w:fill="eef4f6"/>
            <w:vAlign w:val="top"/>
          </w:tcPr>
          <w:p>
            <w:pPr>
              <w:spacing w:after="40" w:before="40" w:line="240" w:lineRule="auto"/>
            </w:pPr>
            <w:r>
              <w:rPr>
                <w:b w:val="0"/>
                <w:i w:val="0"/>
                <w:sz w:val="17"/>
              </w:rPr>
              <w:t>Rafters and columns transfer bending moment, shear and axial force in the transverse plane.</w:t>
            </w:r>
          </w:p>
        </w:tc>
      </w:tr>
      <w:tr>
        <w:trPr>
          <w:cantSplit/>
        </w:trPr>
        <w:tc>
          <w:tcPr>
            <w:tcW w:type="dxa" w:w="3056"/>
            <w:vAlign w:val="top"/>
          </w:tcPr>
          <w:p>
            <w:pPr>
              <w:spacing w:after="40" w:before="40" w:line="240" w:lineRule="auto"/>
            </w:pPr>
            <w:r>
              <w:rPr>
                <w:b w:val="0"/>
                <w:i w:val="0"/>
                <w:sz w:val="17"/>
              </w:rPr>
              <w:t>Longitudinal members</w:t>
            </w:r>
          </w:p>
        </w:tc>
        <w:tc>
          <w:tcPr>
            <w:tcW w:type="dxa" w:w="7130"/>
            <w:vAlign w:val="top"/>
          </w:tcPr>
          <w:p>
            <w:pPr>
              <w:spacing w:after="40" w:before="40" w:line="240" w:lineRule="auto"/>
            </w:pPr>
            <w:r>
              <w:rPr>
                <w:b w:val="0"/>
                <w:i w:val="0"/>
                <w:sz w:val="17"/>
              </w:rPr>
              <w:t>SHS ties and roof/wall bracing provide a longitudinal load path and restraint where detailed.</w:t>
            </w:r>
          </w:p>
        </w:tc>
      </w:tr>
      <w:tr>
        <w:trPr>
          <w:cantSplit/>
        </w:trPr>
        <w:tc>
          <w:tcPr>
            <w:tcW w:type="dxa" w:w="3056"/>
            <w:shd w:fill="eef4f6"/>
            <w:vAlign w:val="top"/>
          </w:tcPr>
          <w:p>
            <w:pPr>
              <w:spacing w:after="40" w:before="40" w:line="240" w:lineRule="auto"/>
            </w:pPr>
            <w:r>
              <w:rPr>
                <w:b w:val="0"/>
                <w:i w:val="0"/>
                <w:sz w:val="17"/>
              </w:rPr>
              <w:t>Tension-only diagonals</w:t>
            </w:r>
          </w:p>
        </w:tc>
        <w:tc>
          <w:tcPr>
            <w:tcW w:type="dxa" w:w="7130"/>
            <w:shd w:fill="eef4f6"/>
            <w:vAlign w:val="top"/>
          </w:tcPr>
          <w:p>
            <w:pPr>
              <w:spacing w:after="40" w:before="40" w:line="240" w:lineRule="auto"/>
            </w:pPr>
            <w:r>
              <w:rPr>
                <w:b w:val="0"/>
                <w:i w:val="0"/>
                <w:sz w:val="17"/>
              </w:rPr>
              <w:t>Members 230–289 are active in tension; the active set can change with load direction.</w:t>
            </w:r>
          </w:p>
        </w:tc>
      </w:tr>
      <w:tr>
        <w:trPr>
          <w:cantSplit/>
        </w:trPr>
        <w:tc>
          <w:tcPr>
            <w:tcW w:type="dxa" w:w="3056"/>
            <w:vAlign w:val="top"/>
          </w:tcPr>
          <w:p>
            <w:pPr>
              <w:spacing w:after="40" w:before="40" w:line="240" w:lineRule="auto"/>
            </w:pPr>
            <w:r>
              <w:rPr>
                <w:b w:val="0"/>
                <w:i w:val="0"/>
                <w:sz w:val="17"/>
              </w:rPr>
              <w:t>Member end releases</w:t>
            </w:r>
          </w:p>
        </w:tc>
        <w:tc>
          <w:tcPr>
            <w:tcW w:type="dxa" w:w="7130"/>
            <w:vAlign w:val="top"/>
          </w:tcPr>
          <w:p>
            <w:pPr>
              <w:spacing w:after="40" w:before="40" w:line="240" w:lineRule="auto"/>
            </w:pPr>
            <w:r>
              <w:rPr>
                <w:b w:val="0"/>
                <w:i w:val="0"/>
                <w:sz w:val="17"/>
              </w:rPr>
              <w:t>Specified SHS ends release MY/MZ; upper gable posts have end releases. Releases must match actual connection behaviour.</w:t>
            </w:r>
          </w:p>
        </w:tc>
      </w:tr>
      <w:tr>
        <w:trPr>
          <w:cantSplit/>
        </w:trPr>
        <w:tc>
          <w:tcPr>
            <w:tcW w:type="dxa" w:w="3056"/>
            <w:shd w:fill="eef4f6"/>
            <w:vAlign w:val="top"/>
          </w:tcPr>
          <w:p>
            <w:pPr>
              <w:spacing w:after="40" w:before="40" w:line="240" w:lineRule="auto"/>
            </w:pPr>
            <w:r>
              <w:rPr>
                <w:b w:val="0"/>
                <w:i w:val="0"/>
                <w:sz w:val="17"/>
              </w:rPr>
              <w:t>Rotated gable sections</w:t>
            </w:r>
          </w:p>
        </w:tc>
        <w:tc>
          <w:tcPr>
            <w:tcW w:type="dxa" w:w="7130"/>
            <w:shd w:fill="eef4f6"/>
            <w:vAlign w:val="top"/>
          </w:tcPr>
          <w:p>
            <w:pPr>
              <w:spacing w:after="40" w:before="40" w:line="240" w:lineRule="auto"/>
            </w:pPr>
            <w:r>
              <w:rPr>
                <w:b w:val="0"/>
                <w:i w:val="0"/>
                <w:sz w:val="17"/>
              </w:rPr>
              <w:t>BETA 90 is assigned to gable-post groups; the local major/minor axes must be checked.</w:t>
            </w:r>
          </w:p>
        </w:tc>
      </w:tr>
    </w:tbl>
    <w:p>
      <w:pPr>
        <w:spacing w:after="40"/>
      </w:pPr>
      <w:r>
        <w:rPr>
          <w:b w:val="0"/>
          <w:i w:val="0"/>
          <w:sz w:val="2"/>
        </w:rPr>
      </w:r>
    </w:p>
    <w:p>
      <w:pPr>
        <w:pStyle w:val="Heading2"/>
      </w:pPr>
      <w:r>
        <w:rPr>
          <w:b w:val="0"/>
          <w:i w:val="0"/>
        </w:rPr>
        <w:t>Analysis sequence and interpretation</w:t>
      </w:r>
    </w:p>
    <w:p>
      <w:r>
        <w:rPr>
          <w:b w:val="0"/>
          <w:i w:val="0"/>
          <w:sz w:val="20"/>
        </w:rPr>
        <w:t>The study sequence is: establish geometry and connectivity; assign material and section properties; define supports, releases and restraints; apply loads; solve; check equilibrium and deformation; extract member forces; and complete strength and serviceability checks. Gravity flows from sheeting to purlins, rafters, columns and foundations. Longitudinal wind flows through the roof/wall bracing system to restrained bases.</w:t>
      </w:r>
    </w:p>
    <w:p>
      <w:r>
        <w:rPr>
          <w:b w:val="0"/>
          <w:i w:val="0"/>
          <w:sz w:val="20"/>
        </w:rPr>
        <w:t>The supplied run uses PERFORM ANALYSIS and shows tension/compression iterations for primary cases. It then uses LOAD COMB to combine results. Bentley explains that tension-only behaviour and second-order effects require simultaneous combined loading, normally using appropriate REPEAT LOAD cases, rather than superposition of separate results [R3]. Re-analysis is therefore a necessary follow-up.</w:t>
      </w:r>
    </w:p>
    <w:p>
      <w:r>
        <w:rPr>
          <w:b w:val="0"/>
          <w:i w:val="0"/>
          <w:sz w:val="15"/>
        </w:rPr>
        <w:t>Source basis: [S2] printed pp.1–8 and commands 129–163, 303; [R3].</w:t>
      </w:r>
    </w:p>
    <w:p>
      <w:r>
        <w:br w:type="page"/>
      </w:r>
    </w:p>
    <w:p>
      <w:r>
        <w:rPr>
          <w:b w:val="0"/>
          <w:i w:val="0"/>
          <w:color w:val="087E8B"/>
          <w:sz w:val="18"/>
        </w:rPr>
        <w:t>WEEK 2 • WORKED MECHANICS</w:t>
      </w:r>
    </w:p>
    <w:p>
      <w:pPr>
        <w:pStyle w:val="Heading1"/>
      </w:pPr>
      <w:r>
        <w:rPr>
          <w:b w:val="0"/>
          <w:i w:val="0"/>
        </w:rPr>
        <w:t>Shear force and bending moment diagrams</w:t>
      </w:r>
    </w:p>
    <w:p>
      <w:r>
        <w:rPr>
          <w:b w:val="0"/>
          <w:i w:val="0"/>
          <w:sz w:val="20"/>
        </w:rPr>
        <w:t>Shear force describes the transverse force transmitted across a cut; bending moment describes the internal couple. For a downward UDL w and the usual sagging-positive beam convention, dV/dx = −w and dM/dx = V. Thus a constant UDL gives a straight shear diagram and a parabolic moment diagram. Diagram signs must be distinguished from STAAD local member-end sign conventions.</w:t>
      </w:r>
    </w:p>
    <w:p>
      <w:pPr>
        <w:spacing w:after="60"/>
        <w:jc w:val="center"/>
      </w:pPr>
      <w:r>
        <w:drawing>
          <wp:inline xmlns:a="http://schemas.openxmlformats.org/drawingml/2006/main" xmlns:pic="http://schemas.openxmlformats.org/drawingml/2006/picture">
            <wp:extent cx="6125240" cy="3454399"/>
            <wp:docPr id="3" name="Picture 3"/>
            <wp:cNvGraphicFramePr>
              <a:graphicFrameLocks noChangeAspect="1"/>
            </wp:cNvGraphicFramePr>
            <a:graphic>
              <a:graphicData uri="http://schemas.openxmlformats.org/drawingml/2006/picture">
                <pic:pic>
                  <pic:nvPicPr>
                    <pic:cNvPr id="0" name="sfd_bmd.png"/>
                    <pic:cNvPicPr/>
                  </pic:nvPicPr>
                  <pic:blipFill>
                    <a:blip r:embed="rId12"/>
                    <a:stretch>
                      <a:fillRect/>
                    </a:stretch>
                  </pic:blipFill>
                  <pic:spPr>
                    <a:xfrm>
                      <a:off x="0" y="0"/>
                      <a:ext cx="6125240" cy="3454399"/>
                    </a:xfrm>
                    <a:prstGeom prst="rect"/>
                  </pic:spPr>
                </pic:pic>
              </a:graphicData>
            </a:graphic>
          </wp:inline>
        </w:drawing>
      </w:r>
    </w:p>
    <w:p>
      <w:r>
        <w:rPr>
          <w:b w:val="0"/>
          <w:i w:val="0"/>
          <w:sz w:val="16"/>
        </w:rPr>
        <w:t>Figure 2. Calculated teaching diagrams for two idealized members. These are not extracted project-frame envelopes. The cantilever uses a downward reference load; an upward load reverses the diagram signs.</w:t>
      </w:r>
    </w:p>
    <w:p>
      <w:pPr>
        <w:pStyle w:val="Heading2"/>
      </w:pPr>
      <w:r>
        <w:rPr>
          <w:b w:val="0"/>
          <w:i w:val="0"/>
        </w:rPr>
        <w:t>Example A — simply supported reference beam</w:t>
      </w:r>
    </w:p>
    <w:p>
      <w:pPr>
        <w:ind w:left="120" w:right="120"/>
        <w:shd w:fill="EEF4F6"/>
      </w:pPr>
      <w:r>
        <w:rPr>
          <w:b w:val="0"/>
          <w:i w:val="0"/>
          <w:sz w:val="19"/>
        </w:rPr>
        <w:t>Assume L = 6.0 m and w = 6.075 kN/m (the source roof-LL line-load magnitude).</w:t>
        <w:br/>
        <w:t>RA = RB = wL/2 = 18.225 kN.</w:t>
        <w:br/>
        <w:t>V(x) = 18.225 − 6.075x kN.</w:t>
        <w:br/>
        <w:t>M(x) = 18.225x − 3.0375x² kN·m.</w:t>
        <w:br/>
        <w:t>At x = L/2 = 3.0 m: V = 0 and Mmax = wL²/8 = 27.3375 kN·m.</w:t>
      </w:r>
    </w:p>
    <w:p>
      <w:pPr>
        <w:pStyle w:val="Heading2"/>
      </w:pPr>
      <w:r>
        <w:rPr>
          <w:b w:val="0"/>
          <w:i w:val="0"/>
        </w:rPr>
        <w:t>Example B — canopy reference cantilever</w:t>
      </w:r>
    </w:p>
    <w:p>
      <w:pPr>
        <w:ind w:left="120" w:right="120"/>
        <w:shd w:fill="EEF4F6"/>
      </w:pPr>
      <w:r>
        <w:rPr>
          <w:b w:val="0"/>
          <w:i w:val="0"/>
          <w:sz w:val="19"/>
        </w:rPr>
        <w:t>Assume L = 3.0 m and |w| = 8.405 kN/m, matching a supplied canopy wind-load magnitude.</w:t>
        <w:br/>
        <w:t>|Vfixed| = wL = 25.215 kN; |Mfixed| = wL²/2 = 37.8225 kN·m.</w:t>
      </w:r>
    </w:p>
    <w:p>
      <w:r>
        <w:rPr>
          <w:b w:val="0"/>
          <w:i w:val="0"/>
          <w:sz w:val="20"/>
        </w:rPr>
        <w:t>The actual canopy member has a sloping length of about 3.010 m and participates in the three-dimensional frame. Its recorded governing forces therefore differ from this isolated, unfactored reference. Portal rafters also carry axial force and end moments; the simple-beam expression wL²/8 must not replace their frame analysis. Tension-only braces principally transmit axial force, while columns resist combined axial load and biaxial bending.</w:t>
      </w:r>
    </w:p>
    <w:p>
      <w:r>
        <w:rPr>
          <w:b w:val="0"/>
          <w:i w:val="0"/>
          <w:sz w:val="15"/>
        </w:rPr>
        <w:t>Source basis: Calculated examples using stated idealizations; load magnitudes from [S2] commands 180 and 197. Actual canopy results appear on p.9.</w:t>
      </w:r>
    </w:p>
    <w:p>
      <w:r>
        <w:br w:type="page"/>
      </w:r>
    </w:p>
    <w:p>
      <w:r>
        <w:rPr>
          <w:b w:val="0"/>
          <w:i w:val="0"/>
          <w:color w:val="087E8B"/>
          <w:sz w:val="18"/>
        </w:rPr>
        <w:t>WEEK 2 • ANALYSIS RESULTS</w:t>
      </w:r>
    </w:p>
    <w:p>
      <w:pPr>
        <w:pStyle w:val="Heading1"/>
      </w:pPr>
      <w:r>
        <w:rPr>
          <w:b w:val="0"/>
          <w:i w:val="0"/>
        </w:rPr>
        <w:t>Recorded forces in representative members</w:t>
      </w:r>
    </w:p>
    <w:p>
      <w:r>
        <w:rPr>
          <w:b w:val="0"/>
          <w:i w:val="0"/>
          <w:sz w:val="20"/>
        </w:rPr>
        <w:t xml:space="preserve">The following values are the </w:t>
      </w:r>
      <w:r>
        <w:rPr>
          <w:b/>
          <w:i w:val="0"/>
          <w:sz w:val="20"/>
        </w:rPr>
        <w:t>concurrent critical design forces</w:t>
      </w:r>
      <w:r>
        <w:rPr>
          <w:b w:val="0"/>
          <w:i w:val="0"/>
          <w:sz w:val="20"/>
        </w:rPr>
        <w:t xml:space="preserve"> printed at each member’s governing code-check location. They are not separate maximum envelopes. FX is axial force; FY and FZ are local shears; MZ and MY are the corresponding bending moments. The dominant FY/MZ pair is shown here. Forces are in kN and moments in kN·m; negative FX denotes tension in these output rows.</w:t>
      </w:r>
    </w:p>
    <w:tbl>
      <w:tblPr>
        <w:tblW w:type="auto" w:w="0"/>
        <w:jc w:val="center"/>
        <w:tblLayout w:type="fixed"/>
        <w:tblLook w:firstColumn="1" w:firstRow="1" w:lastColumn="0" w:lastRow="0" w:noHBand="0" w:noVBand="1" w:val="04A0"/>
      </w:tblPr>
      <w:tblGrid>
        <w:gridCol w:w="2852"/>
        <w:gridCol w:w="1528"/>
        <w:gridCol w:w="1426"/>
        <w:gridCol w:w="1426"/>
        <w:gridCol w:w="1630"/>
        <w:gridCol w:w="1324"/>
      </w:tblGrid>
      <w:tr>
        <w:trPr>
          <w:cantSplit/>
        </w:trPr>
        <w:tc>
          <w:tcPr>
            <w:tcW w:type="dxa" w:w="2852"/>
            <w:shd w:fill="183247"/>
          </w:tcPr>
          <w:p>
            <w:pPr>
              <w:spacing w:after="40" w:before="40"/>
            </w:pPr>
            <w:r>
              <w:rPr>
                <w:b/>
                <w:i w:val="0"/>
                <w:color w:val="FFFFFF"/>
                <w:sz w:val="17"/>
              </w:rPr>
              <w:t>Member / role</w:t>
            </w:r>
          </w:p>
        </w:tc>
        <w:tc>
          <w:tcPr>
            <w:tcW w:type="dxa" w:w="1528"/>
            <w:shd w:fill="183247"/>
          </w:tcPr>
          <w:p>
            <w:pPr>
              <w:spacing w:after="40" w:before="40"/>
            </w:pPr>
            <w:r>
              <w:rPr>
                <w:b/>
                <w:i w:val="0"/>
                <w:color w:val="FFFFFF"/>
                <w:sz w:val="17"/>
              </w:rPr>
              <w:t>LC / x (m)</w:t>
            </w:r>
          </w:p>
        </w:tc>
        <w:tc>
          <w:tcPr>
            <w:tcW w:type="dxa" w:w="1426"/>
            <w:shd w:fill="183247"/>
          </w:tcPr>
          <w:p>
            <w:pPr>
              <w:spacing w:after="40" w:before="40"/>
            </w:pPr>
            <w:r>
              <w:rPr>
                <w:b/>
                <w:i w:val="0"/>
                <w:color w:val="FFFFFF"/>
                <w:sz w:val="17"/>
              </w:rPr>
              <w:t>FX</w:t>
            </w:r>
          </w:p>
        </w:tc>
        <w:tc>
          <w:tcPr>
            <w:tcW w:type="dxa" w:w="1426"/>
            <w:shd w:fill="183247"/>
          </w:tcPr>
          <w:p>
            <w:pPr>
              <w:spacing w:after="40" w:before="40"/>
            </w:pPr>
            <w:r>
              <w:rPr>
                <w:b/>
                <w:i w:val="0"/>
                <w:color w:val="FFFFFF"/>
                <w:sz w:val="17"/>
              </w:rPr>
              <w:t>FY</w:t>
            </w:r>
          </w:p>
        </w:tc>
        <w:tc>
          <w:tcPr>
            <w:tcW w:type="dxa" w:w="1630"/>
            <w:shd w:fill="183247"/>
          </w:tcPr>
          <w:p>
            <w:pPr>
              <w:spacing w:after="40" w:before="40"/>
            </w:pPr>
            <w:r>
              <w:rPr>
                <w:b/>
                <w:i w:val="0"/>
                <w:color w:val="FFFFFF"/>
                <w:sz w:val="17"/>
              </w:rPr>
              <w:t>MZ</w:t>
            </w:r>
          </w:p>
        </w:tc>
        <w:tc>
          <w:tcPr>
            <w:tcW w:type="dxa" w:w="1324"/>
            <w:shd w:fill="183247"/>
          </w:tcPr>
          <w:p>
            <w:pPr>
              <w:spacing w:after="40" w:before="40"/>
            </w:pPr>
            <w:r>
              <w:rPr>
                <w:b/>
                <w:i w:val="0"/>
                <w:color w:val="FFFFFF"/>
                <w:sz w:val="17"/>
              </w:rPr>
              <w:t>Ratio</w:t>
            </w:r>
          </w:p>
        </w:tc>
      </w:tr>
      <w:tr>
        <w:trPr>
          <w:cantSplit/>
        </w:trPr>
        <w:tc>
          <w:tcPr>
            <w:tcW w:type="dxa" w:w="2852"/>
            <w:shd w:fill="eef4f6"/>
            <w:vAlign w:val="top"/>
          </w:tcPr>
          <w:p>
            <w:pPr>
              <w:spacing w:after="40" w:before="40" w:line="240" w:lineRule="auto"/>
            </w:pPr>
            <w:r>
              <w:rPr>
                <w:b w:val="0"/>
                <w:i w:val="0"/>
                <w:sz w:val="17"/>
              </w:rPr>
              <w:t>21 / exterior column base segment</w:t>
            </w:r>
          </w:p>
        </w:tc>
        <w:tc>
          <w:tcPr>
            <w:tcW w:type="dxa" w:w="1528"/>
            <w:shd w:fill="eef4f6"/>
            <w:vAlign w:val="top"/>
          </w:tcPr>
          <w:p>
            <w:pPr>
              <w:spacing w:after="40" w:before="40" w:line="240" w:lineRule="auto"/>
            </w:pPr>
            <w:r>
              <w:rPr>
                <w:b w:val="0"/>
                <w:i w:val="0"/>
                <w:sz w:val="17"/>
              </w:rPr>
              <w:t>114 / 3.00</w:t>
            </w:r>
          </w:p>
        </w:tc>
        <w:tc>
          <w:tcPr>
            <w:tcW w:type="dxa" w:w="1426"/>
            <w:shd w:fill="eef4f6"/>
            <w:vAlign w:val="top"/>
          </w:tcPr>
          <w:p>
            <w:pPr>
              <w:spacing w:after="40" w:before="40" w:line="240" w:lineRule="auto"/>
            </w:pPr>
            <w:r>
              <w:rPr>
                <w:b w:val="0"/>
                <w:i w:val="0"/>
                <w:sz w:val="17"/>
              </w:rPr>
              <w:t>−222.398</w:t>
            </w:r>
          </w:p>
        </w:tc>
        <w:tc>
          <w:tcPr>
            <w:tcW w:type="dxa" w:w="1426"/>
            <w:shd w:fill="eef4f6"/>
            <w:vAlign w:val="top"/>
          </w:tcPr>
          <w:p>
            <w:pPr>
              <w:spacing w:after="40" w:before="40" w:line="240" w:lineRule="auto"/>
            </w:pPr>
            <w:r>
              <w:rPr>
                <w:b w:val="0"/>
                <w:i w:val="0"/>
                <w:sz w:val="17"/>
              </w:rPr>
              <w:t>69.792</w:t>
            </w:r>
          </w:p>
        </w:tc>
        <w:tc>
          <w:tcPr>
            <w:tcW w:type="dxa" w:w="1630"/>
            <w:shd w:fill="eef4f6"/>
            <w:vAlign w:val="top"/>
          </w:tcPr>
          <w:p>
            <w:pPr>
              <w:spacing w:after="40" w:before="40" w:line="240" w:lineRule="auto"/>
            </w:pPr>
            <w:r>
              <w:rPr>
                <w:b w:val="0"/>
                <w:i w:val="0"/>
                <w:sz w:val="17"/>
              </w:rPr>
              <w:t>−209.375</w:t>
            </w:r>
          </w:p>
        </w:tc>
        <w:tc>
          <w:tcPr>
            <w:tcW w:type="dxa" w:w="1324"/>
            <w:shd w:fill="eef4f6"/>
            <w:vAlign w:val="top"/>
          </w:tcPr>
          <w:p>
            <w:pPr>
              <w:spacing w:after="40" w:before="40" w:line="240" w:lineRule="auto"/>
            </w:pPr>
            <w:r>
              <w:rPr>
                <w:b w:val="0"/>
                <w:i w:val="0"/>
                <w:sz w:val="17"/>
              </w:rPr>
              <w:t>0.499</w:t>
            </w:r>
          </w:p>
        </w:tc>
      </w:tr>
      <w:tr>
        <w:trPr>
          <w:cantSplit/>
        </w:trPr>
        <w:tc>
          <w:tcPr>
            <w:tcW w:type="dxa" w:w="2852"/>
            <w:vAlign w:val="top"/>
          </w:tcPr>
          <w:p>
            <w:pPr>
              <w:spacing w:after="40" w:before="40" w:line="240" w:lineRule="auto"/>
            </w:pPr>
            <w:r>
              <w:rPr>
                <w:b w:val="0"/>
                <w:i w:val="0"/>
                <w:sz w:val="17"/>
              </w:rPr>
              <w:t>194 / upper exterior column</w:t>
            </w:r>
          </w:p>
        </w:tc>
        <w:tc>
          <w:tcPr>
            <w:tcW w:type="dxa" w:w="1528"/>
            <w:vAlign w:val="top"/>
          </w:tcPr>
          <w:p>
            <w:pPr>
              <w:spacing w:after="40" w:before="40" w:line="240" w:lineRule="auto"/>
            </w:pPr>
            <w:r>
              <w:rPr>
                <w:b w:val="0"/>
                <w:i w:val="0"/>
                <w:sz w:val="17"/>
              </w:rPr>
              <w:t>114 / 4.00</w:t>
            </w:r>
          </w:p>
        </w:tc>
        <w:tc>
          <w:tcPr>
            <w:tcW w:type="dxa" w:w="1426"/>
            <w:vAlign w:val="top"/>
          </w:tcPr>
          <w:p>
            <w:pPr>
              <w:spacing w:after="40" w:before="40" w:line="240" w:lineRule="auto"/>
            </w:pPr>
            <w:r>
              <w:rPr>
                <w:b w:val="0"/>
                <w:i w:val="0"/>
                <w:sz w:val="17"/>
              </w:rPr>
              <w:t>−203.925</w:t>
            </w:r>
          </w:p>
        </w:tc>
        <w:tc>
          <w:tcPr>
            <w:tcW w:type="dxa" w:w="1426"/>
            <w:vAlign w:val="top"/>
          </w:tcPr>
          <w:p>
            <w:pPr>
              <w:spacing w:after="40" w:before="40" w:line="240" w:lineRule="auto"/>
            </w:pPr>
            <w:r>
              <w:rPr>
                <w:b w:val="0"/>
                <w:i w:val="0"/>
                <w:sz w:val="17"/>
              </w:rPr>
              <w:t>47.744</w:t>
            </w:r>
          </w:p>
        </w:tc>
        <w:tc>
          <w:tcPr>
            <w:tcW w:type="dxa" w:w="1630"/>
            <w:vAlign w:val="top"/>
          </w:tcPr>
          <w:p>
            <w:pPr>
              <w:spacing w:after="40" w:before="40" w:line="240" w:lineRule="auto"/>
            </w:pPr>
            <w:r>
              <w:rPr>
                <w:b w:val="0"/>
                <w:i w:val="0"/>
                <w:sz w:val="17"/>
              </w:rPr>
              <w:t>−672.842</w:t>
            </w:r>
          </w:p>
        </w:tc>
        <w:tc>
          <w:tcPr>
            <w:tcW w:type="dxa" w:w="1324"/>
            <w:vAlign w:val="top"/>
          </w:tcPr>
          <w:p>
            <w:pPr>
              <w:spacing w:after="40" w:before="40" w:line="240" w:lineRule="auto"/>
            </w:pPr>
            <w:r>
              <w:rPr>
                <w:b w:val="0"/>
                <w:i w:val="0"/>
                <w:sz w:val="17"/>
              </w:rPr>
              <w:t>0.809</w:t>
            </w:r>
          </w:p>
        </w:tc>
      </w:tr>
      <w:tr>
        <w:trPr>
          <w:cantSplit/>
        </w:trPr>
        <w:tc>
          <w:tcPr>
            <w:tcW w:type="dxa" w:w="2852"/>
            <w:shd w:fill="eef4f6"/>
            <w:vAlign w:val="top"/>
          </w:tcPr>
          <w:p>
            <w:pPr>
              <w:spacing w:after="40" w:before="40" w:line="240" w:lineRule="auto"/>
            </w:pPr>
            <w:r>
              <w:rPr>
                <w:b w:val="0"/>
                <w:i w:val="0"/>
                <w:sz w:val="17"/>
              </w:rPr>
              <w:t>23 / eave rafter taper</w:t>
            </w:r>
          </w:p>
        </w:tc>
        <w:tc>
          <w:tcPr>
            <w:tcW w:type="dxa" w:w="1528"/>
            <w:shd w:fill="eef4f6"/>
            <w:vAlign w:val="top"/>
          </w:tcPr>
          <w:p>
            <w:pPr>
              <w:spacing w:after="40" w:before="40" w:line="240" w:lineRule="auto"/>
            </w:pPr>
            <w:r>
              <w:rPr>
                <w:b w:val="0"/>
                <w:i w:val="0"/>
                <w:sz w:val="17"/>
              </w:rPr>
              <w:t>114 / 0.00</w:t>
            </w:r>
          </w:p>
        </w:tc>
        <w:tc>
          <w:tcPr>
            <w:tcW w:type="dxa" w:w="1426"/>
            <w:shd w:fill="eef4f6"/>
            <w:vAlign w:val="top"/>
          </w:tcPr>
          <w:p>
            <w:pPr>
              <w:spacing w:after="40" w:before="40" w:line="240" w:lineRule="auto"/>
            </w:pPr>
            <w:r>
              <w:rPr>
                <w:b w:val="0"/>
                <w:i w:val="0"/>
                <w:sz w:val="17"/>
              </w:rPr>
              <w:t>−50.565</w:t>
            </w:r>
          </w:p>
        </w:tc>
        <w:tc>
          <w:tcPr>
            <w:tcW w:type="dxa" w:w="1426"/>
            <w:shd w:fill="eef4f6"/>
            <w:vAlign w:val="top"/>
          </w:tcPr>
          <w:p>
            <w:pPr>
              <w:spacing w:after="40" w:before="40" w:line="240" w:lineRule="auto"/>
            </w:pPr>
            <w:r>
              <w:rPr>
                <w:b w:val="0"/>
                <w:i w:val="0"/>
                <w:sz w:val="17"/>
              </w:rPr>
              <w:t>−204.161</w:t>
            </w:r>
          </w:p>
        </w:tc>
        <w:tc>
          <w:tcPr>
            <w:tcW w:type="dxa" w:w="1630"/>
            <w:shd w:fill="eef4f6"/>
            <w:vAlign w:val="top"/>
          </w:tcPr>
          <w:p>
            <w:pPr>
              <w:spacing w:after="40" w:before="40" w:line="240" w:lineRule="auto"/>
            </w:pPr>
            <w:r>
              <w:rPr>
                <w:b w:val="0"/>
                <w:i w:val="0"/>
                <w:sz w:val="17"/>
              </w:rPr>
              <w:t>−673.600</w:t>
            </w:r>
          </w:p>
        </w:tc>
        <w:tc>
          <w:tcPr>
            <w:tcW w:type="dxa" w:w="1324"/>
            <w:shd w:fill="eef4f6"/>
            <w:vAlign w:val="top"/>
          </w:tcPr>
          <w:p>
            <w:pPr>
              <w:spacing w:after="40" w:before="40" w:line="240" w:lineRule="auto"/>
            </w:pPr>
            <w:r>
              <w:rPr>
                <w:b w:val="0"/>
                <w:i w:val="0"/>
                <w:sz w:val="17"/>
              </w:rPr>
              <w:t>0.944</w:t>
            </w:r>
          </w:p>
        </w:tc>
      </w:tr>
      <w:tr>
        <w:trPr>
          <w:cantSplit/>
        </w:trPr>
        <w:tc>
          <w:tcPr>
            <w:tcW w:type="dxa" w:w="2852"/>
            <w:vAlign w:val="top"/>
          </w:tcPr>
          <w:p>
            <w:pPr>
              <w:spacing w:after="40" w:before="40" w:line="240" w:lineRule="auto"/>
            </w:pPr>
            <w:r>
              <w:rPr>
                <w:b w:val="0"/>
                <w:i w:val="0"/>
                <w:sz w:val="17"/>
              </w:rPr>
              <w:t>39 / ridge-side rafter</w:t>
            </w:r>
          </w:p>
        </w:tc>
        <w:tc>
          <w:tcPr>
            <w:tcW w:type="dxa" w:w="1528"/>
            <w:vAlign w:val="top"/>
          </w:tcPr>
          <w:p>
            <w:pPr>
              <w:spacing w:after="40" w:before="40" w:line="240" w:lineRule="auto"/>
            </w:pPr>
            <w:r>
              <w:rPr>
                <w:b w:val="0"/>
                <w:i w:val="0"/>
                <w:sz w:val="17"/>
              </w:rPr>
              <w:t>116 / 0.00</w:t>
            </w:r>
          </w:p>
        </w:tc>
        <w:tc>
          <w:tcPr>
            <w:tcW w:type="dxa" w:w="1426"/>
            <w:vAlign w:val="top"/>
          </w:tcPr>
          <w:p>
            <w:pPr>
              <w:spacing w:after="40" w:before="40" w:line="240" w:lineRule="auto"/>
            </w:pPr>
            <w:r>
              <w:rPr>
                <w:b w:val="0"/>
                <w:i w:val="0"/>
                <w:sz w:val="17"/>
              </w:rPr>
              <w:t>−148.547</w:t>
            </w:r>
          </w:p>
        </w:tc>
        <w:tc>
          <w:tcPr>
            <w:tcW w:type="dxa" w:w="1426"/>
            <w:vAlign w:val="top"/>
          </w:tcPr>
          <w:p>
            <w:pPr>
              <w:spacing w:after="40" w:before="40" w:line="240" w:lineRule="auto"/>
            </w:pPr>
            <w:r>
              <w:rPr>
                <w:b w:val="0"/>
                <w:i w:val="0"/>
                <w:sz w:val="17"/>
              </w:rPr>
              <w:t>−201.748</w:t>
            </w:r>
          </w:p>
        </w:tc>
        <w:tc>
          <w:tcPr>
            <w:tcW w:type="dxa" w:w="1630"/>
            <w:vAlign w:val="top"/>
          </w:tcPr>
          <w:p>
            <w:pPr>
              <w:spacing w:after="40" w:before="40" w:line="240" w:lineRule="auto"/>
            </w:pPr>
            <w:r>
              <w:rPr>
                <w:b w:val="0"/>
                <w:i w:val="0"/>
                <w:sz w:val="17"/>
              </w:rPr>
              <w:t>−781.111</w:t>
            </w:r>
          </w:p>
        </w:tc>
        <w:tc>
          <w:tcPr>
            <w:tcW w:type="dxa" w:w="1324"/>
            <w:vAlign w:val="top"/>
          </w:tcPr>
          <w:p>
            <w:pPr>
              <w:spacing w:after="40" w:before="40" w:line="240" w:lineRule="auto"/>
            </w:pPr>
            <w:r>
              <w:rPr>
                <w:b w:val="0"/>
                <w:i w:val="0"/>
                <w:sz w:val="17"/>
              </w:rPr>
              <w:t>0.985</w:t>
            </w:r>
          </w:p>
        </w:tc>
      </w:tr>
      <w:tr>
        <w:trPr>
          <w:cantSplit/>
        </w:trPr>
        <w:tc>
          <w:tcPr>
            <w:tcW w:type="dxa" w:w="2852"/>
            <w:shd w:fill="eef4f6"/>
            <w:vAlign w:val="top"/>
          </w:tcPr>
          <w:p>
            <w:pPr>
              <w:spacing w:after="40" w:before="40" w:line="240" w:lineRule="auto"/>
            </w:pPr>
            <w:r>
              <w:rPr>
                <w:b w:val="0"/>
                <w:i w:val="0"/>
                <w:sz w:val="17"/>
              </w:rPr>
              <w:t>154 / interior ridge column</w:t>
            </w:r>
          </w:p>
        </w:tc>
        <w:tc>
          <w:tcPr>
            <w:tcW w:type="dxa" w:w="1528"/>
            <w:shd w:fill="eef4f6"/>
            <w:vAlign w:val="top"/>
          </w:tcPr>
          <w:p>
            <w:pPr>
              <w:spacing w:after="40" w:before="40" w:line="240" w:lineRule="auto"/>
            </w:pPr>
            <w:r>
              <w:rPr>
                <w:b w:val="0"/>
                <w:i w:val="0"/>
                <w:sz w:val="17"/>
              </w:rPr>
              <w:t>118 / 11.50</w:t>
            </w:r>
          </w:p>
        </w:tc>
        <w:tc>
          <w:tcPr>
            <w:tcW w:type="dxa" w:w="1426"/>
            <w:shd w:fill="eef4f6"/>
            <w:vAlign w:val="top"/>
          </w:tcPr>
          <w:p>
            <w:pPr>
              <w:spacing w:after="40" w:before="40" w:line="240" w:lineRule="auto"/>
            </w:pPr>
            <w:r>
              <w:rPr>
                <w:b w:val="0"/>
                <w:i w:val="0"/>
                <w:sz w:val="17"/>
              </w:rPr>
              <w:t>61.030</w:t>
            </w:r>
          </w:p>
        </w:tc>
        <w:tc>
          <w:tcPr>
            <w:tcW w:type="dxa" w:w="1426"/>
            <w:shd w:fill="eef4f6"/>
            <w:vAlign w:val="top"/>
          </w:tcPr>
          <w:p>
            <w:pPr>
              <w:spacing w:after="40" w:before="40" w:line="240" w:lineRule="auto"/>
            </w:pPr>
            <w:r>
              <w:rPr>
                <w:b w:val="0"/>
                <w:i w:val="0"/>
                <w:sz w:val="17"/>
              </w:rPr>
              <w:t>95.754</w:t>
            </w:r>
          </w:p>
        </w:tc>
        <w:tc>
          <w:tcPr>
            <w:tcW w:type="dxa" w:w="1630"/>
            <w:shd w:fill="eef4f6"/>
            <w:vAlign w:val="top"/>
          </w:tcPr>
          <w:p>
            <w:pPr>
              <w:spacing w:after="40" w:before="40" w:line="240" w:lineRule="auto"/>
            </w:pPr>
            <w:r>
              <w:rPr>
                <w:b w:val="0"/>
                <w:i w:val="0"/>
                <w:sz w:val="17"/>
              </w:rPr>
              <w:t>−1,101*</w:t>
            </w:r>
          </w:p>
        </w:tc>
        <w:tc>
          <w:tcPr>
            <w:tcW w:type="dxa" w:w="1324"/>
            <w:shd w:fill="eef4f6"/>
            <w:vAlign w:val="top"/>
          </w:tcPr>
          <w:p>
            <w:pPr>
              <w:spacing w:after="40" w:before="40" w:line="240" w:lineRule="auto"/>
            </w:pPr>
            <w:r>
              <w:rPr>
                <w:b w:val="0"/>
                <w:i w:val="0"/>
                <w:sz w:val="17"/>
              </w:rPr>
              <w:t>1.039</w:t>
            </w:r>
          </w:p>
        </w:tc>
      </w:tr>
      <w:tr>
        <w:trPr>
          <w:cantSplit/>
        </w:trPr>
        <w:tc>
          <w:tcPr>
            <w:tcW w:type="dxa" w:w="2852"/>
            <w:vAlign w:val="top"/>
          </w:tcPr>
          <w:p>
            <w:pPr>
              <w:spacing w:after="40" w:before="40" w:line="240" w:lineRule="auto"/>
            </w:pPr>
            <w:r>
              <w:rPr>
                <w:b w:val="0"/>
                <w:i w:val="0"/>
                <w:sz w:val="17"/>
              </w:rPr>
              <w:t>161 / interior ridge column</w:t>
            </w:r>
          </w:p>
        </w:tc>
        <w:tc>
          <w:tcPr>
            <w:tcW w:type="dxa" w:w="1528"/>
            <w:vAlign w:val="top"/>
          </w:tcPr>
          <w:p>
            <w:pPr>
              <w:spacing w:after="40" w:before="40" w:line="240" w:lineRule="auto"/>
            </w:pPr>
            <w:r>
              <w:rPr>
                <w:b w:val="0"/>
                <w:i w:val="0"/>
                <w:sz w:val="17"/>
              </w:rPr>
              <w:t>118 / 11.50</w:t>
            </w:r>
          </w:p>
        </w:tc>
        <w:tc>
          <w:tcPr>
            <w:tcW w:type="dxa" w:w="1426"/>
            <w:vAlign w:val="top"/>
          </w:tcPr>
          <w:p>
            <w:pPr>
              <w:spacing w:after="40" w:before="40" w:line="240" w:lineRule="auto"/>
            </w:pPr>
            <w:r>
              <w:rPr>
                <w:b w:val="0"/>
                <w:i w:val="0"/>
                <w:sz w:val="17"/>
              </w:rPr>
              <w:t>61.154</w:t>
            </w:r>
          </w:p>
        </w:tc>
        <w:tc>
          <w:tcPr>
            <w:tcW w:type="dxa" w:w="1426"/>
            <w:vAlign w:val="top"/>
          </w:tcPr>
          <w:p>
            <w:pPr>
              <w:spacing w:after="40" w:before="40" w:line="240" w:lineRule="auto"/>
            </w:pPr>
            <w:r>
              <w:rPr>
                <w:b w:val="0"/>
                <w:i w:val="0"/>
                <w:sz w:val="17"/>
              </w:rPr>
              <w:t>95.707</w:t>
            </w:r>
          </w:p>
        </w:tc>
        <w:tc>
          <w:tcPr>
            <w:tcW w:type="dxa" w:w="1630"/>
            <w:vAlign w:val="top"/>
          </w:tcPr>
          <w:p>
            <w:pPr>
              <w:spacing w:after="40" w:before="40" w:line="240" w:lineRule="auto"/>
            </w:pPr>
            <w:r>
              <w:rPr>
                <w:b w:val="0"/>
                <w:i w:val="0"/>
                <w:sz w:val="17"/>
              </w:rPr>
              <w:t>−1,101*</w:t>
            </w:r>
          </w:p>
        </w:tc>
        <w:tc>
          <w:tcPr>
            <w:tcW w:type="dxa" w:w="1324"/>
            <w:vAlign w:val="top"/>
          </w:tcPr>
          <w:p>
            <w:pPr>
              <w:spacing w:after="40" w:before="40" w:line="240" w:lineRule="auto"/>
            </w:pPr>
            <w:r>
              <w:rPr>
                <w:b w:val="0"/>
                <w:i w:val="0"/>
                <w:sz w:val="17"/>
              </w:rPr>
              <w:t>1.038</w:t>
            </w:r>
          </w:p>
        </w:tc>
      </w:tr>
      <w:tr>
        <w:trPr>
          <w:cantSplit/>
        </w:trPr>
        <w:tc>
          <w:tcPr>
            <w:tcW w:type="dxa" w:w="2852"/>
            <w:shd w:fill="eef4f6"/>
            <w:vAlign w:val="top"/>
          </w:tcPr>
          <w:p>
            <w:pPr>
              <w:spacing w:after="40" w:before="40" w:line="240" w:lineRule="auto"/>
            </w:pPr>
            <w:r>
              <w:rPr>
                <w:b w:val="0"/>
                <w:i w:val="0"/>
                <w:sz w:val="17"/>
              </w:rPr>
              <w:t>18 / longitudinal SHS</w:t>
            </w:r>
          </w:p>
        </w:tc>
        <w:tc>
          <w:tcPr>
            <w:tcW w:type="dxa" w:w="1528"/>
            <w:shd w:fill="eef4f6"/>
            <w:vAlign w:val="top"/>
          </w:tcPr>
          <w:p>
            <w:pPr>
              <w:spacing w:after="40" w:before="40" w:line="240" w:lineRule="auto"/>
            </w:pPr>
            <w:r>
              <w:rPr>
                <w:b w:val="0"/>
                <w:i w:val="0"/>
                <w:sz w:val="17"/>
              </w:rPr>
              <w:t>111 / 4.05</w:t>
            </w:r>
          </w:p>
        </w:tc>
        <w:tc>
          <w:tcPr>
            <w:tcW w:type="dxa" w:w="1426"/>
            <w:shd w:fill="eef4f6"/>
            <w:vAlign w:val="top"/>
          </w:tcPr>
          <w:p>
            <w:pPr>
              <w:spacing w:after="40" w:before="40" w:line="240" w:lineRule="auto"/>
            </w:pPr>
            <w:r>
              <w:rPr>
                <w:b w:val="0"/>
                <w:i w:val="0"/>
                <w:sz w:val="17"/>
              </w:rPr>
              <w:t>104.595</w:t>
            </w:r>
          </w:p>
        </w:tc>
        <w:tc>
          <w:tcPr>
            <w:tcW w:type="dxa" w:w="1426"/>
            <w:shd w:fill="eef4f6"/>
            <w:vAlign w:val="top"/>
          </w:tcPr>
          <w:p>
            <w:pPr>
              <w:spacing w:after="40" w:before="40" w:line="240" w:lineRule="auto"/>
            </w:pPr>
            <w:r>
              <w:rPr>
                <w:b w:val="0"/>
                <w:i w:val="0"/>
                <w:sz w:val="17"/>
              </w:rPr>
              <w:t>0.000</w:t>
            </w:r>
          </w:p>
        </w:tc>
        <w:tc>
          <w:tcPr>
            <w:tcW w:type="dxa" w:w="1630"/>
            <w:shd w:fill="eef4f6"/>
            <w:vAlign w:val="top"/>
          </w:tcPr>
          <w:p>
            <w:pPr>
              <w:spacing w:after="40" w:before="40" w:line="240" w:lineRule="auto"/>
            </w:pPr>
            <w:r>
              <w:rPr>
                <w:b w:val="0"/>
                <w:i w:val="0"/>
                <w:sz w:val="17"/>
              </w:rPr>
              <w:t>−2.494</w:t>
            </w:r>
          </w:p>
        </w:tc>
        <w:tc>
          <w:tcPr>
            <w:tcW w:type="dxa" w:w="1324"/>
            <w:shd w:fill="eef4f6"/>
            <w:vAlign w:val="top"/>
          </w:tcPr>
          <w:p>
            <w:pPr>
              <w:spacing w:after="40" w:before="40" w:line="240" w:lineRule="auto"/>
            </w:pPr>
            <w:r>
              <w:rPr>
                <w:b w:val="0"/>
                <w:i w:val="0"/>
                <w:sz w:val="17"/>
              </w:rPr>
              <w:t>0.598</w:t>
            </w:r>
          </w:p>
        </w:tc>
      </w:tr>
      <w:tr>
        <w:trPr>
          <w:cantSplit/>
        </w:trPr>
        <w:tc>
          <w:tcPr>
            <w:tcW w:type="dxa" w:w="2852"/>
            <w:vAlign w:val="top"/>
          </w:tcPr>
          <w:p>
            <w:pPr>
              <w:spacing w:after="40" w:before="40" w:line="240" w:lineRule="auto"/>
            </w:pPr>
            <w:r>
              <w:rPr>
                <w:b w:val="0"/>
                <w:i w:val="0"/>
                <w:sz w:val="17"/>
              </w:rPr>
              <w:t>290 / canopy beam</w:t>
            </w:r>
          </w:p>
        </w:tc>
        <w:tc>
          <w:tcPr>
            <w:tcW w:type="dxa" w:w="1528"/>
            <w:vAlign w:val="top"/>
          </w:tcPr>
          <w:p>
            <w:pPr>
              <w:spacing w:after="40" w:before="40" w:line="240" w:lineRule="auto"/>
            </w:pPr>
            <w:r>
              <w:rPr>
                <w:b w:val="0"/>
                <w:i w:val="0"/>
                <w:sz w:val="17"/>
              </w:rPr>
              <w:t>114 / 0.00</w:t>
            </w:r>
          </w:p>
        </w:tc>
        <w:tc>
          <w:tcPr>
            <w:tcW w:type="dxa" w:w="1426"/>
            <w:vAlign w:val="top"/>
          </w:tcPr>
          <w:p>
            <w:pPr>
              <w:spacing w:after="40" w:before="40" w:line="240" w:lineRule="auto"/>
            </w:pPr>
            <w:r>
              <w:rPr>
                <w:b w:val="0"/>
                <w:i w:val="0"/>
                <w:sz w:val="17"/>
              </w:rPr>
              <w:t>−0.346</w:t>
            </w:r>
          </w:p>
        </w:tc>
        <w:tc>
          <w:tcPr>
            <w:tcW w:type="dxa" w:w="1426"/>
            <w:vAlign w:val="top"/>
          </w:tcPr>
          <w:p>
            <w:pPr>
              <w:spacing w:after="40" w:before="40" w:line="240" w:lineRule="auto"/>
            </w:pPr>
            <w:r>
              <w:rPr>
                <w:b w:val="0"/>
                <w:i w:val="0"/>
                <w:sz w:val="17"/>
              </w:rPr>
              <w:t>−33.809</w:t>
            </w:r>
          </w:p>
        </w:tc>
        <w:tc>
          <w:tcPr>
            <w:tcW w:type="dxa" w:w="1630"/>
            <w:vAlign w:val="top"/>
          </w:tcPr>
          <w:p>
            <w:pPr>
              <w:spacing w:after="40" w:before="40" w:line="240" w:lineRule="auto"/>
            </w:pPr>
            <w:r>
              <w:rPr>
                <w:b w:val="0"/>
                <w:i w:val="0"/>
                <w:sz w:val="17"/>
              </w:rPr>
              <w:t>−50.464</w:t>
            </w:r>
          </w:p>
        </w:tc>
        <w:tc>
          <w:tcPr>
            <w:tcW w:type="dxa" w:w="1324"/>
            <w:vAlign w:val="top"/>
          </w:tcPr>
          <w:p>
            <w:pPr>
              <w:spacing w:after="40" w:before="40" w:line="240" w:lineRule="auto"/>
            </w:pPr>
            <w:r>
              <w:rPr>
                <w:b w:val="0"/>
                <w:i w:val="0"/>
                <w:sz w:val="17"/>
              </w:rPr>
              <w:t>0.712</w:t>
            </w:r>
          </w:p>
        </w:tc>
      </w:tr>
    </w:tbl>
    <w:p>
      <w:pPr>
        <w:spacing w:after="40"/>
      </w:pPr>
      <w:r>
        <w:rPr>
          <w:b w:val="0"/>
          <w:i w:val="0"/>
          <w:sz w:val="2"/>
        </w:rPr>
      </w:r>
    </w:p>
    <w:p>
      <w:r>
        <w:rPr>
          <w:b w:val="0"/>
          <w:i w:val="0"/>
          <w:sz w:val="20"/>
        </w:rPr>
        <w:t>*The source prints −1.101E+03, so further moment precision is unavailable. x is measured from the individual member’s start node, not necessarily from the building base or eave. Member 18 also has torsion MX = −0.302 kN·m. Result coordinates and signs must be retained when extracting joint design actions.</w:t>
      </w:r>
    </w:p>
    <w:p>
      <w:pPr>
        <w:spacing w:after="60"/>
        <w:jc w:val="center"/>
      </w:pPr>
      <w:r>
        <w:drawing>
          <wp:inline xmlns:a="http://schemas.openxmlformats.org/drawingml/2006/main" xmlns:pic="http://schemas.openxmlformats.org/drawingml/2006/picture">
            <wp:extent cx="6467800" cy="1649615"/>
            <wp:docPr id="4" name="Picture 4"/>
            <wp:cNvGraphicFramePr>
              <a:graphicFrameLocks noChangeAspect="1"/>
            </wp:cNvGraphicFramePr>
            <a:graphic>
              <a:graphicData uri="http://schemas.openxmlformats.org/drawingml/2006/picture">
                <pic:pic>
                  <pic:nvPicPr>
                    <pic:cNvPr id="0" name="ratios.png"/>
                    <pic:cNvPicPr/>
                  </pic:nvPicPr>
                  <pic:blipFill>
                    <a:blip r:embed="rId13"/>
                    <a:stretch>
                      <a:fillRect/>
                    </a:stretch>
                  </pic:blipFill>
                  <pic:spPr>
                    <a:xfrm>
                      <a:off x="0" y="0"/>
                      <a:ext cx="6467800" cy="1649615"/>
                    </a:xfrm>
                    <a:prstGeom prst="rect"/>
                  </pic:spPr>
                </pic:pic>
              </a:graphicData>
            </a:graphic>
          </wp:inline>
        </w:drawing>
      </w:r>
    </w:p>
    <w:p>
      <w:r>
        <w:rPr>
          <w:b w:val="0"/>
          <w:i w:val="0"/>
          <w:sz w:val="16"/>
        </w:rPr>
        <w:t>Figure 3. Selected utilization ratios as recorded in the supplied run. The dashed line is the 1.0 check threshold; input and analysis issues remain unresolved.</w:t>
      </w:r>
    </w:p>
    <w:p>
      <w:pPr>
        <w:pStyle w:val="Heading2"/>
      </w:pPr>
      <w:r>
        <w:rPr>
          <w:b w:val="0"/>
          <w:i w:val="0"/>
        </w:rPr>
        <w:t>Engineering interpretation</w:t>
      </w:r>
    </w:p>
    <w:p>
      <w:r>
        <w:rPr>
          <w:b w:val="0"/>
          <w:i w:val="0"/>
          <w:sz w:val="20"/>
        </w:rPr>
        <w:t>The eave region carries substantial frame moment and shear, which explains the increased column/rafter depths near the joint. Ridge-side rafter 39 is close to its recorded shear resistance. The ridge columns reverse between compression and tension across the load set and also develop large moments. The canopy behaves as a cantilever connected to the main column system.</w:t>
      </w:r>
    </w:p>
    <w:p>
      <w:r>
        <w:rPr>
          <w:b w:val="0"/>
          <w:i w:val="0"/>
          <w:sz w:val="20"/>
        </w:rPr>
        <w:t>The reported PASS of the longitudinal SHS member is accompanied by a second-order-analysis warning. The failed ridge-column checks are governed by LC118, whose input factor is inconsistent with its title. A revised analysis may change both forces and utilization; no revised pass/fail outcome is inferred here.</w:t>
      </w:r>
    </w:p>
    <w:p>
      <w:r>
        <w:rPr>
          <w:b w:val="0"/>
          <w:i w:val="0"/>
          <w:sz w:val="15"/>
        </w:rPr>
        <w:t>Source basis: [S2] printed pp.93–100, 103–106, 135–136, 365–366, 379–380, 445–446 and 517–518.</w:t>
      </w:r>
    </w:p>
    <w:p>
      <w:r>
        <w:br w:type="page"/>
      </w:r>
    </w:p>
    <w:p>
      <w:r>
        <w:rPr>
          <w:b w:val="0"/>
          <w:i w:val="0"/>
          <w:color w:val="087E8B"/>
          <w:sz w:val="18"/>
        </w:rPr>
        <w:t>WEEK 2 • VALIDATION OF RESULTS</w:t>
      </w:r>
    </w:p>
    <w:p>
      <w:pPr>
        <w:pStyle w:val="Heading1"/>
      </w:pPr>
      <w:r>
        <w:rPr>
          <w:b w:val="0"/>
          <w:i w:val="0"/>
        </w:rPr>
        <w:t>Displacements, equilibrium and model review</w:t>
      </w:r>
    </w:p>
    <w:p>
      <w:pPr>
        <w:pStyle w:val="Heading2"/>
      </w:pPr>
      <w:r>
        <w:rPr>
          <w:b w:val="0"/>
          <w:i w:val="0"/>
        </w:rPr>
        <w:t>Primary-case displacement summary</w:t>
      </w:r>
    </w:p>
    <w:p>
      <w:r>
        <w:rPr>
          <w:b w:val="0"/>
          <w:i w:val="0"/>
          <w:sz w:val="20"/>
        </w:rPr>
        <w:t>The ANL reports translations in centimetres; they are converted below to millimetres. Each cell gives the signed reported extreme followed by its node number. Different component extremes generally occur at different nodes, so these entries cannot be combined as one displacement vector or directly added to form a service combination.</w:t>
      </w:r>
    </w:p>
    <w:tbl>
      <w:tblPr>
        <w:tblW w:type="auto" w:w="0"/>
        <w:jc w:val="center"/>
        <w:tblLayout w:type="fixed"/>
        <w:tblLook w:firstColumn="1" w:firstRow="1" w:lastColumn="0" w:lastRow="0" w:noHBand="0" w:noVBand="1" w:val="04A0"/>
      </w:tblPr>
      <w:tblGrid>
        <w:gridCol w:w="2852"/>
        <w:gridCol w:w="2445"/>
        <w:gridCol w:w="2445"/>
        <w:gridCol w:w="2445"/>
      </w:tblGrid>
      <w:tr>
        <w:trPr>
          <w:cantSplit/>
        </w:trPr>
        <w:tc>
          <w:tcPr>
            <w:tcW w:type="dxa" w:w="2852"/>
            <w:shd w:fill="183247"/>
          </w:tcPr>
          <w:p>
            <w:pPr>
              <w:spacing w:after="40" w:before="40"/>
            </w:pPr>
            <w:r>
              <w:rPr>
                <w:b/>
                <w:i w:val="0"/>
                <w:color w:val="FFFFFF"/>
                <w:sz w:val="17"/>
              </w:rPr>
              <w:t>Case</w:t>
            </w:r>
          </w:p>
        </w:tc>
        <w:tc>
          <w:tcPr>
            <w:tcW w:type="dxa" w:w="2445"/>
            <w:shd w:fill="183247"/>
          </w:tcPr>
          <w:p>
            <w:pPr>
              <w:spacing w:after="40" w:before="40"/>
            </w:pPr>
            <w:r>
              <w:rPr>
                <w:b/>
                <w:i w:val="0"/>
                <w:color w:val="FFFFFF"/>
                <w:sz w:val="17"/>
              </w:rPr>
              <w:t>X (mm) / node</w:t>
            </w:r>
          </w:p>
        </w:tc>
        <w:tc>
          <w:tcPr>
            <w:tcW w:type="dxa" w:w="2445"/>
            <w:shd w:fill="183247"/>
          </w:tcPr>
          <w:p>
            <w:pPr>
              <w:spacing w:after="40" w:before="40"/>
            </w:pPr>
            <w:r>
              <w:rPr>
                <w:b/>
                <w:i w:val="0"/>
                <w:color w:val="FFFFFF"/>
                <w:sz w:val="17"/>
              </w:rPr>
              <w:t>Y (mm) / node</w:t>
            </w:r>
          </w:p>
        </w:tc>
        <w:tc>
          <w:tcPr>
            <w:tcW w:type="dxa" w:w="2445"/>
            <w:shd w:fill="183247"/>
          </w:tcPr>
          <w:p>
            <w:pPr>
              <w:spacing w:after="40" w:before="40"/>
            </w:pPr>
            <w:r>
              <w:rPr>
                <w:b/>
                <w:i w:val="0"/>
                <w:color w:val="FFFFFF"/>
                <w:sz w:val="17"/>
              </w:rPr>
              <w:t>Z (mm) / node</w:t>
            </w:r>
          </w:p>
        </w:tc>
      </w:tr>
      <w:tr>
        <w:trPr>
          <w:cantSplit/>
        </w:trPr>
        <w:tc>
          <w:tcPr>
            <w:tcW w:type="dxa" w:w="2852"/>
            <w:shd w:fill="eef4f6"/>
            <w:vAlign w:val="top"/>
          </w:tcPr>
          <w:p>
            <w:pPr>
              <w:spacing w:after="40" w:before="40" w:line="240" w:lineRule="auto"/>
            </w:pPr>
            <w:r>
              <w:rPr>
                <w:b w:val="0"/>
                <w:i w:val="0"/>
                <w:sz w:val="17"/>
              </w:rPr>
              <w:t>3 — DL</w:t>
            </w:r>
          </w:p>
        </w:tc>
        <w:tc>
          <w:tcPr>
            <w:tcW w:type="dxa" w:w="2445"/>
            <w:shd w:fill="eef4f6"/>
            <w:vAlign w:val="top"/>
          </w:tcPr>
          <w:p>
            <w:pPr>
              <w:spacing w:after="40" w:before="40" w:line="240" w:lineRule="auto"/>
            </w:pPr>
            <w:r>
              <w:rPr>
                <w:b w:val="0"/>
                <w:i w:val="0"/>
                <w:sz w:val="17"/>
              </w:rPr>
              <w:t>−2.136 / 156</w:t>
            </w:r>
          </w:p>
        </w:tc>
        <w:tc>
          <w:tcPr>
            <w:tcW w:type="dxa" w:w="2445"/>
            <w:shd w:fill="eef4f6"/>
            <w:vAlign w:val="top"/>
          </w:tcPr>
          <w:p>
            <w:pPr>
              <w:spacing w:after="40" w:before="40" w:line="240" w:lineRule="auto"/>
            </w:pPr>
            <w:r>
              <w:rPr>
                <w:b w:val="0"/>
                <w:i w:val="0"/>
                <w:sz w:val="17"/>
              </w:rPr>
              <w:t>−6.725 / 72</w:t>
            </w:r>
          </w:p>
        </w:tc>
        <w:tc>
          <w:tcPr>
            <w:tcW w:type="dxa" w:w="2445"/>
            <w:shd w:fill="eef4f6"/>
            <w:vAlign w:val="top"/>
          </w:tcPr>
          <w:p>
            <w:pPr>
              <w:spacing w:after="40" w:before="40" w:line="240" w:lineRule="auto"/>
            </w:pPr>
            <w:r>
              <w:rPr>
                <w:b w:val="0"/>
                <w:i w:val="0"/>
                <w:sz w:val="17"/>
              </w:rPr>
              <w:t>−0.070 / 164</w:t>
            </w:r>
          </w:p>
        </w:tc>
      </w:tr>
      <w:tr>
        <w:trPr>
          <w:cantSplit/>
        </w:trPr>
        <w:tc>
          <w:tcPr>
            <w:tcW w:type="dxa" w:w="2852"/>
            <w:vAlign w:val="top"/>
          </w:tcPr>
          <w:p>
            <w:pPr>
              <w:spacing w:after="40" w:before="40" w:line="240" w:lineRule="auto"/>
            </w:pPr>
            <w:r>
              <w:rPr>
                <w:b w:val="0"/>
                <w:i w:val="0"/>
                <w:sz w:val="17"/>
              </w:rPr>
              <w:t>4 — LL</w:t>
            </w:r>
          </w:p>
        </w:tc>
        <w:tc>
          <w:tcPr>
            <w:tcW w:type="dxa" w:w="2445"/>
            <w:vAlign w:val="top"/>
          </w:tcPr>
          <w:p>
            <w:pPr>
              <w:spacing w:after="40" w:before="40" w:line="240" w:lineRule="auto"/>
            </w:pPr>
            <w:r>
              <w:rPr>
                <w:b w:val="0"/>
                <w:i w:val="0"/>
                <w:sz w:val="17"/>
              </w:rPr>
              <w:t>−3.921 / 154</w:t>
            </w:r>
          </w:p>
        </w:tc>
        <w:tc>
          <w:tcPr>
            <w:tcW w:type="dxa" w:w="2445"/>
            <w:vAlign w:val="top"/>
          </w:tcPr>
          <w:p>
            <w:pPr>
              <w:spacing w:after="40" w:before="40" w:line="240" w:lineRule="auto"/>
            </w:pPr>
            <w:r>
              <w:rPr>
                <w:b w:val="0"/>
                <w:i w:val="0"/>
                <w:sz w:val="17"/>
              </w:rPr>
              <w:t>−12.156 / 72</w:t>
            </w:r>
          </w:p>
        </w:tc>
        <w:tc>
          <w:tcPr>
            <w:tcW w:type="dxa" w:w="2445"/>
            <w:vAlign w:val="top"/>
          </w:tcPr>
          <w:p>
            <w:pPr>
              <w:spacing w:after="40" w:before="40" w:line="240" w:lineRule="auto"/>
            </w:pPr>
            <w:r>
              <w:rPr>
                <w:b w:val="0"/>
                <w:i w:val="0"/>
                <w:sz w:val="17"/>
              </w:rPr>
              <w:t>−0.094 / 164</w:t>
            </w:r>
          </w:p>
        </w:tc>
      </w:tr>
      <w:tr>
        <w:trPr>
          <w:cantSplit/>
        </w:trPr>
        <w:tc>
          <w:tcPr>
            <w:tcW w:type="dxa" w:w="2852"/>
            <w:shd w:fill="eef4f6"/>
            <w:vAlign w:val="top"/>
          </w:tcPr>
          <w:p>
            <w:pPr>
              <w:spacing w:after="40" w:before="40" w:line="240" w:lineRule="auto"/>
            </w:pPr>
            <w:r>
              <w:rPr>
                <w:b w:val="0"/>
                <w:i w:val="0"/>
                <w:sz w:val="17"/>
              </w:rPr>
              <w:t>5 — WL 0° +Cpi</w:t>
            </w:r>
          </w:p>
        </w:tc>
        <w:tc>
          <w:tcPr>
            <w:tcW w:type="dxa" w:w="2445"/>
            <w:shd w:fill="eef4f6"/>
            <w:vAlign w:val="top"/>
          </w:tcPr>
          <w:p>
            <w:pPr>
              <w:spacing w:after="40" w:before="40" w:line="240" w:lineRule="auto"/>
            </w:pPr>
            <w:r>
              <w:rPr>
                <w:b w:val="0"/>
                <w:i w:val="0"/>
                <w:sz w:val="17"/>
              </w:rPr>
              <w:t>+41.692 / 27</w:t>
            </w:r>
          </w:p>
        </w:tc>
        <w:tc>
          <w:tcPr>
            <w:tcW w:type="dxa" w:w="2445"/>
            <w:shd w:fill="eef4f6"/>
            <w:vAlign w:val="top"/>
          </w:tcPr>
          <w:p>
            <w:pPr>
              <w:spacing w:after="40" w:before="40" w:line="240" w:lineRule="auto"/>
            </w:pPr>
            <w:r>
              <w:rPr>
                <w:b w:val="0"/>
                <w:i w:val="0"/>
                <w:sz w:val="17"/>
              </w:rPr>
              <w:t>+32.669 / 44</w:t>
            </w:r>
          </w:p>
        </w:tc>
        <w:tc>
          <w:tcPr>
            <w:tcW w:type="dxa" w:w="2445"/>
            <w:shd w:fill="eef4f6"/>
            <w:vAlign w:val="top"/>
          </w:tcPr>
          <w:p>
            <w:pPr>
              <w:spacing w:after="40" w:before="40" w:line="240" w:lineRule="auto"/>
            </w:pPr>
            <w:r>
              <w:rPr>
                <w:b w:val="0"/>
                <w:i w:val="0"/>
                <w:sz w:val="17"/>
              </w:rPr>
              <w:t>−34.070 / 118</w:t>
            </w:r>
          </w:p>
        </w:tc>
      </w:tr>
      <w:tr>
        <w:trPr>
          <w:cantSplit/>
        </w:trPr>
        <w:tc>
          <w:tcPr>
            <w:tcW w:type="dxa" w:w="2852"/>
            <w:vAlign w:val="top"/>
          </w:tcPr>
          <w:p>
            <w:pPr>
              <w:spacing w:after="40" w:before="40" w:line="240" w:lineRule="auto"/>
            </w:pPr>
            <w:r>
              <w:rPr>
                <w:b w:val="0"/>
                <w:i w:val="0"/>
                <w:sz w:val="17"/>
              </w:rPr>
              <w:t>6 — WL 0° −Cpi</w:t>
            </w:r>
          </w:p>
        </w:tc>
        <w:tc>
          <w:tcPr>
            <w:tcW w:type="dxa" w:w="2445"/>
            <w:vAlign w:val="top"/>
          </w:tcPr>
          <w:p>
            <w:pPr>
              <w:spacing w:after="40" w:before="40" w:line="240" w:lineRule="auto"/>
            </w:pPr>
            <w:r>
              <w:rPr>
                <w:b w:val="0"/>
                <w:i w:val="0"/>
                <w:sz w:val="17"/>
              </w:rPr>
              <w:t>+39.442 / 3</w:t>
            </w:r>
          </w:p>
        </w:tc>
        <w:tc>
          <w:tcPr>
            <w:tcW w:type="dxa" w:w="2445"/>
            <w:vAlign w:val="top"/>
          </w:tcPr>
          <w:p>
            <w:pPr>
              <w:spacing w:after="40" w:before="40" w:line="240" w:lineRule="auto"/>
            </w:pPr>
            <w:r>
              <w:rPr>
                <w:b w:val="0"/>
                <w:i w:val="0"/>
                <w:sz w:val="17"/>
              </w:rPr>
              <w:t>+16.456 / 25</w:t>
            </w:r>
          </w:p>
        </w:tc>
        <w:tc>
          <w:tcPr>
            <w:tcW w:type="dxa" w:w="2445"/>
            <w:vAlign w:val="top"/>
          </w:tcPr>
          <w:p>
            <w:pPr>
              <w:spacing w:after="40" w:before="40" w:line="240" w:lineRule="auto"/>
            </w:pPr>
            <w:r>
              <w:rPr>
                <w:b w:val="0"/>
                <w:i w:val="0"/>
                <w:sz w:val="17"/>
              </w:rPr>
              <w:t>−3.109 / 118</w:t>
            </w:r>
          </w:p>
        </w:tc>
      </w:tr>
      <w:tr>
        <w:trPr>
          <w:cantSplit/>
        </w:trPr>
        <w:tc>
          <w:tcPr>
            <w:tcW w:type="dxa" w:w="2852"/>
            <w:shd w:fill="eef4f6"/>
            <w:vAlign w:val="top"/>
          </w:tcPr>
          <w:p>
            <w:pPr>
              <w:spacing w:after="40" w:before="40" w:line="240" w:lineRule="auto"/>
            </w:pPr>
            <w:r>
              <w:rPr>
                <w:b w:val="0"/>
                <w:i w:val="0"/>
                <w:sz w:val="17"/>
              </w:rPr>
              <w:t>7 — WL 90° +Cpi</w:t>
            </w:r>
          </w:p>
        </w:tc>
        <w:tc>
          <w:tcPr>
            <w:tcW w:type="dxa" w:w="2445"/>
            <w:shd w:fill="eef4f6"/>
            <w:vAlign w:val="top"/>
          </w:tcPr>
          <w:p>
            <w:pPr>
              <w:spacing w:after="40" w:before="40" w:line="240" w:lineRule="auto"/>
            </w:pPr>
            <w:r>
              <w:rPr>
                <w:b w:val="0"/>
                <w:i w:val="0"/>
                <w:sz w:val="17"/>
              </w:rPr>
              <w:t>+4.599 / 154</w:t>
            </w:r>
          </w:p>
        </w:tc>
        <w:tc>
          <w:tcPr>
            <w:tcW w:type="dxa" w:w="2445"/>
            <w:shd w:fill="eef4f6"/>
            <w:vAlign w:val="top"/>
          </w:tcPr>
          <w:p>
            <w:pPr>
              <w:spacing w:after="40" w:before="40" w:line="240" w:lineRule="auto"/>
            </w:pPr>
            <w:r>
              <w:rPr>
                <w:b w:val="0"/>
                <w:i w:val="0"/>
                <w:sz w:val="17"/>
              </w:rPr>
              <w:t>+27.387 / 54</w:t>
            </w:r>
          </w:p>
        </w:tc>
        <w:tc>
          <w:tcPr>
            <w:tcW w:type="dxa" w:w="2445"/>
            <w:shd w:fill="eef4f6"/>
            <w:vAlign w:val="top"/>
          </w:tcPr>
          <w:p>
            <w:pPr>
              <w:spacing w:after="40" w:before="40" w:line="240" w:lineRule="auto"/>
            </w:pPr>
            <w:r>
              <w:rPr>
                <w:b w:val="0"/>
                <w:i w:val="0"/>
                <w:sz w:val="17"/>
              </w:rPr>
              <w:t>+23.178 / 141</w:t>
            </w:r>
          </w:p>
        </w:tc>
      </w:tr>
      <w:tr>
        <w:trPr>
          <w:cantSplit/>
        </w:trPr>
        <w:tc>
          <w:tcPr>
            <w:tcW w:type="dxa" w:w="2852"/>
            <w:vAlign w:val="top"/>
          </w:tcPr>
          <w:p>
            <w:pPr>
              <w:spacing w:after="40" w:before="40" w:line="240" w:lineRule="auto"/>
            </w:pPr>
            <w:r>
              <w:rPr>
                <w:b w:val="0"/>
                <w:i w:val="0"/>
                <w:sz w:val="17"/>
              </w:rPr>
              <w:t>8 — WL 90° −Cpi</w:t>
            </w:r>
          </w:p>
        </w:tc>
        <w:tc>
          <w:tcPr>
            <w:tcW w:type="dxa" w:w="2445"/>
            <w:vAlign w:val="top"/>
          </w:tcPr>
          <w:p>
            <w:pPr>
              <w:spacing w:after="40" w:before="40" w:line="240" w:lineRule="auto"/>
            </w:pPr>
            <w:r>
              <w:rPr>
                <w:b w:val="0"/>
                <w:i w:val="0"/>
                <w:sz w:val="17"/>
              </w:rPr>
              <w:t>+6.556 / 154</w:t>
            </w:r>
          </w:p>
        </w:tc>
        <w:tc>
          <w:tcPr>
            <w:tcW w:type="dxa" w:w="2445"/>
            <w:vAlign w:val="top"/>
          </w:tcPr>
          <w:p>
            <w:pPr>
              <w:spacing w:after="40" w:before="40" w:line="240" w:lineRule="auto"/>
            </w:pPr>
            <w:r>
              <w:rPr>
                <w:b w:val="0"/>
                <w:i w:val="0"/>
                <w:sz w:val="17"/>
              </w:rPr>
              <w:t>+21.604 / 54</w:t>
            </w:r>
          </w:p>
        </w:tc>
        <w:tc>
          <w:tcPr>
            <w:tcW w:type="dxa" w:w="2445"/>
            <w:vAlign w:val="top"/>
          </w:tcPr>
          <w:p>
            <w:pPr>
              <w:spacing w:after="40" w:before="40" w:line="240" w:lineRule="auto"/>
            </w:pPr>
            <w:r>
              <w:rPr>
                <w:b w:val="0"/>
                <w:i w:val="0"/>
                <w:sz w:val="17"/>
              </w:rPr>
              <w:t>+42.808 / 118</w:t>
            </w:r>
          </w:p>
        </w:tc>
      </w:tr>
    </w:tbl>
    <w:p>
      <w:pPr>
        <w:spacing w:after="40"/>
      </w:pPr>
      <w:r>
        <w:rPr>
          <w:b w:val="0"/>
          <w:i w:val="0"/>
          <w:sz w:val="2"/>
        </w:rPr>
      </w:r>
    </w:p>
    <w:p>
      <w:pPr>
        <w:pStyle w:val="Heading2"/>
      </w:pPr>
      <w:r>
        <w:rPr>
          <w:b w:val="0"/>
          <w:i w:val="0"/>
        </w:rPr>
        <w:t>Serviceability interpretation</w:t>
      </w:r>
    </w:p>
    <w:p>
      <w:r>
        <w:rPr>
          <w:b w:val="0"/>
          <w:i w:val="0"/>
          <w:sz w:val="20"/>
        </w:rPr>
        <w:t>The PDF separately illustrates 52.3 mm lateral movement against 10,000/150 = 66.7 mm, and 9.844 mm vertical rafter movement against 18,000/180 = 100 mm [S1, p.57]. Those values are not established as service envelopes of this ANL run. They are retained only as training-slide examples. Actual limits depend on cladding, supported finishes, use, connection details and the adopted design specification.</w:t>
      </w:r>
    </w:p>
    <w:p>
      <w:r>
        <w:rPr>
          <w:b w:val="0"/>
          <w:i w:val="0"/>
          <w:sz w:val="20"/>
        </w:rPr>
        <w:t>For final checking, obtain nodal and member displacements for each service combination, including the relative vertical deflection of rafters between their moving supports. Check purlins/girts, canopy tips, frame sway, gutter falls and drainage separately. A primary-case joint displacement is not a complete member-deflection check.</w:t>
      </w:r>
    </w:p>
    <w:p>
      <w:pPr>
        <w:pStyle w:val="Heading2"/>
      </w:pPr>
      <w:r>
        <w:rPr>
          <w:b w:val="0"/>
          <w:i w:val="0"/>
        </w:rPr>
        <w:t>Equilibrium and warnings</w:t>
      </w:r>
    </w:p>
    <w:p>
      <w:pPr>
        <w:ind w:left="120" w:right="120"/>
        <w:shd w:fill="EEF4F6"/>
      </w:pPr>
      <w:r>
        <w:rPr>
          <w:b w:val="0"/>
          <w:i w:val="0"/>
          <w:sz w:val="19"/>
        </w:rPr>
        <w:t>DL case 3: total applied FY = −1,910.11 kN; total reaction FY = +1,910.11 kN.</w:t>
        <w:br/>
        <w:t>Wind case 8: applied (FX,FY,FZ) = (−8.10, +3,596.40, +330.69) kN;</w:t>
        <w:br/>
        <w:t>reaction = (+8.10, −3,596.40, −330.69) kN.</w:t>
      </w:r>
    </w:p>
    <w:p>
      <w:r>
        <w:rPr>
          <w:b w:val="0"/>
          <w:i w:val="0"/>
          <w:sz w:val="20"/>
        </w:rPr>
        <w:t>These aggregate balances support force equilibrium for the printed cases. They do not validate the assumed loads, member restraints or nonlinear combinations. Individual foundation reaction envelopes are still required, including coincident shear and uplift.</w:t>
      </w:r>
    </w:p>
    <w:tbl>
      <w:tblPr>
        <w:tblW w:type="auto" w:w="0"/>
        <w:jc w:val="center"/>
        <w:tblLayout w:type="fixed"/>
        <w:tblLook w:firstColumn="1" w:firstRow="1" w:lastColumn="0" w:lastRow="0" w:noHBand="0" w:noVBand="1" w:val="04A0"/>
      </w:tblPr>
      <w:tblGrid>
        <w:gridCol w:w="3565"/>
        <w:gridCol w:w="6621"/>
      </w:tblGrid>
      <w:tr>
        <w:trPr>
          <w:cantSplit/>
        </w:trPr>
        <w:tc>
          <w:tcPr>
            <w:tcW w:type="dxa" w:w="3565"/>
            <w:shd w:fill="183247"/>
          </w:tcPr>
          <w:p>
            <w:pPr>
              <w:spacing w:after="40" w:before="40"/>
            </w:pPr>
            <w:r>
              <w:rPr>
                <w:b/>
                <w:i w:val="0"/>
                <w:color w:val="FFFFFF"/>
                <w:sz w:val="17"/>
              </w:rPr>
              <w:t>Observed issue</w:t>
            </w:r>
          </w:p>
        </w:tc>
        <w:tc>
          <w:tcPr>
            <w:tcW w:type="dxa" w:w="6621"/>
            <w:shd w:fill="183247"/>
          </w:tcPr>
          <w:p>
            <w:pPr>
              <w:spacing w:after="40" w:before="40"/>
            </w:pPr>
            <w:r>
              <w:rPr>
                <w:b/>
                <w:i w:val="0"/>
                <w:color w:val="FFFFFF"/>
                <w:sz w:val="17"/>
              </w:rPr>
              <w:t>Required follow-up</w:t>
            </w:r>
          </w:p>
        </w:tc>
      </w:tr>
      <w:tr>
        <w:trPr>
          <w:cantSplit/>
        </w:trPr>
        <w:tc>
          <w:tcPr>
            <w:tcW w:type="dxa" w:w="3565"/>
            <w:shd w:fill="eef4f6"/>
            <w:vAlign w:val="top"/>
          </w:tcPr>
          <w:p>
            <w:pPr>
              <w:spacing w:after="40" w:before="40" w:line="240" w:lineRule="auto"/>
            </w:pPr>
            <w:r>
              <w:rPr>
                <w:b w:val="0"/>
                <w:i w:val="0"/>
                <w:sz w:val="17"/>
              </w:rPr>
              <w:t>Members 18 and 19</w:t>
            </w:r>
          </w:p>
        </w:tc>
        <w:tc>
          <w:tcPr>
            <w:tcW w:type="dxa" w:w="6621"/>
            <w:shd w:fill="eef4f6"/>
            <w:vAlign w:val="top"/>
          </w:tcPr>
          <w:p>
            <w:pPr>
              <w:spacing w:after="40" w:before="40" w:line="240" w:lineRule="auto"/>
            </w:pPr>
            <w:r>
              <w:rPr>
                <w:b w:val="0"/>
                <w:i w:val="0"/>
                <w:sz w:val="17"/>
              </w:rPr>
              <w:t>Moment-amplification warning above 1.4 in LC111; perform the required second-order review.</w:t>
            </w:r>
          </w:p>
        </w:tc>
      </w:tr>
      <w:tr>
        <w:trPr>
          <w:cantSplit/>
        </w:trPr>
        <w:tc>
          <w:tcPr>
            <w:tcW w:type="dxa" w:w="3565"/>
            <w:vAlign w:val="top"/>
          </w:tcPr>
          <w:p>
            <w:pPr>
              <w:spacing w:after="40" w:before="40" w:line="240" w:lineRule="auto"/>
            </w:pPr>
            <w:r>
              <w:rPr>
                <w:b w:val="0"/>
                <w:i w:val="0"/>
                <w:sz w:val="17"/>
              </w:rPr>
              <w:t>Members 154–161</w:t>
            </w:r>
          </w:p>
        </w:tc>
        <w:tc>
          <w:tcPr>
            <w:tcW w:type="dxa" w:w="6621"/>
            <w:vAlign w:val="top"/>
          </w:tcPr>
          <w:p>
            <w:pPr>
              <w:spacing w:after="40" w:before="40" w:line="240" w:lineRule="auto"/>
            </w:pPr>
            <w:r>
              <w:rPr>
                <w:b w:val="0"/>
                <w:i w:val="0"/>
                <w:sz w:val="17"/>
              </w:rPr>
              <w:t>Minimum web-thickness serviceability warning; investigate web slenderness and stiffening/design changes.</w:t>
            </w:r>
          </w:p>
        </w:tc>
      </w:tr>
      <w:tr>
        <w:trPr>
          <w:cantSplit/>
        </w:trPr>
        <w:tc>
          <w:tcPr>
            <w:tcW w:type="dxa" w:w="3565"/>
            <w:shd w:fill="eef4f6"/>
            <w:vAlign w:val="top"/>
          </w:tcPr>
          <w:p>
            <w:pPr>
              <w:spacing w:after="40" w:before="40" w:line="240" w:lineRule="auto"/>
            </w:pPr>
            <w:r>
              <w:rPr>
                <w:b w:val="0"/>
                <w:i w:val="0"/>
                <w:sz w:val="17"/>
              </w:rPr>
              <w:t>LC118 and tension-only bracing</w:t>
            </w:r>
          </w:p>
        </w:tc>
        <w:tc>
          <w:tcPr>
            <w:tcW w:type="dxa" w:w="6621"/>
            <w:shd w:fill="eef4f6"/>
            <w:vAlign w:val="top"/>
          </w:tcPr>
          <w:p>
            <w:pPr>
              <w:spacing w:after="40" w:before="40" w:line="240" w:lineRule="auto"/>
            </w:pPr>
            <w:r>
              <w:rPr>
                <w:b w:val="0"/>
                <w:i w:val="0"/>
                <w:sz w:val="17"/>
              </w:rPr>
              <w:t>Resolve the 11.5 factor and use combined-load analysis appropriate to changing brace activity.</w:t>
            </w:r>
          </w:p>
        </w:tc>
      </w:tr>
      <w:tr>
        <w:trPr>
          <w:cantSplit/>
        </w:trPr>
        <w:tc>
          <w:tcPr>
            <w:tcW w:type="dxa" w:w="3565"/>
            <w:vAlign w:val="top"/>
          </w:tcPr>
          <w:p>
            <w:pPr>
              <w:spacing w:after="40" w:before="40" w:line="240" w:lineRule="auto"/>
            </w:pPr>
            <w:r>
              <w:rPr>
                <w:b w:val="0"/>
                <w:i w:val="0"/>
                <w:sz w:val="17"/>
              </w:rPr>
              <w:t>Load definition and restraint</w:t>
            </w:r>
          </w:p>
        </w:tc>
        <w:tc>
          <w:tcPr>
            <w:tcW w:type="dxa" w:w="6621"/>
            <w:vAlign w:val="top"/>
          </w:tcPr>
          <w:p>
            <w:pPr>
              <w:spacing w:after="40" w:before="40" w:line="240" w:lineRule="auto"/>
            </w:pPr>
            <w:r>
              <w:rPr>
                <w:b w:val="0"/>
                <w:i w:val="0"/>
                <w:sz w:val="17"/>
              </w:rPr>
              <w:t>Verify seismic mass, wind zones/signs, lateral directions, effective lengths and actual restraint details.</w:t>
            </w:r>
          </w:p>
        </w:tc>
      </w:tr>
    </w:tbl>
    <w:p>
      <w:pPr>
        <w:spacing w:after="40"/>
      </w:pPr>
      <w:r>
        <w:rPr>
          <w:b w:val="0"/>
          <w:i w:val="0"/>
          <w:sz w:val="2"/>
        </w:rPr>
      </w:r>
    </w:p>
    <w:p>
      <w:r>
        <w:rPr>
          <w:b w:val="0"/>
          <w:i w:val="0"/>
          <w:sz w:val="15"/>
        </w:rPr>
        <w:t>Source basis: [S2] primary-case output, printed warnings and load commands; [S1] pp.57–59; combination treatment [R3].</w:t>
      </w:r>
    </w:p>
    <w:p>
      <w:r>
        <w:br w:type="page"/>
      </w:r>
    </w:p>
    <w:p>
      <w:r>
        <w:rPr>
          <w:b w:val="0"/>
          <w:i w:val="0"/>
          <w:color w:val="087E8B"/>
          <w:sz w:val="18"/>
        </w:rPr>
        <w:t>WEEK 3 • DIMENSIONS OF STRUCTURAL MEMBERS</w:t>
      </w:r>
    </w:p>
    <w:p>
      <w:pPr>
        <w:pStyle w:val="Heading1"/>
      </w:pPr>
      <w:r>
        <w:rPr>
          <w:b w:val="0"/>
          <w:i w:val="0"/>
        </w:rPr>
        <w:t>Proportioning and member-size schedule</w:t>
      </w:r>
    </w:p>
    <w:p>
      <w:r>
        <w:rPr>
          <w:b w:val="0"/>
          <w:i w:val="0"/>
          <w:sz w:val="20"/>
        </w:rPr>
        <w:t>Proportioning starts from the force path, frame geometry and restraint conditions. Deeper sections are placed where bending demand is high; flange area resists bending/axial action, while the web transfers shear and stabilizes the flanges. Economy depends on plate thickness, fabrication repetition, transport limits, local buckling and serviceability, not only on section area.</w:t>
      </w:r>
    </w:p>
    <w:tbl>
      <w:tblPr>
        <w:tblW w:type="auto" w:w="0"/>
        <w:jc w:val="center"/>
        <w:tblLayout w:type="fixed"/>
        <w:tblLook w:firstColumn="1" w:firstRow="1" w:lastColumn="0" w:lastRow="0" w:noHBand="0" w:noVBand="1" w:val="04A0"/>
      </w:tblPr>
      <w:tblGrid>
        <w:gridCol w:w="4278"/>
        <w:gridCol w:w="2445"/>
        <w:gridCol w:w="2343"/>
        <w:gridCol w:w="1120"/>
      </w:tblGrid>
      <w:tr>
        <w:trPr>
          <w:cantSplit/>
        </w:trPr>
        <w:tc>
          <w:tcPr>
            <w:tcW w:type="dxa" w:w="4278"/>
            <w:shd w:fill="183247"/>
          </w:tcPr>
          <w:p>
            <w:pPr>
              <w:spacing w:after="40" w:before="40"/>
            </w:pPr>
            <w:r>
              <w:rPr>
                <w:b/>
                <w:i w:val="0"/>
                <w:color w:val="FFFFFF"/>
                <w:sz w:val="17"/>
              </w:rPr>
              <w:t>Member family / examples</w:t>
            </w:r>
          </w:p>
        </w:tc>
        <w:tc>
          <w:tcPr>
            <w:tcW w:type="dxa" w:w="2445"/>
            <w:shd w:fill="183247"/>
          </w:tcPr>
          <w:p>
            <w:pPr>
              <w:spacing w:after="40" w:before="40"/>
            </w:pPr>
            <w:r>
              <w:rPr>
                <w:b/>
                <w:i w:val="0"/>
                <w:color w:val="FFFFFF"/>
                <w:sz w:val="17"/>
              </w:rPr>
              <w:t>Depth D, start → end (mm)</w:t>
            </w:r>
          </w:p>
        </w:tc>
        <w:tc>
          <w:tcPr>
            <w:tcW w:type="dxa" w:w="2343"/>
            <w:shd w:fill="183247"/>
          </w:tcPr>
          <w:p>
            <w:pPr>
              <w:spacing w:after="40" w:before="40"/>
            </w:pPr>
            <w:r>
              <w:rPr>
                <w:b/>
                <w:i w:val="0"/>
                <w:color w:val="FFFFFF"/>
                <w:sz w:val="17"/>
              </w:rPr>
              <w:t>Flanges b × t (mm)</w:t>
            </w:r>
          </w:p>
        </w:tc>
        <w:tc>
          <w:tcPr>
            <w:tcW w:type="dxa" w:w="1120"/>
            <w:shd w:fill="183247"/>
          </w:tcPr>
          <w:p>
            <w:pPr>
              <w:spacing w:after="40" w:before="40"/>
            </w:pPr>
            <w:r>
              <w:rPr>
                <w:b/>
                <w:i w:val="0"/>
                <w:color w:val="FFFFFF"/>
                <w:sz w:val="17"/>
              </w:rPr>
              <w:t>Web (mm)</w:t>
            </w:r>
          </w:p>
        </w:tc>
      </w:tr>
      <w:tr>
        <w:trPr>
          <w:cantSplit/>
        </w:trPr>
        <w:tc>
          <w:tcPr>
            <w:tcW w:type="dxa" w:w="4278"/>
            <w:shd w:fill="eef4f6"/>
            <w:vAlign w:val="top"/>
          </w:tcPr>
          <w:p>
            <w:pPr>
              <w:spacing w:after="40" w:before="40" w:line="240" w:lineRule="auto"/>
            </w:pPr>
            <w:r>
              <w:rPr>
                <w:b w:val="0"/>
                <w:i w:val="0"/>
                <w:sz w:val="17"/>
              </w:rPr>
              <w:t>Exterior column, base segment 1/21/etc.</w:t>
            </w:r>
          </w:p>
        </w:tc>
        <w:tc>
          <w:tcPr>
            <w:tcW w:type="dxa" w:w="2445"/>
            <w:shd w:fill="eef4f6"/>
            <w:vAlign w:val="top"/>
          </w:tcPr>
          <w:p>
            <w:pPr>
              <w:spacing w:after="40" w:before="40" w:line="240" w:lineRule="auto"/>
            </w:pPr>
            <w:r>
              <w:rPr>
                <w:b w:val="0"/>
                <w:i w:val="0"/>
                <w:sz w:val="17"/>
              </w:rPr>
              <w:t>524 → 659</w:t>
            </w:r>
          </w:p>
        </w:tc>
        <w:tc>
          <w:tcPr>
            <w:tcW w:type="dxa" w:w="2343"/>
            <w:shd w:fill="eef4f6"/>
            <w:vAlign w:val="top"/>
          </w:tcPr>
          <w:p>
            <w:pPr>
              <w:spacing w:after="40" w:before="40" w:line="240" w:lineRule="auto"/>
            </w:pPr>
            <w:r>
              <w:rPr>
                <w:b w:val="0"/>
                <w:i w:val="0"/>
                <w:sz w:val="17"/>
              </w:rPr>
              <w:t>250 × 12</w:t>
            </w:r>
          </w:p>
        </w:tc>
        <w:tc>
          <w:tcPr>
            <w:tcW w:type="dxa" w:w="1120"/>
            <w:shd w:fill="eef4f6"/>
            <w:vAlign w:val="top"/>
          </w:tcPr>
          <w:p>
            <w:pPr>
              <w:spacing w:after="40" w:before="40" w:line="240" w:lineRule="auto"/>
            </w:pPr>
            <w:r>
              <w:rPr>
                <w:b w:val="0"/>
                <w:i w:val="0"/>
                <w:sz w:val="17"/>
              </w:rPr>
              <w:t>6</w:t>
            </w:r>
          </w:p>
        </w:tc>
      </w:tr>
      <w:tr>
        <w:trPr>
          <w:cantSplit/>
        </w:trPr>
        <w:tc>
          <w:tcPr>
            <w:tcW w:type="dxa" w:w="4278"/>
            <w:vAlign w:val="top"/>
          </w:tcPr>
          <w:p>
            <w:pPr>
              <w:spacing w:after="40" w:before="40" w:line="240" w:lineRule="auto"/>
            </w:pPr>
            <w:r>
              <w:rPr>
                <w:b w:val="0"/>
                <w:i w:val="0"/>
                <w:sz w:val="17"/>
              </w:rPr>
              <w:t>Exterior column, middle 162/169/etc.</w:t>
            </w:r>
          </w:p>
        </w:tc>
        <w:tc>
          <w:tcPr>
            <w:tcW w:type="dxa" w:w="2445"/>
            <w:vAlign w:val="top"/>
          </w:tcPr>
          <w:p>
            <w:pPr>
              <w:spacing w:after="40" w:before="40" w:line="240" w:lineRule="auto"/>
            </w:pPr>
            <w:r>
              <w:rPr>
                <w:b w:val="0"/>
                <w:i w:val="0"/>
                <w:sz w:val="17"/>
              </w:rPr>
              <w:t>659 → 794</w:t>
            </w:r>
          </w:p>
        </w:tc>
        <w:tc>
          <w:tcPr>
            <w:tcW w:type="dxa" w:w="2343"/>
            <w:vAlign w:val="top"/>
          </w:tcPr>
          <w:p>
            <w:pPr>
              <w:spacing w:after="40" w:before="40" w:line="240" w:lineRule="auto"/>
            </w:pPr>
            <w:r>
              <w:rPr>
                <w:b w:val="0"/>
                <w:i w:val="0"/>
                <w:sz w:val="17"/>
              </w:rPr>
              <w:t>250 × 12</w:t>
            </w:r>
          </w:p>
        </w:tc>
        <w:tc>
          <w:tcPr>
            <w:tcW w:type="dxa" w:w="1120"/>
            <w:vAlign w:val="top"/>
          </w:tcPr>
          <w:p>
            <w:pPr>
              <w:spacing w:after="40" w:before="40" w:line="240" w:lineRule="auto"/>
            </w:pPr>
            <w:r>
              <w:rPr>
                <w:b w:val="0"/>
                <w:i w:val="0"/>
                <w:sz w:val="17"/>
              </w:rPr>
              <w:t>6</w:t>
            </w:r>
          </w:p>
        </w:tc>
      </w:tr>
      <w:tr>
        <w:trPr>
          <w:cantSplit/>
        </w:trPr>
        <w:tc>
          <w:tcPr>
            <w:tcW w:type="dxa" w:w="4278"/>
            <w:shd w:fill="eef4f6"/>
            <w:vAlign w:val="top"/>
          </w:tcPr>
          <w:p>
            <w:pPr>
              <w:spacing w:after="40" w:before="40" w:line="240" w:lineRule="auto"/>
            </w:pPr>
            <w:r>
              <w:rPr>
                <w:b w:val="0"/>
                <w:i w:val="0"/>
                <w:sz w:val="17"/>
              </w:rPr>
              <w:t>Exterior column, upper 192–211</w:t>
            </w:r>
          </w:p>
        </w:tc>
        <w:tc>
          <w:tcPr>
            <w:tcW w:type="dxa" w:w="2445"/>
            <w:shd w:fill="eef4f6"/>
            <w:vAlign w:val="top"/>
          </w:tcPr>
          <w:p>
            <w:pPr>
              <w:spacing w:after="40" w:before="40" w:line="240" w:lineRule="auto"/>
            </w:pPr>
            <w:r>
              <w:rPr>
                <w:b w:val="0"/>
                <w:i w:val="0"/>
                <w:sz w:val="17"/>
              </w:rPr>
              <w:t>794 → 974</w:t>
            </w:r>
          </w:p>
        </w:tc>
        <w:tc>
          <w:tcPr>
            <w:tcW w:type="dxa" w:w="2343"/>
            <w:shd w:fill="eef4f6"/>
            <w:vAlign w:val="top"/>
          </w:tcPr>
          <w:p>
            <w:pPr>
              <w:spacing w:after="40" w:before="40" w:line="240" w:lineRule="auto"/>
            </w:pPr>
            <w:r>
              <w:rPr>
                <w:b w:val="0"/>
                <w:i w:val="0"/>
                <w:sz w:val="17"/>
              </w:rPr>
              <w:t>250 × 12</w:t>
            </w:r>
          </w:p>
        </w:tc>
        <w:tc>
          <w:tcPr>
            <w:tcW w:type="dxa" w:w="1120"/>
            <w:shd w:fill="eef4f6"/>
            <w:vAlign w:val="top"/>
          </w:tcPr>
          <w:p>
            <w:pPr>
              <w:spacing w:after="40" w:before="40" w:line="240" w:lineRule="auto"/>
            </w:pPr>
            <w:r>
              <w:rPr>
                <w:b w:val="0"/>
                <w:i w:val="0"/>
                <w:sz w:val="17"/>
              </w:rPr>
              <w:t>6</w:t>
            </w:r>
          </w:p>
        </w:tc>
      </w:tr>
      <w:tr>
        <w:trPr>
          <w:cantSplit/>
        </w:trPr>
        <w:tc>
          <w:tcPr>
            <w:tcW w:type="dxa" w:w="4278"/>
            <w:vAlign w:val="top"/>
          </w:tcPr>
          <w:p>
            <w:pPr>
              <w:spacing w:after="40" w:before="40" w:line="240" w:lineRule="auto"/>
            </w:pPr>
            <w:r>
              <w:rPr>
                <w:b w:val="0"/>
                <w:i w:val="0"/>
                <w:sz w:val="17"/>
              </w:rPr>
              <w:t>Ridge columns 154–161</w:t>
            </w:r>
          </w:p>
        </w:tc>
        <w:tc>
          <w:tcPr>
            <w:tcW w:type="dxa" w:w="2445"/>
            <w:vAlign w:val="top"/>
          </w:tcPr>
          <w:p>
            <w:pPr>
              <w:spacing w:after="40" w:before="40" w:line="240" w:lineRule="auto"/>
            </w:pPr>
            <w:r>
              <w:rPr>
                <w:b w:val="0"/>
                <w:i w:val="0"/>
                <w:sz w:val="17"/>
              </w:rPr>
              <w:t>500 → 1,150</w:t>
            </w:r>
          </w:p>
        </w:tc>
        <w:tc>
          <w:tcPr>
            <w:tcW w:type="dxa" w:w="2343"/>
            <w:vAlign w:val="top"/>
          </w:tcPr>
          <w:p>
            <w:pPr>
              <w:spacing w:after="40" w:before="40" w:line="240" w:lineRule="auto"/>
            </w:pPr>
            <w:r>
              <w:rPr>
                <w:b w:val="0"/>
                <w:i w:val="0"/>
                <w:sz w:val="17"/>
              </w:rPr>
              <w:t>350 × 25</w:t>
            </w:r>
          </w:p>
        </w:tc>
        <w:tc>
          <w:tcPr>
            <w:tcW w:type="dxa" w:w="1120"/>
            <w:vAlign w:val="top"/>
          </w:tcPr>
          <w:p>
            <w:pPr>
              <w:spacing w:after="40" w:before="40" w:line="240" w:lineRule="auto"/>
            </w:pPr>
            <w:r>
              <w:rPr>
                <w:b w:val="0"/>
                <w:i w:val="0"/>
                <w:sz w:val="17"/>
              </w:rPr>
              <w:t>6</w:t>
            </w:r>
          </w:p>
        </w:tc>
      </w:tr>
      <w:tr>
        <w:trPr>
          <w:cantSplit/>
        </w:trPr>
        <w:tc>
          <w:tcPr>
            <w:tcW w:type="dxa" w:w="4278"/>
            <w:shd w:fill="eef4f6"/>
            <w:vAlign w:val="top"/>
          </w:tcPr>
          <w:p>
            <w:pPr>
              <w:spacing w:after="40" w:before="40" w:line="240" w:lineRule="auto"/>
            </w:pPr>
            <w:r>
              <w:rPr>
                <w:b w:val="0"/>
                <w:i w:val="0"/>
                <w:sz w:val="17"/>
              </w:rPr>
              <w:t>Gable posts 5–9, 149–153, 164–168, 187–191</w:t>
            </w:r>
          </w:p>
        </w:tc>
        <w:tc>
          <w:tcPr>
            <w:tcW w:type="dxa" w:w="2445"/>
            <w:shd w:fill="eef4f6"/>
            <w:vAlign w:val="top"/>
          </w:tcPr>
          <w:p>
            <w:pPr>
              <w:spacing w:after="40" w:before="40" w:line="240" w:lineRule="auto"/>
            </w:pPr>
            <w:r>
              <w:rPr>
                <w:b w:val="0"/>
                <w:i w:val="0"/>
                <w:sz w:val="17"/>
              </w:rPr>
              <w:t>420 → 420</w:t>
            </w:r>
          </w:p>
        </w:tc>
        <w:tc>
          <w:tcPr>
            <w:tcW w:type="dxa" w:w="2343"/>
            <w:shd w:fill="eef4f6"/>
            <w:vAlign w:val="top"/>
          </w:tcPr>
          <w:p>
            <w:pPr>
              <w:spacing w:after="40" w:before="40" w:line="240" w:lineRule="auto"/>
            </w:pPr>
            <w:r>
              <w:rPr>
                <w:b w:val="0"/>
                <w:i w:val="0"/>
                <w:sz w:val="17"/>
              </w:rPr>
              <w:t>200 × 10</w:t>
            </w:r>
          </w:p>
        </w:tc>
        <w:tc>
          <w:tcPr>
            <w:tcW w:type="dxa" w:w="1120"/>
            <w:shd w:fill="eef4f6"/>
            <w:vAlign w:val="top"/>
          </w:tcPr>
          <w:p>
            <w:pPr>
              <w:spacing w:after="40" w:before="40" w:line="240" w:lineRule="auto"/>
            </w:pPr>
            <w:r>
              <w:rPr>
                <w:b w:val="0"/>
                <w:i w:val="0"/>
                <w:sz w:val="17"/>
              </w:rPr>
              <w:t>6</w:t>
            </w:r>
          </w:p>
        </w:tc>
      </w:tr>
      <w:tr>
        <w:trPr>
          <w:cantSplit/>
        </w:trPr>
        <w:tc>
          <w:tcPr>
            <w:tcW w:type="dxa" w:w="4278"/>
            <w:vAlign w:val="top"/>
          </w:tcPr>
          <w:p>
            <w:pPr>
              <w:spacing w:after="40" w:before="40" w:line="240" w:lineRule="auto"/>
            </w:pPr>
            <w:r>
              <w:rPr>
                <w:b w:val="0"/>
                <w:i w:val="0"/>
                <w:sz w:val="17"/>
              </w:rPr>
              <w:t>Main eave rafters 23/27/38/42/etc.</w:t>
            </w:r>
          </w:p>
        </w:tc>
        <w:tc>
          <w:tcPr>
            <w:tcW w:type="dxa" w:w="2445"/>
            <w:vAlign w:val="top"/>
          </w:tcPr>
          <w:p>
            <w:pPr>
              <w:spacing w:after="40" w:before="40" w:line="240" w:lineRule="auto"/>
            </w:pPr>
            <w:r>
              <w:rPr>
                <w:b w:val="0"/>
                <w:i w:val="0"/>
                <w:sz w:val="17"/>
              </w:rPr>
              <w:t>924 → 524</w:t>
            </w:r>
          </w:p>
        </w:tc>
        <w:tc>
          <w:tcPr>
            <w:tcW w:type="dxa" w:w="2343"/>
            <w:vAlign w:val="top"/>
          </w:tcPr>
          <w:p>
            <w:pPr>
              <w:spacing w:after="40" w:before="40" w:line="240" w:lineRule="auto"/>
            </w:pPr>
            <w:r>
              <w:rPr>
                <w:b w:val="0"/>
                <w:i w:val="0"/>
                <w:sz w:val="17"/>
              </w:rPr>
              <w:t>275 × 12</w:t>
            </w:r>
          </w:p>
        </w:tc>
        <w:tc>
          <w:tcPr>
            <w:tcW w:type="dxa" w:w="1120"/>
            <w:vAlign w:val="top"/>
          </w:tcPr>
          <w:p>
            <w:pPr>
              <w:spacing w:after="40" w:before="40" w:line="240" w:lineRule="auto"/>
            </w:pPr>
            <w:r>
              <w:rPr>
                <w:b w:val="0"/>
                <w:i w:val="0"/>
                <w:sz w:val="17"/>
              </w:rPr>
              <w:t>6</w:t>
            </w:r>
          </w:p>
        </w:tc>
      </w:tr>
      <w:tr>
        <w:trPr>
          <w:cantSplit/>
        </w:trPr>
        <w:tc>
          <w:tcPr>
            <w:tcW w:type="dxa" w:w="4278"/>
            <w:shd w:fill="eef4f6"/>
            <w:vAlign w:val="top"/>
          </w:tcPr>
          <w:p>
            <w:pPr>
              <w:spacing w:after="40" w:before="40" w:line="240" w:lineRule="auto"/>
            </w:pPr>
            <w:r>
              <w:rPr>
                <w:b w:val="0"/>
                <w:i w:val="0"/>
                <w:sz w:val="17"/>
              </w:rPr>
              <w:t>Main constant-depth rafters 26/28/etc.; 299–314</w:t>
            </w:r>
          </w:p>
        </w:tc>
        <w:tc>
          <w:tcPr>
            <w:tcW w:type="dxa" w:w="2445"/>
            <w:shd w:fill="eef4f6"/>
            <w:vAlign w:val="top"/>
          </w:tcPr>
          <w:p>
            <w:pPr>
              <w:spacing w:after="40" w:before="40" w:line="240" w:lineRule="auto"/>
            </w:pPr>
            <w:r>
              <w:rPr>
                <w:b w:val="0"/>
                <w:i w:val="0"/>
                <w:sz w:val="17"/>
              </w:rPr>
              <w:t>524 → 524</w:t>
            </w:r>
          </w:p>
        </w:tc>
        <w:tc>
          <w:tcPr>
            <w:tcW w:type="dxa" w:w="2343"/>
            <w:shd w:fill="eef4f6"/>
            <w:vAlign w:val="top"/>
          </w:tcPr>
          <w:p>
            <w:pPr>
              <w:spacing w:after="40" w:before="40" w:line="240" w:lineRule="auto"/>
            </w:pPr>
            <w:r>
              <w:rPr>
                <w:b w:val="0"/>
                <w:i w:val="0"/>
                <w:sz w:val="17"/>
              </w:rPr>
              <w:t>275 × 12</w:t>
            </w:r>
          </w:p>
        </w:tc>
        <w:tc>
          <w:tcPr>
            <w:tcW w:type="dxa" w:w="1120"/>
            <w:shd w:fill="eef4f6"/>
            <w:vAlign w:val="top"/>
          </w:tcPr>
          <w:p>
            <w:pPr>
              <w:spacing w:after="40" w:before="40" w:line="240" w:lineRule="auto"/>
            </w:pPr>
            <w:r>
              <w:rPr>
                <w:b w:val="0"/>
                <w:i w:val="0"/>
                <w:sz w:val="17"/>
              </w:rPr>
              <w:t>5</w:t>
            </w:r>
          </w:p>
        </w:tc>
      </w:tr>
      <w:tr>
        <w:trPr>
          <w:cantSplit/>
        </w:trPr>
        <w:tc>
          <w:tcPr>
            <w:tcW w:type="dxa" w:w="4278"/>
            <w:vAlign w:val="top"/>
          </w:tcPr>
          <w:p>
            <w:pPr>
              <w:spacing w:after="40" w:before="40" w:line="240" w:lineRule="auto"/>
            </w:pPr>
            <w:r>
              <w:rPr>
                <w:b w:val="0"/>
                <w:i w:val="0"/>
                <w:sz w:val="17"/>
              </w:rPr>
              <w:t>Main ridge-side rafters 24/25/39/40/etc.</w:t>
            </w:r>
          </w:p>
        </w:tc>
        <w:tc>
          <w:tcPr>
            <w:tcW w:type="dxa" w:w="2445"/>
            <w:vAlign w:val="top"/>
          </w:tcPr>
          <w:p>
            <w:pPr>
              <w:spacing w:after="40" w:before="40" w:line="240" w:lineRule="auto"/>
            </w:pPr>
            <w:r>
              <w:rPr>
                <w:b w:val="0"/>
                <w:i w:val="0"/>
                <w:sz w:val="17"/>
              </w:rPr>
              <w:t>974 → 524</w:t>
            </w:r>
          </w:p>
        </w:tc>
        <w:tc>
          <w:tcPr>
            <w:tcW w:type="dxa" w:w="2343"/>
            <w:vAlign w:val="top"/>
          </w:tcPr>
          <w:p>
            <w:pPr>
              <w:spacing w:after="40" w:before="40" w:line="240" w:lineRule="auto"/>
            </w:pPr>
            <w:r>
              <w:rPr>
                <w:b w:val="0"/>
                <w:i w:val="0"/>
                <w:sz w:val="17"/>
              </w:rPr>
              <w:t>275 × 12</w:t>
            </w:r>
          </w:p>
        </w:tc>
        <w:tc>
          <w:tcPr>
            <w:tcW w:type="dxa" w:w="1120"/>
            <w:vAlign w:val="top"/>
          </w:tcPr>
          <w:p>
            <w:pPr>
              <w:spacing w:after="40" w:before="40" w:line="240" w:lineRule="auto"/>
            </w:pPr>
            <w:r>
              <w:rPr>
                <w:b w:val="0"/>
                <w:i w:val="0"/>
                <w:sz w:val="17"/>
              </w:rPr>
              <w:t>6</w:t>
            </w:r>
          </w:p>
        </w:tc>
      </w:tr>
      <w:tr>
        <w:trPr>
          <w:cantSplit/>
        </w:trPr>
        <w:tc>
          <w:tcPr>
            <w:tcW w:type="dxa" w:w="4278"/>
            <w:shd w:fill="eef4f6"/>
            <w:vAlign w:val="top"/>
          </w:tcPr>
          <w:p>
            <w:pPr>
              <w:spacing w:after="40" w:before="40" w:line="240" w:lineRule="auto"/>
            </w:pPr>
            <w:r>
              <w:rPr>
                <w:b w:val="0"/>
                <w:i w:val="0"/>
                <w:sz w:val="17"/>
              </w:rPr>
              <w:t>End-frame eave rafters 3/12/143/147</w:t>
            </w:r>
          </w:p>
        </w:tc>
        <w:tc>
          <w:tcPr>
            <w:tcW w:type="dxa" w:w="2445"/>
            <w:shd w:fill="eef4f6"/>
            <w:vAlign w:val="top"/>
          </w:tcPr>
          <w:p>
            <w:pPr>
              <w:spacing w:after="40" w:before="40" w:line="240" w:lineRule="auto"/>
            </w:pPr>
            <w:r>
              <w:rPr>
                <w:b w:val="0"/>
                <w:i w:val="0"/>
                <w:sz w:val="17"/>
              </w:rPr>
              <w:t>524 → 424</w:t>
            </w:r>
          </w:p>
        </w:tc>
        <w:tc>
          <w:tcPr>
            <w:tcW w:type="dxa" w:w="2343"/>
            <w:shd w:fill="eef4f6"/>
            <w:vAlign w:val="top"/>
          </w:tcPr>
          <w:p>
            <w:pPr>
              <w:spacing w:after="40" w:before="40" w:line="240" w:lineRule="auto"/>
            </w:pPr>
            <w:r>
              <w:rPr>
                <w:b w:val="0"/>
                <w:i w:val="0"/>
                <w:sz w:val="17"/>
              </w:rPr>
              <w:t>200 × 12</w:t>
            </w:r>
          </w:p>
        </w:tc>
        <w:tc>
          <w:tcPr>
            <w:tcW w:type="dxa" w:w="1120"/>
            <w:shd w:fill="eef4f6"/>
            <w:vAlign w:val="top"/>
          </w:tcPr>
          <w:p>
            <w:pPr>
              <w:spacing w:after="40" w:before="40" w:line="240" w:lineRule="auto"/>
            </w:pPr>
            <w:r>
              <w:rPr>
                <w:b w:val="0"/>
                <w:i w:val="0"/>
                <w:sz w:val="17"/>
              </w:rPr>
              <w:t>5</w:t>
            </w:r>
          </w:p>
        </w:tc>
      </w:tr>
      <w:tr>
        <w:trPr>
          <w:cantSplit/>
        </w:trPr>
        <w:tc>
          <w:tcPr>
            <w:tcW w:type="dxa" w:w="4278"/>
            <w:vAlign w:val="top"/>
          </w:tcPr>
          <w:p>
            <w:pPr>
              <w:spacing w:after="40" w:before="40" w:line="240" w:lineRule="auto"/>
            </w:pPr>
            <w:r>
              <w:rPr>
                <w:b w:val="0"/>
                <w:i w:val="0"/>
                <w:sz w:val="17"/>
              </w:rPr>
              <w:t>End-frame other rafters 4/10/11/13/144–146/148</w:t>
            </w:r>
          </w:p>
        </w:tc>
        <w:tc>
          <w:tcPr>
            <w:tcW w:type="dxa" w:w="2445"/>
            <w:vAlign w:val="top"/>
          </w:tcPr>
          <w:p>
            <w:pPr>
              <w:spacing w:after="40" w:before="40" w:line="240" w:lineRule="auto"/>
            </w:pPr>
            <w:r>
              <w:rPr>
                <w:b w:val="0"/>
                <w:i w:val="0"/>
                <w:sz w:val="17"/>
              </w:rPr>
              <w:t>424 → 424</w:t>
            </w:r>
          </w:p>
        </w:tc>
        <w:tc>
          <w:tcPr>
            <w:tcW w:type="dxa" w:w="2343"/>
            <w:vAlign w:val="top"/>
          </w:tcPr>
          <w:p>
            <w:pPr>
              <w:spacing w:after="40" w:before="40" w:line="240" w:lineRule="auto"/>
            </w:pPr>
            <w:r>
              <w:rPr>
                <w:b w:val="0"/>
                <w:i w:val="0"/>
                <w:sz w:val="17"/>
              </w:rPr>
              <w:t>200 × 12</w:t>
            </w:r>
          </w:p>
        </w:tc>
        <w:tc>
          <w:tcPr>
            <w:tcW w:type="dxa" w:w="1120"/>
            <w:vAlign w:val="top"/>
          </w:tcPr>
          <w:p>
            <w:pPr>
              <w:spacing w:after="40" w:before="40" w:line="240" w:lineRule="auto"/>
            </w:pPr>
            <w:r>
              <w:rPr>
                <w:b w:val="0"/>
                <w:i w:val="0"/>
                <w:sz w:val="17"/>
              </w:rPr>
              <w:t>5</w:t>
            </w:r>
          </w:p>
        </w:tc>
      </w:tr>
      <w:tr>
        <w:trPr>
          <w:cantSplit/>
        </w:trPr>
        <w:tc>
          <w:tcPr>
            <w:tcW w:type="dxa" w:w="4278"/>
            <w:shd w:fill="eef4f6"/>
            <w:vAlign w:val="top"/>
          </w:tcPr>
          <w:p>
            <w:pPr>
              <w:spacing w:after="40" w:before="40" w:line="240" w:lineRule="auto"/>
            </w:pPr>
            <w:r>
              <w:rPr>
                <w:b w:val="0"/>
                <w:i w:val="0"/>
                <w:sz w:val="17"/>
              </w:rPr>
              <w:t>Canopy beams 290/291/293–296</w:t>
            </w:r>
          </w:p>
        </w:tc>
        <w:tc>
          <w:tcPr>
            <w:tcW w:type="dxa" w:w="2445"/>
            <w:shd w:fill="eef4f6"/>
            <w:vAlign w:val="top"/>
          </w:tcPr>
          <w:p>
            <w:pPr>
              <w:spacing w:after="40" w:before="40" w:line="240" w:lineRule="auto"/>
            </w:pPr>
            <w:r>
              <w:rPr>
                <w:b w:val="0"/>
                <w:i w:val="0"/>
                <w:sz w:val="17"/>
              </w:rPr>
              <w:t>316 → 316</w:t>
            </w:r>
          </w:p>
        </w:tc>
        <w:tc>
          <w:tcPr>
            <w:tcW w:type="dxa" w:w="2343"/>
            <w:shd w:fill="eef4f6"/>
            <w:vAlign w:val="top"/>
          </w:tcPr>
          <w:p>
            <w:pPr>
              <w:spacing w:after="40" w:before="40" w:line="240" w:lineRule="auto"/>
            </w:pPr>
            <w:r>
              <w:rPr>
                <w:b w:val="0"/>
                <w:i w:val="0"/>
                <w:sz w:val="17"/>
              </w:rPr>
              <w:t>150 × 8</w:t>
            </w:r>
          </w:p>
        </w:tc>
        <w:tc>
          <w:tcPr>
            <w:tcW w:type="dxa" w:w="1120"/>
            <w:shd w:fill="eef4f6"/>
            <w:vAlign w:val="top"/>
          </w:tcPr>
          <w:p>
            <w:pPr>
              <w:spacing w:after="40" w:before="40" w:line="240" w:lineRule="auto"/>
            </w:pPr>
            <w:r>
              <w:rPr>
                <w:b w:val="0"/>
                <w:i w:val="0"/>
                <w:sz w:val="17"/>
              </w:rPr>
              <w:t>5</w:t>
            </w:r>
          </w:p>
        </w:tc>
      </w:tr>
      <w:tr>
        <w:trPr>
          <w:cantSplit/>
        </w:trPr>
        <w:tc>
          <w:tcPr>
            <w:tcW w:type="dxa" w:w="4278"/>
            <w:vAlign w:val="top"/>
          </w:tcPr>
          <w:p>
            <w:pPr>
              <w:spacing w:after="40" w:before="40" w:line="240" w:lineRule="auto"/>
            </w:pPr>
            <w:r>
              <w:rPr>
                <w:b w:val="0"/>
                <w:i w:val="0"/>
                <w:sz w:val="17"/>
              </w:rPr>
              <w:t>Longitudinal ties / struts</w:t>
            </w:r>
          </w:p>
        </w:tc>
        <w:tc>
          <w:tcPr>
            <w:tcW w:type="dxa" w:w="2445"/>
            <w:vAlign w:val="top"/>
          </w:tcPr>
          <w:p>
            <w:pPr>
              <w:spacing w:after="40" w:before="40" w:line="240" w:lineRule="auto"/>
            </w:pPr>
            <w:r>
              <w:rPr>
                <w:b w:val="0"/>
                <w:i w:val="0"/>
                <w:sz w:val="17"/>
              </w:rPr>
              <w:t>SHS 150 × 150 × 4</w:t>
            </w:r>
          </w:p>
        </w:tc>
        <w:tc>
          <w:tcPr>
            <w:tcW w:type="dxa" w:w="2343"/>
            <w:vAlign w:val="top"/>
          </w:tcPr>
          <w:p>
            <w:pPr>
              <w:spacing w:after="40" w:before="40" w:line="240" w:lineRule="auto"/>
            </w:pPr>
            <w:r>
              <w:rPr>
                <w:b w:val="0"/>
                <w:i w:val="0"/>
                <w:sz w:val="17"/>
              </w:rPr>
              <w:t>Closed hollow section</w:t>
            </w:r>
          </w:p>
        </w:tc>
        <w:tc>
          <w:tcPr>
            <w:tcW w:type="dxa" w:w="1120"/>
            <w:vAlign w:val="top"/>
          </w:tcPr>
          <w:p>
            <w:pPr>
              <w:spacing w:after="40" w:before="40" w:line="240" w:lineRule="auto"/>
            </w:pPr>
            <w:r>
              <w:rPr>
                <w:b w:val="0"/>
                <w:i w:val="0"/>
                <w:sz w:val="17"/>
              </w:rPr>
              <w:t>4</w:t>
            </w:r>
          </w:p>
        </w:tc>
      </w:tr>
      <w:tr>
        <w:trPr>
          <w:cantSplit/>
        </w:trPr>
        <w:tc>
          <w:tcPr>
            <w:tcW w:type="dxa" w:w="4278"/>
            <w:shd w:fill="eef4f6"/>
            <w:vAlign w:val="top"/>
          </w:tcPr>
          <w:p>
            <w:pPr>
              <w:spacing w:after="40" w:before="40" w:line="240" w:lineRule="auto"/>
            </w:pPr>
            <w:r>
              <w:rPr>
                <w:b w:val="0"/>
                <w:i w:val="0"/>
                <w:sz w:val="17"/>
              </w:rPr>
              <w:t>Braces 230–289</w:t>
            </w:r>
          </w:p>
        </w:tc>
        <w:tc>
          <w:tcPr>
            <w:tcW w:type="dxa" w:w="2445"/>
            <w:shd w:fill="eef4f6"/>
            <w:vAlign w:val="top"/>
          </w:tcPr>
          <w:p>
            <w:pPr>
              <w:spacing w:after="40" w:before="40" w:line="240" w:lineRule="auto"/>
            </w:pPr>
            <w:r>
              <w:rPr>
                <w:b w:val="0"/>
                <w:i w:val="0"/>
                <w:sz w:val="17"/>
              </w:rPr>
              <w:t>Solid circular rod Ø25</w:t>
            </w:r>
          </w:p>
        </w:tc>
        <w:tc>
          <w:tcPr>
            <w:tcW w:type="dxa" w:w="2343"/>
            <w:shd w:fill="eef4f6"/>
            <w:vAlign w:val="top"/>
          </w:tcPr>
          <w:p>
            <w:pPr>
              <w:spacing w:after="40" w:before="40" w:line="240" w:lineRule="auto"/>
            </w:pPr>
            <w:r>
              <w:rPr>
                <w:b w:val="0"/>
                <w:i w:val="0"/>
                <w:sz w:val="17"/>
              </w:rPr>
              <w:t>Tension-only specification</w:t>
            </w:r>
          </w:p>
        </w:tc>
        <w:tc>
          <w:tcPr>
            <w:tcW w:type="dxa" w:w="1120"/>
            <w:shd w:fill="eef4f6"/>
            <w:vAlign w:val="top"/>
          </w:tcPr>
          <w:p>
            <w:pPr>
              <w:spacing w:after="40" w:before="40" w:line="240" w:lineRule="auto"/>
            </w:pPr>
            <w:r>
              <w:rPr>
                <w:b w:val="0"/>
                <w:i w:val="0"/>
                <w:sz w:val="17"/>
              </w:rPr>
              <w:t>—</w:t>
            </w:r>
          </w:p>
        </w:tc>
      </w:tr>
      <w:tr>
        <w:trPr>
          <w:cantSplit/>
        </w:trPr>
        <w:tc>
          <w:tcPr>
            <w:tcW w:type="dxa" w:w="4278"/>
            <w:vAlign w:val="top"/>
          </w:tcPr>
          <w:p>
            <w:pPr>
              <w:spacing w:after="40" w:before="40" w:line="240" w:lineRule="auto"/>
            </w:pPr>
            <w:r>
              <w:rPr>
                <w:b w:val="0"/>
                <w:i w:val="0"/>
                <w:sz w:val="17"/>
              </w:rPr>
              <w:t>Canopy Z members 292/297/298</w:t>
            </w:r>
          </w:p>
        </w:tc>
        <w:tc>
          <w:tcPr>
            <w:tcW w:type="dxa" w:w="2445"/>
            <w:vAlign w:val="top"/>
          </w:tcPr>
          <w:p>
            <w:pPr>
              <w:spacing w:after="40" w:before="40" w:line="240" w:lineRule="auto"/>
            </w:pPr>
            <w:r>
              <w:rPr>
                <w:b w:val="0"/>
                <w:i w:val="0"/>
                <w:sz w:val="17"/>
              </w:rPr>
              <w:t>260ZS75X2 (source designation)</w:t>
            </w:r>
          </w:p>
        </w:tc>
        <w:tc>
          <w:tcPr>
            <w:tcW w:type="dxa" w:w="2343"/>
            <w:vAlign w:val="top"/>
          </w:tcPr>
          <w:p>
            <w:pPr>
              <w:spacing w:after="40" w:before="40" w:line="240" w:lineRule="auto"/>
            </w:pPr>
            <w:r>
              <w:rPr>
                <w:b w:val="0"/>
                <w:i w:val="0"/>
                <w:sz w:val="17"/>
              </w:rPr>
              <w:t>Cold-formed section</w:t>
            </w:r>
          </w:p>
        </w:tc>
        <w:tc>
          <w:tcPr>
            <w:tcW w:type="dxa" w:w="1120"/>
            <w:vAlign w:val="top"/>
          </w:tcPr>
          <w:p>
            <w:pPr>
              <w:spacing w:after="40" w:before="40" w:line="240" w:lineRule="auto"/>
            </w:pPr>
            <w:r>
              <w:rPr>
                <w:b w:val="0"/>
                <w:i w:val="0"/>
                <w:sz w:val="17"/>
              </w:rPr>
              <w:t>2 nominal</w:t>
            </w:r>
          </w:p>
        </w:tc>
      </w:tr>
    </w:tbl>
    <w:p>
      <w:pPr>
        <w:spacing w:after="40"/>
      </w:pPr>
      <w:r>
        <w:rPr>
          <w:b w:val="0"/>
          <w:i w:val="0"/>
          <w:sz w:val="2"/>
        </w:rPr>
      </w:r>
    </w:p>
    <w:p>
      <w:pPr>
        <w:pStyle w:val="Heading2"/>
      </w:pPr>
      <w:r>
        <w:rPr>
          <w:b w:val="0"/>
          <w:i w:val="0"/>
        </w:rPr>
        <w:t>Reading the tapered-section input</w:t>
      </w:r>
    </w:p>
    <w:p>
      <w:r>
        <w:rPr>
          <w:b w:val="0"/>
          <w:i w:val="0"/>
          <w:sz w:val="20"/>
        </w:rPr>
        <w:t>The seven TAPERED values are Dstart, tw, Dend, btop, ttop, bbottom and tbottom [R4]. D is the overall section depth; clear web depth is D − ttop − tbottom. Equal flanges are assigned in the listed families. Start/end follow the member incidence order, so the schedule must not be reversed during fabrication interpretation.</w:t>
      </w:r>
    </w:p>
    <w:p>
      <w:pPr>
        <w:ind w:left="120" w:right="120"/>
        <w:shd w:fill="EEF4F6"/>
      </w:pPr>
      <w:r>
        <w:rPr>
          <w:b w:val="0"/>
          <w:i w:val="0"/>
          <w:sz w:val="19"/>
        </w:rPr>
        <w:t>For a symmetric I section: A = 2btf + (D − 2tf)tw.</w:t>
        <w:br/>
        <w:t>For D = 524, b = 275, tf = 12, tw = 5 mm: A = 9,100 mm² = 91.0 cm².</w:t>
      </w:r>
    </w:p>
    <w:p>
      <w:pPr>
        <w:ind w:left="120" w:right="120"/>
        <w:shd w:fill="FAF1E9"/>
      </w:pPr>
      <w:r>
        <w:rPr>
          <w:b w:val="0"/>
          <w:i w:val="0"/>
          <w:sz w:val="18"/>
        </w:rPr>
        <w:t>This is a schedule of analytical section assignments, not an approved fabrication bill. Original PDF elevation notes and the ANL are not assumed to be the same revision. Main-roof purlins are represented through applied loads; their sizes and checks need the separate secondary-member design described on p.14.</w:t>
      </w:r>
    </w:p>
    <w:p>
      <w:r>
        <w:rPr>
          <w:b w:val="0"/>
          <w:i w:val="0"/>
          <w:sz w:val="15"/>
        </w:rPr>
        <w:t>Source basis: [S2] commands 105–128; parameter interpretation [R4].</w:t>
      </w:r>
    </w:p>
    <w:p>
      <w:r>
        <w:br w:type="page"/>
      </w:r>
    </w:p>
    <w:p>
      <w:r>
        <w:rPr>
          <w:b w:val="0"/>
          <w:i w:val="0"/>
          <w:color w:val="087E8B"/>
          <w:sz w:val="18"/>
        </w:rPr>
        <w:t>WEEK 3 • COMPRESSION AND COMBINED ACTION</w:t>
      </w:r>
    </w:p>
    <w:p>
      <w:pPr>
        <w:pStyle w:val="Heading1"/>
      </w:pPr>
      <w:r>
        <w:rPr>
          <w:b w:val="0"/>
          <w:i w:val="0"/>
        </w:rPr>
        <w:t>Design of columns and gable posts</w:t>
      </w:r>
    </w:p>
    <w:p>
      <w:pPr>
        <w:pStyle w:val="Heading2"/>
      </w:pPr>
      <w:r>
        <w:rPr>
          <w:b w:val="0"/>
          <w:i w:val="0"/>
        </w:rPr>
        <w:t>Column design procedure</w:t>
      </w:r>
    </w:p>
    <w:p>
      <w:r>
        <w:rPr>
          <w:b w:val="0"/>
          <w:i w:val="0"/>
          <w:sz w:val="20"/>
        </w:rPr>
        <w:t>For each column, identify the effective length and restraint about both axes; classify flange and web plates; determine compression resistance; check tension reversal where applicable; evaluate bending, shear and axial–moment interaction; and check deflection and connection demands. A low axial-force ratio alone does not establish adequacy under frame bending.</w:t>
      </w:r>
    </w:p>
    <w:p>
      <w:pPr>
        <w:ind w:left="120" w:right="120"/>
        <w:shd w:fill="EEF4F6"/>
      </w:pPr>
      <w:r>
        <w:rPr>
          <w:b w:val="0"/>
          <w:i w:val="0"/>
          <w:sz w:val="19"/>
        </w:rPr>
        <w:t>Compression design framework: Pd = Ae fcd.</w:t>
        <w:br/>
        <w:t>Elastic reference stress: fcc = π²E / (KL/r)².</w:t>
        <w:br/>
        <w:t>For a prismatic compression member: λ̄ = √(fy/fcc);</w:t>
        <w:br/>
        <w:t>φ = 0.5[1 + α(λ̄ − 0.2) + λ̄²]; χ = 1/[φ + √(φ² − λ̄²)] ≤ 1;</w:t>
        <w:br/>
        <w:t>fcd = χfy/γm0. Select the code buckling curve and applicable section area.</w:t>
      </w:r>
    </w:p>
    <w:p>
      <w:r>
        <w:rPr>
          <w:b w:val="0"/>
          <w:i w:val="0"/>
          <w:sz w:val="20"/>
        </w:rPr>
        <w:t>These equations explain the role of slenderness and imperfections; a tapered column requires the applicable tapered-member treatment and appropriate effective properties. E = 205,000 MPa is used in the supplied model. End restraints and intermediate restraints must be supported by actual details.</w:t>
      </w:r>
    </w:p>
    <w:p>
      <w:pPr>
        <w:pStyle w:val="Heading2"/>
      </w:pPr>
      <w:r>
        <w:rPr>
          <w:b w:val="0"/>
          <w:i w:val="0"/>
        </w:rPr>
        <w:t>Worked interpretation — ridge column 154</w:t>
      </w:r>
    </w:p>
    <w:tbl>
      <w:tblPr>
        <w:tblW w:type="auto" w:w="0"/>
        <w:jc w:val="center"/>
        <w:tblLayout w:type="fixed"/>
        <w:tblLook w:firstColumn="1" w:firstRow="1" w:lastColumn="0" w:lastRow="0" w:noHBand="0" w:noVBand="1" w:val="04A0"/>
      </w:tblPr>
      <w:tblGrid>
        <w:gridCol w:w="3565"/>
        <w:gridCol w:w="6621"/>
      </w:tblGrid>
      <w:tr>
        <w:trPr>
          <w:cantSplit/>
        </w:trPr>
        <w:tc>
          <w:tcPr>
            <w:tcW w:type="dxa" w:w="3565"/>
            <w:shd w:fill="183247"/>
          </w:tcPr>
          <w:p>
            <w:pPr>
              <w:spacing w:after="40" w:before="40"/>
            </w:pPr>
            <w:r>
              <w:rPr>
                <w:b/>
                <w:i w:val="0"/>
                <w:color w:val="FFFFFF"/>
                <w:sz w:val="17"/>
              </w:rPr>
              <w:t>Parameter / result</w:t>
            </w:r>
          </w:p>
        </w:tc>
        <w:tc>
          <w:tcPr>
            <w:tcW w:type="dxa" w:w="6621"/>
            <w:shd w:fill="183247"/>
          </w:tcPr>
          <w:p>
            <w:pPr>
              <w:spacing w:after="40" w:before="40"/>
            </w:pPr>
            <w:r>
              <w:rPr>
                <w:b/>
                <w:i w:val="0"/>
                <w:color w:val="FFFFFF"/>
                <w:sz w:val="17"/>
              </w:rPr>
              <w:t>Value from the supplied check</w:t>
            </w:r>
          </w:p>
        </w:tc>
      </w:tr>
      <w:tr>
        <w:trPr>
          <w:cantSplit/>
        </w:trPr>
        <w:tc>
          <w:tcPr>
            <w:tcW w:type="dxa" w:w="3565"/>
            <w:shd w:fill="eef4f6"/>
            <w:vAlign w:val="top"/>
          </w:tcPr>
          <w:p>
            <w:pPr>
              <w:spacing w:after="40" w:before="40" w:line="240" w:lineRule="auto"/>
            </w:pPr>
            <w:r>
              <w:rPr>
                <w:b w:val="0"/>
                <w:i w:val="0"/>
                <w:sz w:val="17"/>
              </w:rPr>
              <w:t>Geometry</w:t>
            </w:r>
          </w:p>
        </w:tc>
        <w:tc>
          <w:tcPr>
            <w:tcW w:type="dxa" w:w="6621"/>
            <w:shd w:fill="eef4f6"/>
            <w:vAlign w:val="top"/>
          </w:tcPr>
          <w:p>
            <w:pPr>
              <w:spacing w:after="40" w:before="40" w:line="240" w:lineRule="auto"/>
            </w:pPr>
            <w:r>
              <w:rPr>
                <w:b w:val="0"/>
                <w:i w:val="0"/>
                <w:sz w:val="17"/>
              </w:rPr>
              <w:t>11.5 m long; D = 500 → 1,150 mm; flanges 350 × 25 mm; web 6 mm</w:t>
            </w:r>
          </w:p>
        </w:tc>
      </w:tr>
      <w:tr>
        <w:trPr>
          <w:cantSplit/>
        </w:trPr>
        <w:tc>
          <w:tcPr>
            <w:tcW w:type="dxa" w:w="3565"/>
            <w:vAlign w:val="top"/>
          </w:tcPr>
          <w:p>
            <w:pPr>
              <w:spacing w:after="40" w:before="40" w:line="240" w:lineRule="auto"/>
            </w:pPr>
            <w:r>
              <w:rPr>
                <w:b w:val="0"/>
                <w:i w:val="0"/>
                <w:sz w:val="17"/>
              </w:rPr>
              <w:t>Critical section area</w:t>
            </w:r>
          </w:p>
        </w:tc>
        <w:tc>
          <w:tcPr>
            <w:tcW w:type="dxa" w:w="6621"/>
            <w:vAlign w:val="top"/>
          </w:tcPr>
          <w:p>
            <w:pPr>
              <w:spacing w:after="40" w:before="40" w:line="240" w:lineRule="auto"/>
            </w:pPr>
            <w:r>
              <w:rPr>
                <w:b w:val="0"/>
                <w:i w:val="0"/>
                <w:sz w:val="17"/>
              </w:rPr>
              <w:t>At top: A = 2(350)(25) + (1,150 − 50)(6) = 24,100 mm²</w:t>
            </w:r>
          </w:p>
        </w:tc>
      </w:tr>
      <w:tr>
        <w:trPr>
          <w:cantSplit/>
        </w:trPr>
        <w:tc>
          <w:tcPr>
            <w:tcW w:type="dxa" w:w="3565"/>
            <w:shd w:fill="eef4f6"/>
            <w:vAlign w:val="top"/>
          </w:tcPr>
          <w:p>
            <w:pPr>
              <w:spacing w:after="40" w:before="40" w:line="240" w:lineRule="auto"/>
            </w:pPr>
            <w:r>
              <w:rPr>
                <w:b w:val="0"/>
                <w:i w:val="0"/>
                <w:sz w:val="17"/>
              </w:rPr>
              <w:t>Local slenderness indicators</w:t>
            </w:r>
          </w:p>
        </w:tc>
        <w:tc>
          <w:tcPr>
            <w:tcW w:type="dxa" w:w="6621"/>
            <w:shd w:fill="eef4f6"/>
            <w:vAlign w:val="top"/>
          </w:tcPr>
          <w:p>
            <w:pPr>
              <w:spacing w:after="40" w:before="40" w:line="240" w:lineRule="auto"/>
            </w:pPr>
            <w:r>
              <w:rPr>
                <w:b w:val="0"/>
                <w:i w:val="0"/>
                <w:sz w:val="17"/>
              </w:rPr>
              <w:t>Top clear web ratio = 1,100/6 = 183.3; flange outstand ratio = (350 − 6)/(2 × 25) = 6.88</w:t>
            </w:r>
          </w:p>
        </w:tc>
      </w:tr>
      <w:tr>
        <w:trPr>
          <w:cantSplit/>
        </w:trPr>
        <w:tc>
          <w:tcPr>
            <w:tcW w:type="dxa" w:w="3565"/>
            <w:vAlign w:val="top"/>
          </w:tcPr>
          <w:p>
            <w:pPr>
              <w:spacing w:after="40" w:before="40" w:line="240" w:lineRule="auto"/>
            </w:pPr>
            <w:r>
              <w:rPr>
                <w:b w:val="0"/>
                <w:i w:val="0"/>
                <w:sz w:val="17"/>
              </w:rPr>
              <w:t>Program classification</w:t>
            </w:r>
          </w:p>
        </w:tc>
        <w:tc>
          <w:tcPr>
            <w:tcW w:type="dxa" w:w="6621"/>
            <w:vAlign w:val="top"/>
          </w:tcPr>
          <w:p>
            <w:pPr>
              <w:spacing w:after="40" w:before="40" w:line="240" w:lineRule="auto"/>
            </w:pPr>
            <w:r>
              <w:rPr>
                <w:b w:val="0"/>
                <w:i w:val="0"/>
                <w:sz w:val="17"/>
              </w:rPr>
              <w:t>Slender web; plastic flange; overall section class slender</w:t>
            </w:r>
          </w:p>
        </w:tc>
      </w:tr>
      <w:tr>
        <w:trPr>
          <w:cantSplit/>
        </w:trPr>
        <w:tc>
          <w:tcPr>
            <w:tcW w:type="dxa" w:w="3565"/>
            <w:shd w:fill="eef4f6"/>
            <w:vAlign w:val="top"/>
          </w:tcPr>
          <w:p>
            <w:pPr>
              <w:spacing w:after="40" w:before="40" w:line="240" w:lineRule="auto"/>
            </w:pPr>
            <w:r>
              <w:rPr>
                <w:b w:val="0"/>
                <w:i w:val="0"/>
                <w:sz w:val="17"/>
              </w:rPr>
              <w:t>Effective-length inputs</w:t>
            </w:r>
          </w:p>
        </w:tc>
        <w:tc>
          <w:tcPr>
            <w:tcW w:type="dxa" w:w="6621"/>
            <w:shd w:fill="eef4f6"/>
            <w:vAlign w:val="top"/>
          </w:tcPr>
          <w:p>
            <w:pPr>
              <w:spacing w:after="40" w:before="40" w:line="240" w:lineRule="auto"/>
            </w:pPr>
            <w:r>
              <w:rPr>
                <w:b w:val="0"/>
                <w:i w:val="0"/>
                <w:sz w:val="17"/>
              </w:rPr>
              <w:t>LZ = LY = 11.5 m; KZ = 2.0; KY = 1.0; reported slenderness 122.28</w:t>
            </w:r>
          </w:p>
        </w:tc>
      </w:tr>
      <w:tr>
        <w:trPr>
          <w:cantSplit/>
        </w:trPr>
        <w:tc>
          <w:tcPr>
            <w:tcW w:type="dxa" w:w="3565"/>
            <w:vAlign w:val="top"/>
          </w:tcPr>
          <w:p>
            <w:pPr>
              <w:spacing w:after="40" w:before="40" w:line="240" w:lineRule="auto"/>
            </w:pPr>
            <w:r>
              <w:rPr>
                <w:b w:val="0"/>
                <w:i w:val="0"/>
                <w:sz w:val="17"/>
              </w:rPr>
              <w:t>Compression envelope</w:t>
            </w:r>
          </w:p>
        </w:tc>
        <w:tc>
          <w:tcPr>
            <w:tcW w:type="dxa" w:w="6621"/>
            <w:vAlign w:val="top"/>
          </w:tcPr>
          <w:p>
            <w:pPr>
              <w:spacing w:after="40" w:before="40" w:line="240" w:lineRule="auto"/>
            </w:pPr>
            <w:r>
              <w:rPr>
                <w:b w:val="0"/>
                <w:i w:val="0"/>
                <w:sz w:val="17"/>
              </w:rPr>
              <w:t>317.396 kN in LC101; printed minor-axis compression resistance 1,806 kN</w:t>
            </w:r>
          </w:p>
        </w:tc>
      </w:tr>
      <w:tr>
        <w:trPr>
          <w:cantSplit/>
        </w:trPr>
        <w:tc>
          <w:tcPr>
            <w:tcW w:type="dxa" w:w="3565"/>
            <w:shd w:fill="eef4f6"/>
            <w:vAlign w:val="top"/>
          </w:tcPr>
          <w:p>
            <w:pPr>
              <w:spacing w:after="40" w:before="40" w:line="240" w:lineRule="auto"/>
            </w:pPr>
            <w:r>
              <w:rPr>
                <w:b w:val="0"/>
                <w:i w:val="0"/>
                <w:sz w:val="17"/>
              </w:rPr>
              <w:t>Critical bending</w:t>
            </w:r>
          </w:p>
        </w:tc>
        <w:tc>
          <w:tcPr>
            <w:tcW w:type="dxa" w:w="6621"/>
            <w:shd w:fill="eef4f6"/>
            <w:vAlign w:val="top"/>
          </w:tcPr>
          <w:p>
            <w:pPr>
              <w:spacing w:after="40" w:before="40" w:line="240" w:lineRule="auto"/>
            </w:pPr>
            <w:r>
              <w:rPr>
                <w:b w:val="0"/>
                <w:i w:val="0"/>
                <w:sz w:val="17"/>
              </w:rPr>
              <w:t>|MZ| ≈ 1,101 kN·m in LC118; printed resistance ≈ 1,093 kN·m</w:t>
            </w:r>
          </w:p>
        </w:tc>
      </w:tr>
      <w:tr>
        <w:trPr>
          <w:cantSplit/>
        </w:trPr>
        <w:tc>
          <w:tcPr>
            <w:tcW w:type="dxa" w:w="3565"/>
            <w:vAlign w:val="top"/>
          </w:tcPr>
          <w:p>
            <w:pPr>
              <w:spacing w:after="40" w:before="40" w:line="240" w:lineRule="auto"/>
            </w:pPr>
            <w:r>
              <w:rPr>
                <w:b w:val="0"/>
                <w:i w:val="0"/>
                <w:sz w:val="17"/>
              </w:rPr>
              <w:t>Recorded governing result</w:t>
            </w:r>
          </w:p>
        </w:tc>
        <w:tc>
          <w:tcPr>
            <w:tcW w:type="dxa" w:w="6621"/>
            <w:vAlign w:val="top"/>
          </w:tcPr>
          <w:p>
            <w:pPr>
              <w:spacing w:after="40" w:before="40" w:line="240" w:lineRule="auto"/>
            </w:pPr>
            <w:r>
              <w:rPr>
                <w:b w:val="0"/>
                <w:i w:val="0"/>
                <w:sz w:val="17"/>
              </w:rPr>
              <w:t>Interaction ratio 1.039, FAIL; additional web-thickness serviceability warning</w:t>
            </w:r>
          </w:p>
        </w:tc>
      </w:tr>
    </w:tbl>
    <w:p>
      <w:pPr>
        <w:spacing w:after="40"/>
      </w:pPr>
      <w:r>
        <w:rPr>
          <w:b w:val="0"/>
          <w:i w:val="0"/>
          <w:sz w:val="2"/>
        </w:rPr>
      </w:r>
    </w:p>
    <w:p>
      <w:r>
        <w:rPr>
          <w:b w:val="0"/>
          <w:i w:val="0"/>
          <w:sz w:val="20"/>
        </w:rPr>
        <w:t>The 317.396 kN compression and 1,101 kN·m moment arise from different cases and must not be combined arbitrarily. At the governing LC118 station, the concurrent axial compression is 61.030 kN. Member 161 similarly records ratio 1.038. Both results must be revisited after the load-case and analysis corrections.</w:t>
      </w:r>
    </w:p>
    <w:p>
      <w:pPr>
        <w:pStyle w:val="Heading2"/>
      </w:pPr>
      <w:r>
        <w:rPr>
          <w:b w:val="0"/>
          <w:i w:val="0"/>
        </w:rPr>
        <w:t>Exterior columns and gable posts</w:t>
      </w:r>
    </w:p>
    <w:p>
      <w:r>
        <w:rPr>
          <w:b w:val="0"/>
          <w:i w:val="0"/>
          <w:sz w:val="20"/>
        </w:rPr>
        <w:t>Exterior columns comprise 3 m, 3 m and 4 m analytical segments with increasing depth toward the eave. Segmentation does not itself provide lateral restraint. Gable posts use 420 mm sections rotated by BETA 90 and transfer end-wall wind to the roof/bracing and bases. Their connection releases and effective lengths must be matched to the installed arrangement.</w:t>
      </w:r>
    </w:p>
    <w:p>
      <w:r>
        <w:rPr>
          <w:b w:val="0"/>
          <w:i w:val="0"/>
          <w:sz w:val="15"/>
        </w:rPr>
        <w:t>Source basis: [S2] printed pp.365–366 and 379–380; commands 130, 321–340. Design topics: [S1] pp.45–51, 65–67.</w:t>
      </w:r>
    </w:p>
    <w:p>
      <w:r>
        <w:br w:type="page"/>
      </w:r>
    </w:p>
    <w:p>
      <w:r>
        <w:rPr>
          <w:b w:val="0"/>
          <w:i w:val="0"/>
          <w:color w:val="087E8B"/>
          <w:sz w:val="18"/>
        </w:rPr>
        <w:t>WEEK 3 • BENDING, SHEAR AND STABILITY</w:t>
      </w:r>
    </w:p>
    <w:p>
      <w:pPr>
        <w:pStyle w:val="Heading1"/>
      </w:pPr>
      <w:r>
        <w:rPr>
          <w:b w:val="0"/>
          <w:i w:val="0"/>
        </w:rPr>
        <w:t>Design of rafters and canopy beams</w:t>
      </w:r>
    </w:p>
    <w:p>
      <w:pPr>
        <w:pStyle w:val="Heading2"/>
      </w:pPr>
      <w:r>
        <w:rPr>
          <w:b w:val="0"/>
          <w:i w:val="0"/>
        </w:rPr>
        <w:t>Rafter design principles</w:t>
      </w:r>
    </w:p>
    <w:p>
      <w:r>
        <w:rPr>
          <w:b w:val="0"/>
          <w:i w:val="0"/>
          <w:sz w:val="20"/>
        </w:rPr>
        <w:t>A rafter check begins with plate classification and the compression-flange restraint under each load direction. Gravity and wind uplift can reverse the compression flange. Purlins connected to the upper flange do not automatically restrain the lower flange; flange stays and their connection/load path must be designed. Slender webs require explicit treatment of shear buckling and flexural resistance.</w:t>
      </w:r>
    </w:p>
    <w:p>
      <w:pPr>
        <w:ind w:left="120" w:right="120"/>
        <w:shd w:fill="EEF4F6"/>
      </w:pPr>
      <w:r>
        <w:rPr>
          <w:b w:val="0"/>
          <w:i w:val="0"/>
          <w:sz w:val="19"/>
        </w:rPr>
        <w:t>For a suitable laterally supported section: Md = βb Zp fy / γm0, subject to code limits.</w:t>
        <w:br/>
        <w:t>For a semi-compact section βb Zp corresponds to Ze.</w:t>
        <w:br/>
        <w:t>For an unrestrained member: Md depends on lateral-torsional buckling strength.</w:t>
        <w:br/>
        <w:t>Shear yielding reference: Vd = Av fy / (√3 γm0); reduce/check for shear buckling where applicable.</w:t>
      </w:r>
    </w:p>
    <w:p>
      <w:r>
        <w:rPr>
          <w:b w:val="0"/>
          <w:i w:val="0"/>
          <w:sz w:val="20"/>
        </w:rPr>
        <w:t>These are design frameworks, not a replacement for the slender-web and high-shear rules applicable to the supplied sections. Bending resistance can reduce when shear is high, and axial–moment interaction must be checked using concurrent forces.</w:t>
      </w:r>
    </w:p>
    <w:p>
      <w:pPr>
        <w:pStyle w:val="Heading2"/>
      </w:pPr>
      <w:r>
        <w:rPr>
          <w:b w:val="0"/>
          <w:i w:val="0"/>
        </w:rPr>
        <w:t>Worked interpretation — ridge-side rafter 39</w:t>
      </w:r>
    </w:p>
    <w:tbl>
      <w:tblPr>
        <w:tblW w:type="auto" w:w="0"/>
        <w:jc w:val="center"/>
        <w:tblLayout w:type="fixed"/>
        <w:tblLook w:firstColumn="1" w:firstRow="1" w:lastColumn="0" w:lastRow="0" w:noHBand="0" w:noVBand="1" w:val="04A0"/>
      </w:tblPr>
      <w:tblGrid>
        <w:gridCol w:w="2852"/>
        <w:gridCol w:w="4074"/>
        <w:gridCol w:w="3259"/>
      </w:tblGrid>
      <w:tr>
        <w:trPr>
          <w:cantSplit/>
        </w:trPr>
        <w:tc>
          <w:tcPr>
            <w:tcW w:type="dxa" w:w="2852"/>
            <w:shd w:fill="183247"/>
          </w:tcPr>
          <w:p>
            <w:pPr>
              <w:spacing w:after="40" w:before="40"/>
            </w:pPr>
            <w:r>
              <w:rPr>
                <w:b/>
                <w:i w:val="0"/>
                <w:color w:val="FFFFFF"/>
                <w:sz w:val="17"/>
              </w:rPr>
              <w:t>Check</w:t>
            </w:r>
          </w:p>
        </w:tc>
        <w:tc>
          <w:tcPr>
            <w:tcW w:type="dxa" w:w="4074"/>
            <w:shd w:fill="183247"/>
          </w:tcPr>
          <w:p>
            <w:pPr>
              <w:spacing w:after="40" w:before="40"/>
            </w:pPr>
            <w:r>
              <w:rPr>
                <w:b/>
                <w:i w:val="0"/>
                <w:color w:val="FFFFFF"/>
                <w:sz w:val="17"/>
              </w:rPr>
              <w:t>Demand / resistance</w:t>
            </w:r>
          </w:p>
        </w:tc>
        <w:tc>
          <w:tcPr>
            <w:tcW w:type="dxa" w:w="3259"/>
            <w:shd w:fill="183247"/>
          </w:tcPr>
          <w:p>
            <w:pPr>
              <w:spacing w:after="40" w:before="40"/>
            </w:pPr>
            <w:r>
              <w:rPr>
                <w:b/>
                <w:i w:val="0"/>
                <w:color w:val="FFFFFF"/>
                <w:sz w:val="17"/>
              </w:rPr>
              <w:t>Interpretation</w:t>
            </w:r>
          </w:p>
        </w:tc>
      </w:tr>
      <w:tr>
        <w:trPr>
          <w:cantSplit/>
        </w:trPr>
        <w:tc>
          <w:tcPr>
            <w:tcW w:type="dxa" w:w="2852"/>
            <w:shd w:fill="eef4f6"/>
            <w:vAlign w:val="top"/>
          </w:tcPr>
          <w:p>
            <w:pPr>
              <w:spacing w:after="40" w:before="40" w:line="240" w:lineRule="auto"/>
            </w:pPr>
            <w:r>
              <w:rPr>
                <w:b w:val="0"/>
                <w:i w:val="0"/>
                <w:sz w:val="17"/>
              </w:rPr>
              <w:t>Section and restraint</w:t>
            </w:r>
          </w:p>
        </w:tc>
        <w:tc>
          <w:tcPr>
            <w:tcW w:type="dxa" w:w="4074"/>
            <w:shd w:fill="eef4f6"/>
            <w:vAlign w:val="top"/>
          </w:tcPr>
          <w:p>
            <w:pPr>
              <w:spacing w:after="40" w:before="40" w:line="240" w:lineRule="auto"/>
            </w:pPr>
            <w:r>
              <w:rPr>
                <w:b w:val="0"/>
                <w:i w:val="0"/>
                <w:sz w:val="17"/>
              </w:rPr>
              <w:t>D 974 → 524; b 275; tf 12; tw 6 mm</w:t>
            </w:r>
          </w:p>
        </w:tc>
        <w:tc>
          <w:tcPr>
            <w:tcW w:type="dxa" w:w="3259"/>
            <w:shd w:fill="eef4f6"/>
            <w:vAlign w:val="top"/>
          </w:tcPr>
          <w:p>
            <w:pPr>
              <w:spacing w:after="40" w:before="40" w:line="240" w:lineRule="auto"/>
            </w:pPr>
            <w:r>
              <w:rPr>
                <w:b w:val="0"/>
                <w:i w:val="0"/>
                <w:sz w:val="17"/>
              </w:rPr>
              <w:t>LX = LY = 1.5 m; LZ = 15.36 m as assigned</w:t>
            </w:r>
          </w:p>
        </w:tc>
      </w:tr>
      <w:tr>
        <w:trPr>
          <w:cantSplit/>
        </w:trPr>
        <w:tc>
          <w:tcPr>
            <w:tcW w:type="dxa" w:w="2852"/>
            <w:vAlign w:val="top"/>
          </w:tcPr>
          <w:p>
            <w:pPr>
              <w:spacing w:after="40" w:before="40" w:line="240" w:lineRule="auto"/>
            </w:pPr>
            <w:r>
              <w:rPr>
                <w:b w:val="0"/>
                <w:i w:val="0"/>
                <w:sz w:val="17"/>
              </w:rPr>
              <w:t>Classification at deep end</w:t>
            </w:r>
          </w:p>
        </w:tc>
        <w:tc>
          <w:tcPr>
            <w:tcW w:type="dxa" w:w="4074"/>
            <w:vAlign w:val="top"/>
          </w:tcPr>
          <w:p>
            <w:pPr>
              <w:spacing w:after="40" w:before="40" w:line="240" w:lineRule="auto"/>
            </w:pPr>
            <w:r>
              <w:rPr>
                <w:b w:val="0"/>
                <w:i w:val="0"/>
                <w:sz w:val="17"/>
              </w:rPr>
              <w:t>Clear web = 950 mm; d/tw = 158.3</w:t>
            </w:r>
          </w:p>
        </w:tc>
        <w:tc>
          <w:tcPr>
            <w:tcW w:type="dxa" w:w="3259"/>
            <w:vAlign w:val="top"/>
          </w:tcPr>
          <w:p>
            <w:pPr>
              <w:spacing w:after="40" w:before="40" w:line="240" w:lineRule="auto"/>
            </w:pPr>
            <w:r>
              <w:rPr>
                <w:b w:val="0"/>
                <w:i w:val="0"/>
                <w:sz w:val="17"/>
              </w:rPr>
              <w:t>Slender web; semi-compact flange in output</w:t>
            </w:r>
          </w:p>
        </w:tc>
      </w:tr>
      <w:tr>
        <w:trPr>
          <w:cantSplit/>
        </w:trPr>
        <w:tc>
          <w:tcPr>
            <w:tcW w:type="dxa" w:w="2852"/>
            <w:shd w:fill="eef4f6"/>
            <w:vAlign w:val="top"/>
          </w:tcPr>
          <w:p>
            <w:pPr>
              <w:spacing w:after="40" w:before="40" w:line="240" w:lineRule="auto"/>
            </w:pPr>
            <w:r>
              <w:rPr>
                <w:b w:val="0"/>
                <w:i w:val="0"/>
                <w:sz w:val="17"/>
              </w:rPr>
              <w:t>Critical local shear FY</w:t>
            </w:r>
          </w:p>
        </w:tc>
        <w:tc>
          <w:tcPr>
            <w:tcW w:type="dxa" w:w="4074"/>
            <w:shd w:fill="eef4f6"/>
            <w:vAlign w:val="top"/>
          </w:tcPr>
          <w:p>
            <w:pPr>
              <w:spacing w:after="40" w:before="40" w:line="240" w:lineRule="auto"/>
            </w:pPr>
            <w:r>
              <w:rPr>
                <w:b w:val="0"/>
                <w:i w:val="0"/>
                <w:sz w:val="17"/>
              </w:rPr>
              <w:t>|−201.748| / 204.891 = 0.9847</w:t>
            </w:r>
          </w:p>
        </w:tc>
        <w:tc>
          <w:tcPr>
            <w:tcW w:type="dxa" w:w="3259"/>
            <w:shd w:fill="eef4f6"/>
            <w:vAlign w:val="top"/>
          </w:tcPr>
          <w:p>
            <w:pPr>
              <w:spacing w:after="40" w:before="40" w:line="240" w:lineRule="auto"/>
            </w:pPr>
            <w:r>
              <w:rPr>
                <w:b w:val="0"/>
                <w:i w:val="0"/>
                <w:sz w:val="17"/>
              </w:rPr>
              <w:t>Governing ratio rounds to 0.985 in LC116</w:t>
            </w:r>
          </w:p>
        </w:tc>
      </w:tr>
      <w:tr>
        <w:trPr>
          <w:cantSplit/>
        </w:trPr>
        <w:tc>
          <w:tcPr>
            <w:tcW w:type="dxa" w:w="2852"/>
            <w:vAlign w:val="top"/>
          </w:tcPr>
          <w:p>
            <w:pPr>
              <w:spacing w:after="40" w:before="40" w:line="240" w:lineRule="auto"/>
            </w:pPr>
            <w:r>
              <w:rPr>
                <w:b w:val="0"/>
                <w:i w:val="0"/>
                <w:sz w:val="17"/>
              </w:rPr>
              <w:t>Major-axis bending</w:t>
            </w:r>
          </w:p>
        </w:tc>
        <w:tc>
          <w:tcPr>
            <w:tcW w:type="dxa" w:w="4074"/>
            <w:vAlign w:val="top"/>
          </w:tcPr>
          <w:p>
            <w:pPr>
              <w:spacing w:after="40" w:before="40" w:line="240" w:lineRule="auto"/>
            </w:pPr>
            <w:r>
              <w:rPr>
                <w:b w:val="0"/>
                <w:i w:val="0"/>
                <w:sz w:val="17"/>
              </w:rPr>
              <w:t>|−781.111| / 982.925 = 0.7947</w:t>
            </w:r>
          </w:p>
        </w:tc>
        <w:tc>
          <w:tcPr>
            <w:tcW w:type="dxa" w:w="3259"/>
            <w:vAlign w:val="top"/>
          </w:tcPr>
          <w:p>
            <w:pPr>
              <w:spacing w:after="40" w:before="40" w:line="240" w:lineRule="auto"/>
            </w:pPr>
            <w:r>
              <w:rPr>
                <w:b w:val="0"/>
                <w:i w:val="0"/>
                <w:sz w:val="17"/>
              </w:rPr>
              <w:t>Printed bending ratio 0.795; high-shear treatment cited by output</w:t>
            </w:r>
          </w:p>
        </w:tc>
      </w:tr>
      <w:tr>
        <w:trPr>
          <w:cantSplit/>
        </w:trPr>
        <w:tc>
          <w:tcPr>
            <w:tcW w:type="dxa" w:w="2852"/>
            <w:shd w:fill="eef4f6"/>
            <w:vAlign w:val="top"/>
          </w:tcPr>
          <w:p>
            <w:pPr>
              <w:spacing w:after="40" w:before="40" w:line="240" w:lineRule="auto"/>
            </w:pPr>
            <w:r>
              <w:rPr>
                <w:b w:val="0"/>
                <w:i w:val="0"/>
                <w:sz w:val="17"/>
              </w:rPr>
              <w:t>Section interaction</w:t>
            </w:r>
          </w:p>
        </w:tc>
        <w:tc>
          <w:tcPr>
            <w:tcW w:type="dxa" w:w="4074"/>
            <w:shd w:fill="eef4f6"/>
            <w:vAlign w:val="top"/>
          </w:tcPr>
          <w:p>
            <w:pPr>
              <w:spacing w:after="40" w:before="40" w:line="240" w:lineRule="auto"/>
            </w:pPr>
            <w:r>
              <w:rPr>
                <w:b w:val="0"/>
                <w:i w:val="0"/>
                <w:sz w:val="17"/>
              </w:rPr>
              <w:t>0.836 in LC116</w:t>
            </w:r>
          </w:p>
        </w:tc>
        <w:tc>
          <w:tcPr>
            <w:tcW w:type="dxa" w:w="3259"/>
            <w:shd w:fill="eef4f6"/>
            <w:vAlign w:val="top"/>
          </w:tcPr>
          <w:p>
            <w:pPr>
              <w:spacing w:after="40" w:before="40" w:line="240" w:lineRule="auto"/>
            </w:pPr>
            <w:r>
              <w:rPr>
                <w:b w:val="0"/>
                <w:i w:val="0"/>
                <w:sz w:val="17"/>
              </w:rPr>
              <w:t>Separate from the governing shear ratio</w:t>
            </w:r>
          </w:p>
        </w:tc>
      </w:tr>
      <w:tr>
        <w:trPr>
          <w:cantSplit/>
        </w:trPr>
        <w:tc>
          <w:tcPr>
            <w:tcW w:type="dxa" w:w="2852"/>
            <w:vAlign w:val="top"/>
          </w:tcPr>
          <w:p>
            <w:pPr>
              <w:spacing w:after="40" w:before="40" w:line="240" w:lineRule="auto"/>
            </w:pPr>
            <w:r>
              <w:rPr>
                <w:b w:val="0"/>
                <w:i w:val="0"/>
                <w:sz w:val="17"/>
              </w:rPr>
              <w:t>Recorded status</w:t>
            </w:r>
          </w:p>
        </w:tc>
        <w:tc>
          <w:tcPr>
            <w:tcW w:type="dxa" w:w="4074"/>
            <w:vAlign w:val="top"/>
          </w:tcPr>
          <w:p>
            <w:pPr>
              <w:spacing w:after="40" w:before="40" w:line="240" w:lineRule="auto"/>
            </w:pPr>
            <w:r>
              <w:rPr>
                <w:b w:val="0"/>
                <w:i w:val="0"/>
                <w:sz w:val="17"/>
              </w:rPr>
              <w:t>PASS, ratio 0.985 at x = 0.0 m</w:t>
            </w:r>
          </w:p>
        </w:tc>
        <w:tc>
          <w:tcPr>
            <w:tcW w:type="dxa" w:w="3259"/>
            <w:vAlign w:val="top"/>
          </w:tcPr>
          <w:p>
            <w:pPr>
              <w:spacing w:after="40" w:before="40" w:line="240" w:lineRule="auto"/>
            </w:pPr>
            <w:r>
              <w:rPr>
                <w:b w:val="0"/>
                <w:i w:val="0"/>
                <w:sz w:val="17"/>
              </w:rPr>
              <w:t>Conditional on supplied inputs and unresolved model review</w:t>
            </w:r>
          </w:p>
        </w:tc>
      </w:tr>
    </w:tbl>
    <w:p>
      <w:pPr>
        <w:spacing w:after="40"/>
      </w:pPr>
      <w:r>
        <w:rPr>
          <w:b w:val="0"/>
          <w:i w:val="0"/>
          <w:sz w:val="2"/>
        </w:rPr>
      </w:r>
    </w:p>
    <w:p>
      <w:r>
        <w:rPr>
          <w:b w:val="0"/>
          <w:i w:val="0"/>
          <w:sz w:val="20"/>
        </w:rPr>
        <w:t>The program labels the FY-related check “Shear Minor” and the MZ check “Bend Major”; this report retains numerical components to avoid ambiguity. A 0.985 ratio leaves a small numerical margin in this run. Restraint spacing, load definition, fabrication tolerances and revised analysis can affect the result.</w:t>
      </w:r>
    </w:p>
    <w:p>
      <w:pPr>
        <w:pStyle w:val="Heading2"/>
      </w:pPr>
      <w:r>
        <w:rPr>
          <w:b w:val="0"/>
          <w:i w:val="0"/>
        </w:rPr>
        <w:t>Canopies and end-frame rafters</w:t>
      </w:r>
    </w:p>
    <w:p>
      <w:r>
        <w:rPr>
          <w:b w:val="0"/>
          <w:i w:val="0"/>
          <w:sz w:val="20"/>
        </w:rPr>
        <w:t>Canopy beams 290, 291 and 293–296 have D = 316 mm, 150 × 8 mm flanges and 5 mm webs. Member 290 records MZ = −50.464 kN·m and FY = −33.809 kN under LC114, with ratio 0.712. The canopy connection must transfer the cantilever moment into the main column; drainage, uplift and lateral restraint require separate details.</w:t>
      </w:r>
    </w:p>
    <w:p>
      <w:r>
        <w:rPr>
          <w:b w:val="0"/>
          <w:i w:val="0"/>
          <w:sz w:val="20"/>
        </w:rPr>
        <w:t>End-frame rafters use 200 × 12 mm flanges with 424/524 mm depths. Member 12 records ratio 0.994 in LC118. Its result should be revisited after the LC118 discrepancy is resolved, rather than treated as an optimized final section.</w:t>
      </w:r>
    </w:p>
    <w:p>
      <w:r>
        <w:rPr>
          <w:b w:val="0"/>
          <w:i w:val="0"/>
          <w:sz w:val="15"/>
        </w:rPr>
        <w:t>Source basis: [S2] printed pp.81–82, 135–136 and 517–518. Design concepts: [S1] pp.61–68.</w:t>
      </w:r>
    </w:p>
    <w:p>
      <w:r>
        <w:br w:type="page"/>
      </w:r>
    </w:p>
    <w:p>
      <w:r>
        <w:rPr>
          <w:b w:val="0"/>
          <w:i w:val="0"/>
          <w:color w:val="087E8B"/>
          <w:sz w:val="18"/>
        </w:rPr>
        <w:t>WEEK 3 • PURLINS, GIRTS, STRUTS AND RODS</w:t>
      </w:r>
    </w:p>
    <w:p>
      <w:pPr>
        <w:pStyle w:val="Heading1"/>
      </w:pPr>
      <w:r>
        <w:rPr>
          <w:b w:val="0"/>
          <w:i w:val="0"/>
        </w:rPr>
        <w:t>Secondary steel and bracing design</w:t>
      </w:r>
    </w:p>
    <w:tbl>
      <w:tblPr>
        <w:tblW w:type="auto" w:w="0"/>
        <w:jc w:val="center"/>
        <w:tblLayout w:type="fixed"/>
        <w:tblLook w:firstColumn="1" w:firstRow="1" w:lastColumn="0" w:lastRow="0" w:noHBand="0" w:noVBand="1" w:val="04A0"/>
      </w:tblPr>
      <w:tblGrid>
        <w:gridCol w:w="2343"/>
        <w:gridCol w:w="3667"/>
        <w:gridCol w:w="4176"/>
      </w:tblGrid>
      <w:tr>
        <w:trPr>
          <w:cantSplit/>
        </w:trPr>
        <w:tc>
          <w:tcPr>
            <w:tcW w:type="dxa" w:w="2343"/>
            <w:shd w:fill="183247"/>
          </w:tcPr>
          <w:p>
            <w:pPr>
              <w:spacing w:after="40" w:before="40"/>
            </w:pPr>
            <w:r>
              <w:rPr>
                <w:b/>
                <w:i w:val="0"/>
                <w:color w:val="FFFFFF"/>
                <w:sz w:val="17"/>
              </w:rPr>
              <w:t>Component</w:t>
            </w:r>
          </w:p>
        </w:tc>
        <w:tc>
          <w:tcPr>
            <w:tcW w:type="dxa" w:w="3667"/>
            <w:shd w:fill="183247"/>
          </w:tcPr>
          <w:p>
            <w:pPr>
              <w:spacing w:after="40" w:before="40"/>
            </w:pPr>
            <w:r>
              <w:rPr>
                <w:b/>
                <w:i w:val="0"/>
                <w:color w:val="FFFFFF"/>
                <w:sz w:val="17"/>
              </w:rPr>
              <w:t>Section / evidence</w:t>
            </w:r>
          </w:p>
        </w:tc>
        <w:tc>
          <w:tcPr>
            <w:tcW w:type="dxa" w:w="4176"/>
            <w:shd w:fill="183247"/>
          </w:tcPr>
          <w:p>
            <w:pPr>
              <w:spacing w:after="40" w:before="40"/>
            </w:pPr>
            <w:r>
              <w:rPr>
                <w:b/>
                <w:i w:val="0"/>
                <w:color w:val="FFFFFF"/>
                <w:sz w:val="17"/>
              </w:rPr>
              <w:t>Required design checks</w:t>
            </w:r>
          </w:p>
        </w:tc>
      </w:tr>
      <w:tr>
        <w:trPr>
          <w:cantSplit/>
        </w:trPr>
        <w:tc>
          <w:tcPr>
            <w:tcW w:type="dxa" w:w="2343"/>
            <w:shd w:fill="eef4f6"/>
            <w:vAlign w:val="top"/>
          </w:tcPr>
          <w:p>
            <w:pPr>
              <w:spacing w:after="40" w:before="40" w:line="240" w:lineRule="auto"/>
            </w:pPr>
            <w:r>
              <w:rPr>
                <w:b w:val="0"/>
                <w:i w:val="0"/>
                <w:sz w:val="17"/>
              </w:rPr>
              <w:t>Main-roof purlin</w:t>
            </w:r>
          </w:p>
        </w:tc>
        <w:tc>
          <w:tcPr>
            <w:tcW w:type="dxa" w:w="3667"/>
            <w:shd w:fill="eef4f6"/>
            <w:vAlign w:val="top"/>
          </w:tcPr>
          <w:p>
            <w:pPr>
              <w:spacing w:after="40" w:before="40" w:line="240" w:lineRule="auto"/>
            </w:pPr>
            <w:r>
              <w:rPr>
                <w:b w:val="0"/>
                <w:i w:val="0"/>
                <w:sz w:val="17"/>
              </w:rPr>
              <w:t>PDF assumption: Z 270 × 75 × 20 × 2.55 mm; 8.77 kg/m</w:t>
            </w:r>
          </w:p>
        </w:tc>
        <w:tc>
          <w:tcPr>
            <w:tcW w:type="dxa" w:w="4176"/>
            <w:shd w:fill="eef4f6"/>
            <w:vAlign w:val="top"/>
          </w:tcPr>
          <w:p>
            <w:pPr>
              <w:spacing w:after="40" w:before="40" w:line="240" w:lineRule="auto"/>
            </w:pPr>
            <w:r>
              <w:rPr>
                <w:b w:val="0"/>
                <w:i w:val="0"/>
                <w:sz w:val="17"/>
              </w:rPr>
              <w:t>Cold-formed effective section, biaxial bending, local/distortional buckling, uplift and deflection</w:t>
            </w:r>
          </w:p>
        </w:tc>
      </w:tr>
      <w:tr>
        <w:trPr>
          <w:cantSplit/>
        </w:trPr>
        <w:tc>
          <w:tcPr>
            <w:tcW w:type="dxa" w:w="2343"/>
            <w:vAlign w:val="top"/>
          </w:tcPr>
          <w:p>
            <w:pPr>
              <w:spacing w:after="40" w:before="40" w:line="240" w:lineRule="auto"/>
            </w:pPr>
            <w:r>
              <w:rPr>
                <w:b w:val="0"/>
                <w:i w:val="0"/>
                <w:sz w:val="17"/>
              </w:rPr>
              <w:t>Side-wall girt</w:t>
            </w:r>
          </w:p>
        </w:tc>
        <w:tc>
          <w:tcPr>
            <w:tcW w:type="dxa" w:w="3667"/>
            <w:vAlign w:val="top"/>
          </w:tcPr>
          <w:p>
            <w:pPr>
              <w:spacing w:after="40" w:before="40" w:line="240" w:lineRule="auto"/>
            </w:pPr>
            <w:r>
              <w:rPr>
                <w:b w:val="0"/>
                <w:i w:val="0"/>
                <w:sz w:val="17"/>
              </w:rPr>
              <w:t>PDF: same Z section for 8.1 m bay</w:t>
            </w:r>
          </w:p>
        </w:tc>
        <w:tc>
          <w:tcPr>
            <w:tcW w:type="dxa" w:w="4176"/>
            <w:vAlign w:val="top"/>
          </w:tcPr>
          <w:p>
            <w:pPr>
              <w:spacing w:after="40" w:before="40" w:line="240" w:lineRule="auto"/>
            </w:pPr>
            <w:r>
              <w:rPr>
                <w:b w:val="0"/>
                <w:i w:val="0"/>
                <w:sz w:val="17"/>
              </w:rPr>
              <w:t>Wind pressure/suction, continuity, cleats, sheeting restraint and deflection</w:t>
            </w:r>
          </w:p>
        </w:tc>
      </w:tr>
      <w:tr>
        <w:trPr>
          <w:cantSplit/>
        </w:trPr>
        <w:tc>
          <w:tcPr>
            <w:tcW w:type="dxa" w:w="2343"/>
            <w:shd w:fill="eef4f6"/>
            <w:vAlign w:val="top"/>
          </w:tcPr>
          <w:p>
            <w:pPr>
              <w:spacing w:after="40" w:before="40" w:line="240" w:lineRule="auto"/>
            </w:pPr>
            <w:r>
              <w:rPr>
                <w:b w:val="0"/>
                <w:i w:val="0"/>
                <w:sz w:val="17"/>
              </w:rPr>
              <w:t>Gable-wall girt</w:t>
            </w:r>
          </w:p>
        </w:tc>
        <w:tc>
          <w:tcPr>
            <w:tcW w:type="dxa" w:w="3667"/>
            <w:shd w:fill="eef4f6"/>
            <w:vAlign w:val="top"/>
          </w:tcPr>
          <w:p>
            <w:pPr>
              <w:spacing w:after="40" w:before="40" w:line="240" w:lineRule="auto"/>
            </w:pPr>
            <w:r>
              <w:rPr>
                <w:b w:val="0"/>
                <w:i w:val="0"/>
                <w:sz w:val="17"/>
              </w:rPr>
              <w:t>PDF: Z 230 × 75 × 20 × 2 mm; 6.32 kg/m</w:t>
            </w:r>
          </w:p>
        </w:tc>
        <w:tc>
          <w:tcPr>
            <w:tcW w:type="dxa" w:w="4176"/>
            <w:shd w:fill="eef4f6"/>
            <w:vAlign w:val="top"/>
          </w:tcPr>
          <w:p>
            <w:pPr>
              <w:spacing w:after="40" w:before="40" w:line="240" w:lineRule="auto"/>
            </w:pPr>
            <w:r>
              <w:rPr>
                <w:b w:val="0"/>
                <w:i w:val="0"/>
                <w:sz w:val="17"/>
              </w:rPr>
              <w:t>6 m bay bending, local buckling, fasteners and end connections</w:t>
            </w:r>
          </w:p>
        </w:tc>
      </w:tr>
      <w:tr>
        <w:trPr>
          <w:cantSplit/>
        </w:trPr>
        <w:tc>
          <w:tcPr>
            <w:tcW w:type="dxa" w:w="2343"/>
            <w:vAlign w:val="top"/>
          </w:tcPr>
          <w:p>
            <w:pPr>
              <w:spacing w:after="40" w:before="40" w:line="240" w:lineRule="auto"/>
            </w:pPr>
            <w:r>
              <w:rPr>
                <w:b w:val="0"/>
                <w:i w:val="0"/>
                <w:sz w:val="17"/>
              </w:rPr>
              <w:t>Eave strut</w:t>
            </w:r>
          </w:p>
        </w:tc>
        <w:tc>
          <w:tcPr>
            <w:tcW w:type="dxa" w:w="3667"/>
            <w:vAlign w:val="top"/>
          </w:tcPr>
          <w:p>
            <w:pPr>
              <w:spacing w:after="40" w:before="40" w:line="240" w:lineRule="auto"/>
            </w:pPr>
            <w:r>
              <w:rPr>
                <w:b w:val="0"/>
                <w:i w:val="0"/>
                <w:sz w:val="17"/>
              </w:rPr>
              <w:t>PDF: CS 270 × 75 × 20 × 3.15 mm; 10.7 kg/m</w:t>
            </w:r>
          </w:p>
        </w:tc>
        <w:tc>
          <w:tcPr>
            <w:tcW w:type="dxa" w:w="4176"/>
            <w:vAlign w:val="top"/>
          </w:tcPr>
          <w:p>
            <w:pPr>
              <w:spacing w:after="40" w:before="40" w:line="240" w:lineRule="auto"/>
            </w:pPr>
            <w:r>
              <w:rPr>
                <w:b w:val="0"/>
                <w:i w:val="0"/>
                <w:sz w:val="17"/>
              </w:rPr>
              <w:t>Roof/wall reactions, gutter action, biaxial bending and axial action</w:t>
            </w:r>
          </w:p>
        </w:tc>
      </w:tr>
      <w:tr>
        <w:trPr>
          <w:cantSplit/>
        </w:trPr>
        <w:tc>
          <w:tcPr>
            <w:tcW w:type="dxa" w:w="2343"/>
            <w:shd w:fill="eef4f6"/>
            <w:vAlign w:val="top"/>
          </w:tcPr>
          <w:p>
            <w:pPr>
              <w:spacing w:after="40" w:before="40" w:line="240" w:lineRule="auto"/>
            </w:pPr>
            <w:r>
              <w:rPr>
                <w:b w:val="0"/>
                <w:i w:val="0"/>
                <w:sz w:val="17"/>
              </w:rPr>
              <w:t>Longitudinal SHS</w:t>
            </w:r>
          </w:p>
        </w:tc>
        <w:tc>
          <w:tcPr>
            <w:tcW w:type="dxa" w:w="3667"/>
            <w:shd w:fill="eef4f6"/>
            <w:vAlign w:val="top"/>
          </w:tcPr>
          <w:p>
            <w:pPr>
              <w:spacing w:after="40" w:before="40" w:line="240" w:lineRule="auto"/>
            </w:pPr>
            <w:r>
              <w:rPr>
                <w:b w:val="0"/>
                <w:i w:val="0"/>
                <w:sz w:val="17"/>
              </w:rPr>
              <w:t>ANL: 150 × 150 × 4 mm</w:t>
            </w:r>
          </w:p>
        </w:tc>
        <w:tc>
          <w:tcPr>
            <w:tcW w:type="dxa" w:w="4176"/>
            <w:shd w:fill="eef4f6"/>
            <w:vAlign w:val="top"/>
          </w:tcPr>
          <w:p>
            <w:pPr>
              <w:spacing w:after="40" w:before="40" w:line="240" w:lineRule="auto"/>
            </w:pPr>
            <w:r>
              <w:rPr>
                <w:b w:val="0"/>
                <w:i w:val="0"/>
                <w:sz w:val="17"/>
              </w:rPr>
              <w:t>Compression, tension, bending, slenderness, connections and second-order behaviour</w:t>
            </w:r>
          </w:p>
        </w:tc>
      </w:tr>
      <w:tr>
        <w:trPr>
          <w:cantSplit/>
        </w:trPr>
        <w:tc>
          <w:tcPr>
            <w:tcW w:type="dxa" w:w="2343"/>
            <w:vAlign w:val="top"/>
          </w:tcPr>
          <w:p>
            <w:pPr>
              <w:spacing w:after="40" w:before="40" w:line="240" w:lineRule="auto"/>
            </w:pPr>
            <w:r>
              <w:rPr>
                <w:b w:val="0"/>
                <w:i w:val="0"/>
                <w:sz w:val="17"/>
              </w:rPr>
              <w:t>Canopy secondary members</w:t>
            </w:r>
          </w:p>
        </w:tc>
        <w:tc>
          <w:tcPr>
            <w:tcW w:type="dxa" w:w="3667"/>
            <w:vAlign w:val="top"/>
          </w:tcPr>
          <w:p>
            <w:pPr>
              <w:spacing w:after="40" w:before="40" w:line="240" w:lineRule="auto"/>
            </w:pPr>
            <w:r>
              <w:rPr>
                <w:b w:val="0"/>
                <w:i w:val="0"/>
                <w:sz w:val="17"/>
              </w:rPr>
              <w:t>ANL 292/297/298: 260ZS75X2</w:t>
            </w:r>
          </w:p>
        </w:tc>
        <w:tc>
          <w:tcPr>
            <w:tcW w:type="dxa" w:w="4176"/>
            <w:vAlign w:val="top"/>
          </w:tcPr>
          <w:p>
            <w:pPr>
              <w:spacing w:after="40" w:before="40" w:line="240" w:lineRule="auto"/>
            </w:pPr>
            <w:r>
              <w:rPr>
                <w:b w:val="0"/>
                <w:i w:val="0"/>
                <w:sz w:val="17"/>
              </w:rPr>
              <w:t>Separate cold-formed check; omitted from listed CHECK CODE members</w:t>
            </w:r>
          </w:p>
        </w:tc>
      </w:tr>
      <w:tr>
        <w:trPr>
          <w:cantSplit/>
        </w:trPr>
        <w:tc>
          <w:tcPr>
            <w:tcW w:type="dxa" w:w="2343"/>
            <w:shd w:fill="eef4f6"/>
            <w:vAlign w:val="top"/>
          </w:tcPr>
          <w:p>
            <w:pPr>
              <w:spacing w:after="40" w:before="40" w:line="240" w:lineRule="auto"/>
            </w:pPr>
            <w:r>
              <w:rPr>
                <w:b w:val="0"/>
                <w:i w:val="0"/>
                <w:sz w:val="17"/>
              </w:rPr>
              <w:t>Roof / wall bracing</w:t>
            </w:r>
          </w:p>
        </w:tc>
        <w:tc>
          <w:tcPr>
            <w:tcW w:type="dxa" w:w="3667"/>
            <w:shd w:fill="eef4f6"/>
            <w:vAlign w:val="top"/>
          </w:tcPr>
          <w:p>
            <w:pPr>
              <w:spacing w:after="40" w:before="40" w:line="240" w:lineRule="auto"/>
            </w:pPr>
            <w:r>
              <w:rPr>
                <w:b w:val="0"/>
                <w:i w:val="0"/>
                <w:sz w:val="17"/>
              </w:rPr>
              <w:t>ANL 230–289: Ø25 solid rods</w:t>
            </w:r>
          </w:p>
        </w:tc>
        <w:tc>
          <w:tcPr>
            <w:tcW w:type="dxa" w:w="4176"/>
            <w:shd w:fill="eef4f6"/>
            <w:vAlign w:val="top"/>
          </w:tcPr>
          <w:p>
            <w:pPr>
              <w:spacing w:after="40" w:before="40" w:line="240" w:lineRule="auto"/>
            </w:pPr>
            <w:r>
              <w:rPr>
                <w:b w:val="0"/>
                <w:i w:val="0"/>
                <w:sz w:val="17"/>
              </w:rPr>
              <w:t>Gross yielding, threaded/net-section rupture, connections, slack and load reversal</w:t>
            </w:r>
          </w:p>
        </w:tc>
      </w:tr>
    </w:tbl>
    <w:p>
      <w:pPr>
        <w:spacing w:after="40"/>
      </w:pPr>
      <w:r>
        <w:rPr>
          <w:b w:val="0"/>
          <w:i w:val="0"/>
          <w:sz w:val="2"/>
        </w:rPr>
      </w:r>
    </w:p>
    <w:p>
      <w:pPr>
        <w:pStyle w:val="Heading2"/>
      </w:pPr>
      <w:r>
        <w:rPr>
          <w:b w:val="0"/>
          <w:i w:val="0"/>
        </w:rPr>
        <w:t>Illustrative roof-purlin calculation</w:t>
      </w:r>
    </w:p>
    <w:p>
      <w:r>
        <w:rPr>
          <w:b w:val="0"/>
          <w:i w:val="0"/>
          <w:sz w:val="20"/>
        </w:rPr>
        <w:t>To demonstrate the method, idealize one 8.1 m purlin span as simply supported with 1.5 m tributary roof width. Use the source DL allowance of 0.20 kN/m² plus its assumed purlin self-weight. This is a service-load example; actual lap continuity, roof slope and restraint need a cold-formed design.</w:t>
      </w:r>
    </w:p>
    <w:p>
      <w:pPr>
        <w:ind w:left="120" w:right="120"/>
        <w:shd w:fill="EEF4F6"/>
      </w:pPr>
      <w:r>
        <w:rPr>
          <w:b w:val="0"/>
          <w:i w:val="0"/>
          <w:sz w:val="19"/>
        </w:rPr>
        <w:t>wDL ≈ 0.20 × 1.50 + 0.0877 = 0.3877 kN/m.</w:t>
        <w:br/>
        <w:t>wLL = 0.75 × 1.50 = 1.1250 kN/m; wtotal = 1.5127 kN/m.</w:t>
        <w:br/>
        <w:t>R = wL/2 = 6.126 kN; Mmax = wL²/8 = 12.406 kN·m.</w:t>
        <w:br/>
        <w:t>Using the source’s illustrative L/240 limit: δallow = 8,100/240 = 33.75 mm.</w:t>
        <w:br/>
        <w:t>Irequired = 5wL⁴/(384Eδallow) ≈ 12.25 × 10⁶ mm⁴ (E = 205,000 MPa).</w:t>
      </w:r>
    </w:p>
    <w:p>
      <w:r>
        <w:rPr>
          <w:b w:val="0"/>
          <w:i w:val="0"/>
          <w:sz w:val="20"/>
        </w:rPr>
        <w:t>The inertia requirement is an idealized strong-axis stiffness demand, not a pass result for the named Z section. Effective stiffness, weak-axis action, continuity and manufacturer properties must be checked. IS 800’s scope identifies cold-formed light-gauge sections as requiring separate provisions [R1].</w:t>
      </w:r>
    </w:p>
    <w:p>
      <w:pPr>
        <w:pStyle w:val="Heading2"/>
      </w:pPr>
      <w:r>
        <w:rPr>
          <w:b w:val="0"/>
          <w:i w:val="0"/>
        </w:rPr>
        <w:t>Illustrative gross-yielding resistance of a Ø25 brace</w:t>
      </w:r>
    </w:p>
    <w:p>
      <w:pPr>
        <w:ind w:left="120" w:right="120"/>
        <w:shd w:fill="EEF4F6"/>
      </w:pPr>
      <w:r>
        <w:rPr>
          <w:b w:val="0"/>
          <w:i w:val="0"/>
          <w:sz w:val="19"/>
        </w:rPr>
        <w:t>Ag = π × 25²/4 = 490.87 mm².</w:t>
        <w:br/>
        <w:t>Tdg = Ag fy/γm0 = 490.87 × 250/1.10 = 111.56 kN.</w:t>
      </w:r>
    </w:p>
    <w:p>
      <w:r>
        <w:rPr>
          <w:b w:val="0"/>
          <w:i w:val="0"/>
          <w:sz w:val="20"/>
        </w:rPr>
        <w:t>This is only the gross-section yielding resistance. Threaded net area, rupture, gusset block shear, rod-end/turnbuckle resistance and actual factored axial demand can govern. The ANL assigns rod material values but excludes members 230–289 from its CHECK CODE list; their final adequacy is not established.</w:t>
      </w:r>
    </w:p>
    <w:p>
      <w:r>
        <w:rPr>
          <w:b w:val="0"/>
          <w:i w:val="0"/>
          <w:sz w:val="15"/>
        </w:rPr>
        <w:t>Source basis: [S1] pp.5, 10–11 and 59; [S2] commands 121–128, 132–133, 311–312 and 351; [R1].</w:t>
      </w:r>
    </w:p>
    <w:p>
      <w:r>
        <w:br w:type="page"/>
      </w:r>
    </w:p>
    <w:p>
      <w:r>
        <w:rPr>
          <w:b w:val="0"/>
          <w:i w:val="0"/>
          <w:color w:val="087E8B"/>
          <w:sz w:val="18"/>
        </w:rPr>
        <w:t>WEEK 3 • COMPLETION REVIEW</w:t>
      </w:r>
    </w:p>
    <w:p>
      <w:pPr>
        <w:pStyle w:val="Heading1"/>
      </w:pPr>
      <w:r>
        <w:rPr>
          <w:b w:val="0"/>
          <w:i w:val="0"/>
        </w:rPr>
        <w:t>Design coverage, connections and quantities</w:t>
      </w:r>
    </w:p>
    <w:p>
      <w:pPr>
        <w:pStyle w:val="Heading2"/>
      </w:pPr>
      <w:r>
        <w:rPr>
          <w:b w:val="0"/>
          <w:i w:val="0"/>
        </w:rPr>
        <w:t>Coverage of the supplied design output</w:t>
      </w:r>
    </w:p>
    <w:p>
      <w:r>
        <w:rPr>
          <w:b w:val="0"/>
          <w:i w:val="0"/>
          <w:sz w:val="20"/>
        </w:rPr>
        <w:t>The CHECK CODE command covers members 1–229, 290–291, 293–296 and 299–314: 251 members. Counting the status lines gives 249 PASS and 2 FAIL results. The other 63 members comprise 60 tension-only rods and three canopy Z members. Presence in the analytical model does not demonstrate that a member or connection has been designed.</w:t>
      </w:r>
    </w:p>
    <w:tbl>
      <w:tblPr>
        <w:tblW w:type="auto" w:w="0"/>
        <w:jc w:val="center"/>
        <w:tblLayout w:type="fixed"/>
        <w:tblLook w:firstColumn="1" w:firstRow="1" w:lastColumn="0" w:lastRow="0" w:noHBand="0" w:noVBand="1" w:val="04A0"/>
      </w:tblPr>
      <w:tblGrid>
        <w:gridCol w:w="3259"/>
        <w:gridCol w:w="3463"/>
        <w:gridCol w:w="3463"/>
      </w:tblGrid>
      <w:tr>
        <w:trPr>
          <w:cantSplit/>
        </w:trPr>
        <w:tc>
          <w:tcPr>
            <w:tcW w:type="dxa" w:w="3259"/>
            <w:shd w:fill="183247"/>
          </w:tcPr>
          <w:p>
            <w:pPr>
              <w:spacing w:after="40" w:before="40"/>
            </w:pPr>
            <w:r>
              <w:rPr>
                <w:b/>
                <w:i w:val="0"/>
                <w:color w:val="FFFFFF"/>
                <w:sz w:val="17"/>
              </w:rPr>
              <w:t>Design item</w:t>
            </w:r>
          </w:p>
        </w:tc>
        <w:tc>
          <w:tcPr>
            <w:tcW w:type="dxa" w:w="3463"/>
            <w:shd w:fill="183247"/>
          </w:tcPr>
          <w:p>
            <w:pPr>
              <w:spacing w:after="40" w:before="40"/>
            </w:pPr>
            <w:r>
              <w:rPr>
                <w:b/>
                <w:i w:val="0"/>
                <w:color w:val="FFFFFF"/>
                <w:sz w:val="17"/>
              </w:rPr>
              <w:t>Evidence available</w:t>
            </w:r>
          </w:p>
        </w:tc>
        <w:tc>
          <w:tcPr>
            <w:tcW w:type="dxa" w:w="3463"/>
            <w:shd w:fill="183247"/>
          </w:tcPr>
          <w:p>
            <w:pPr>
              <w:spacing w:after="40" w:before="40"/>
            </w:pPr>
            <w:r>
              <w:rPr>
                <w:b/>
                <w:i w:val="0"/>
                <w:color w:val="FFFFFF"/>
                <w:sz w:val="17"/>
              </w:rPr>
              <w:t>Status for this report</w:t>
            </w:r>
          </w:p>
        </w:tc>
      </w:tr>
      <w:tr>
        <w:trPr>
          <w:cantSplit/>
        </w:trPr>
        <w:tc>
          <w:tcPr>
            <w:tcW w:type="dxa" w:w="3259"/>
            <w:shd w:fill="eef4f6"/>
            <w:vAlign w:val="top"/>
          </w:tcPr>
          <w:p>
            <w:pPr>
              <w:spacing w:after="40" w:before="40" w:line="240" w:lineRule="auto"/>
            </w:pPr>
            <w:r>
              <w:rPr>
                <w:b w:val="0"/>
                <w:i w:val="0"/>
                <w:sz w:val="17"/>
              </w:rPr>
              <w:t>Primary columns and rafters</w:t>
            </w:r>
          </w:p>
        </w:tc>
        <w:tc>
          <w:tcPr>
            <w:tcW w:type="dxa" w:w="3463"/>
            <w:shd w:fill="eef4f6"/>
            <w:vAlign w:val="top"/>
          </w:tcPr>
          <w:p>
            <w:pPr>
              <w:spacing w:after="40" w:before="40" w:line="240" w:lineRule="auto"/>
            </w:pPr>
            <w:r>
              <w:rPr>
                <w:b w:val="0"/>
                <w:i w:val="0"/>
                <w:sz w:val="17"/>
              </w:rPr>
              <w:t>Sizes, loads and detailed member code checks</w:t>
            </w:r>
          </w:p>
        </w:tc>
        <w:tc>
          <w:tcPr>
            <w:tcW w:type="dxa" w:w="3463"/>
            <w:shd w:fill="eef4f6"/>
            <w:vAlign w:val="top"/>
          </w:tcPr>
          <w:p>
            <w:pPr>
              <w:spacing w:after="40" w:before="40" w:line="240" w:lineRule="auto"/>
            </w:pPr>
            <w:r>
              <w:rPr>
                <w:b w:val="0"/>
                <w:i w:val="0"/>
                <w:sz w:val="17"/>
              </w:rPr>
              <w:t>Recorded results summarized; correction/re-analysis required</w:t>
            </w:r>
          </w:p>
        </w:tc>
      </w:tr>
      <w:tr>
        <w:trPr>
          <w:cantSplit/>
        </w:trPr>
        <w:tc>
          <w:tcPr>
            <w:tcW w:type="dxa" w:w="3259"/>
            <w:vAlign w:val="top"/>
          </w:tcPr>
          <w:p>
            <w:pPr>
              <w:spacing w:after="40" w:before="40" w:line="240" w:lineRule="auto"/>
            </w:pPr>
            <w:r>
              <w:rPr>
                <w:b w:val="0"/>
                <w:i w:val="0"/>
                <w:sz w:val="17"/>
              </w:rPr>
              <w:t>SHS ties / struts</w:t>
            </w:r>
          </w:p>
        </w:tc>
        <w:tc>
          <w:tcPr>
            <w:tcW w:type="dxa" w:w="3463"/>
            <w:vAlign w:val="top"/>
          </w:tcPr>
          <w:p>
            <w:pPr>
              <w:spacing w:after="40" w:before="40" w:line="240" w:lineRule="auto"/>
            </w:pPr>
            <w:r>
              <w:rPr>
                <w:b w:val="0"/>
                <w:i w:val="0"/>
                <w:sz w:val="17"/>
              </w:rPr>
              <w:t>Member checks included</w:t>
            </w:r>
          </w:p>
        </w:tc>
        <w:tc>
          <w:tcPr>
            <w:tcW w:type="dxa" w:w="3463"/>
            <w:vAlign w:val="top"/>
          </w:tcPr>
          <w:p>
            <w:pPr>
              <w:spacing w:after="40" w:before="40" w:line="240" w:lineRule="auto"/>
            </w:pPr>
            <w:r>
              <w:rPr>
                <w:b w:val="0"/>
                <w:i w:val="0"/>
                <w:sz w:val="17"/>
              </w:rPr>
              <w:t>Second-order warnings for members 18/19 remain open</w:t>
            </w:r>
          </w:p>
        </w:tc>
      </w:tr>
      <w:tr>
        <w:trPr>
          <w:cantSplit/>
        </w:trPr>
        <w:tc>
          <w:tcPr>
            <w:tcW w:type="dxa" w:w="3259"/>
            <w:shd w:fill="eef4f6"/>
            <w:vAlign w:val="top"/>
          </w:tcPr>
          <w:p>
            <w:pPr>
              <w:spacing w:after="40" w:before="40" w:line="240" w:lineRule="auto"/>
            </w:pPr>
            <w:r>
              <w:rPr>
                <w:b w:val="0"/>
                <w:i w:val="0"/>
                <w:sz w:val="17"/>
              </w:rPr>
              <w:t>Rods / cold-formed members</w:t>
            </w:r>
          </w:p>
        </w:tc>
        <w:tc>
          <w:tcPr>
            <w:tcW w:type="dxa" w:w="3463"/>
            <w:shd w:fill="eef4f6"/>
            <w:vAlign w:val="top"/>
          </w:tcPr>
          <w:p>
            <w:pPr>
              <w:spacing w:after="40" w:before="40" w:line="240" w:lineRule="auto"/>
            </w:pPr>
            <w:r>
              <w:rPr>
                <w:b w:val="0"/>
                <w:i w:val="0"/>
                <w:sz w:val="17"/>
              </w:rPr>
              <w:t>Rod sizes; limited Z assignments; PDF assumptions</w:t>
            </w:r>
          </w:p>
        </w:tc>
        <w:tc>
          <w:tcPr>
            <w:tcW w:type="dxa" w:w="3463"/>
            <w:shd w:fill="eef4f6"/>
            <w:vAlign w:val="top"/>
          </w:tcPr>
          <w:p>
            <w:pPr>
              <w:spacing w:after="40" w:before="40" w:line="240" w:lineRule="auto"/>
            </w:pPr>
            <w:r>
              <w:rPr>
                <w:b w:val="0"/>
                <w:i w:val="0"/>
                <w:sz w:val="17"/>
              </w:rPr>
              <w:t>Separate member and connection checks needed</w:t>
            </w:r>
          </w:p>
        </w:tc>
      </w:tr>
      <w:tr>
        <w:trPr>
          <w:cantSplit/>
        </w:trPr>
        <w:tc>
          <w:tcPr>
            <w:tcW w:type="dxa" w:w="3259"/>
            <w:vAlign w:val="top"/>
          </w:tcPr>
          <w:p>
            <w:pPr>
              <w:spacing w:after="40" w:before="40" w:line="240" w:lineRule="auto"/>
            </w:pPr>
            <w:r>
              <w:rPr>
                <w:b w:val="0"/>
                <w:i w:val="0"/>
                <w:sz w:val="17"/>
              </w:rPr>
              <w:t>Knee, ridge and splice joints</w:t>
            </w:r>
          </w:p>
        </w:tc>
        <w:tc>
          <w:tcPr>
            <w:tcW w:type="dxa" w:w="3463"/>
            <w:vAlign w:val="top"/>
          </w:tcPr>
          <w:p>
            <w:pPr>
              <w:spacing w:after="40" w:before="40" w:line="240" w:lineRule="auto"/>
            </w:pPr>
            <w:r>
              <w:rPr>
                <w:b w:val="0"/>
                <w:i w:val="0"/>
                <w:sz w:val="17"/>
              </w:rPr>
              <w:t>No complete connection calculations supplied</w:t>
            </w:r>
          </w:p>
        </w:tc>
        <w:tc>
          <w:tcPr>
            <w:tcW w:type="dxa" w:w="3463"/>
            <w:vAlign w:val="top"/>
          </w:tcPr>
          <w:p>
            <w:pPr>
              <w:spacing w:after="40" w:before="40" w:line="240" w:lineRule="auto"/>
            </w:pPr>
            <w:r>
              <w:rPr>
                <w:b w:val="0"/>
                <w:i w:val="0"/>
                <w:sz w:val="17"/>
              </w:rPr>
              <w:t>Design workflow and concept details provided</w:t>
            </w:r>
          </w:p>
        </w:tc>
      </w:tr>
      <w:tr>
        <w:trPr>
          <w:cantSplit/>
        </w:trPr>
        <w:tc>
          <w:tcPr>
            <w:tcW w:type="dxa" w:w="3259"/>
            <w:shd w:fill="eef4f6"/>
            <w:vAlign w:val="top"/>
          </w:tcPr>
          <w:p>
            <w:pPr>
              <w:spacing w:after="40" w:before="40" w:line="240" w:lineRule="auto"/>
            </w:pPr>
            <w:r>
              <w:rPr>
                <w:b w:val="0"/>
                <w:i w:val="0"/>
                <w:sz w:val="17"/>
              </w:rPr>
              <w:t>Base plates / anchors / foundations</w:t>
            </w:r>
          </w:p>
        </w:tc>
        <w:tc>
          <w:tcPr>
            <w:tcW w:type="dxa" w:w="3463"/>
            <w:shd w:fill="eef4f6"/>
            <w:vAlign w:val="top"/>
          </w:tcPr>
          <w:p>
            <w:pPr>
              <w:spacing w:after="40" w:before="40" w:line="240" w:lineRule="auto"/>
            </w:pPr>
            <w:r>
              <w:rPr>
                <w:b w:val="0"/>
                <w:i w:val="0"/>
                <w:sz w:val="17"/>
              </w:rPr>
              <w:t>Pinned-base model; aggregate equilibrium output</w:t>
            </w:r>
          </w:p>
        </w:tc>
        <w:tc>
          <w:tcPr>
            <w:tcW w:type="dxa" w:w="3463"/>
            <w:shd w:fill="eef4f6"/>
            <w:vAlign w:val="top"/>
          </w:tcPr>
          <w:p>
            <w:pPr>
              <w:spacing w:after="40" w:before="40" w:line="240" w:lineRule="auto"/>
            </w:pPr>
            <w:r>
              <w:rPr>
                <w:b w:val="0"/>
                <w:i w:val="0"/>
                <w:sz w:val="17"/>
              </w:rPr>
              <w:t>Individual reaction envelopes, anchor and geotechnical design needed</w:t>
            </w:r>
          </w:p>
        </w:tc>
      </w:tr>
    </w:tbl>
    <w:p>
      <w:pPr>
        <w:spacing w:after="40"/>
      </w:pPr>
      <w:r>
        <w:rPr>
          <w:b w:val="0"/>
          <w:i w:val="0"/>
          <w:sz w:val="2"/>
        </w:rPr>
      </w:r>
    </w:p>
    <w:p>
      <w:pPr>
        <w:pStyle w:val="Heading2"/>
      </w:pPr>
      <w:r>
        <w:rPr>
          <w:b w:val="0"/>
          <w:i w:val="0"/>
        </w:rPr>
        <w:t>Connection design method</w:t>
      </w:r>
    </w:p>
    <w:p>
      <w:r>
        <w:rPr>
          <w:b w:val="0"/>
          <w:i w:val="0"/>
          <w:sz w:val="20"/>
        </w:rPr>
        <w:t>Extract the concurrent N, V and M at each joint for every governing case, including reversal. Select a connection arrangement that provides the stiffness/release assumed in the model. Check bolts in shear, tension and interaction; bearing, net section and block shear of connected plates; end-plate bending and prying; weld strength; and column/rafter local effects. An initial moment-couple estimate is T ≈ M/z, but actual bolt-row distribution and prying must be analysed.</w:t>
      </w:r>
    </w:p>
    <w:p>
      <w:r>
        <w:rPr>
          <w:b w:val="0"/>
          <w:i w:val="0"/>
          <w:sz w:val="20"/>
        </w:rPr>
        <w:t>For a pinned base, determine compression bearing, uplift anchorage and shear transfer consistently with the assumed rotational release. Foundation design then checks soil pressure, sliding, overturning, uplift, concrete bending, shear and punching. Site soil data, concrete grade, embedment, anchor grade and base reactions are not supplied; foundation dimensions are therefore not invented.</w:t>
      </w:r>
    </w:p>
    <w:p>
      <w:pPr>
        <w:pStyle w:val="Heading2"/>
      </w:pPr>
      <w:r>
        <w:rPr>
          <w:b w:val="0"/>
          <w:i w:val="0"/>
        </w:rPr>
        <w:t>Steel quantity reported by the model</w:t>
      </w:r>
    </w:p>
    <w:p>
      <w:pPr>
        <w:ind w:left="120" w:right="120"/>
        <w:shd w:fill="EEF4F6"/>
      </w:pPr>
      <w:r>
        <w:rPr>
          <w:b w:val="0"/>
          <w:i w:val="0"/>
          <w:sz w:val="19"/>
        </w:rPr>
        <w:t>Total reported model steel weight = 775.328 kN.</w:t>
        <w:br/>
        <w:t>Equivalent mass using g = 9.81 m/s² ≈ 79.03 tonnes.</w:t>
        <w:br/>
        <w:t>Model mass / plan area ≈ 79,034 / 2,599.2 = 30.41 kg/m².</w:t>
      </w:r>
    </w:p>
    <w:p>
      <w:r>
        <w:rPr>
          <w:b w:val="0"/>
          <w:i w:val="0"/>
          <w:sz w:val="20"/>
        </w:rPr>
        <w:t>This is the weight of the members represented in the model. Main-roof purlins and much of the girt/eave-strut system are accounted for as applied loading rather than explicit steel members. Connections, base plates, stiffeners, coating, sheeting and procurement waste are not established by this take-off. The 15% self-weight load factor is not a measured connection quantity.</w:t>
      </w:r>
    </w:p>
    <w:p>
      <w:pPr>
        <w:ind w:left="120" w:right="120"/>
        <w:shd w:fill="FAF1E9"/>
      </w:pPr>
      <w:r>
        <w:rPr>
          <w:b w:val="0"/>
          <w:i w:val="0"/>
          <w:sz w:val="18"/>
        </w:rPr>
        <w:t>Week 3 deliverable: a traceable member schedule and explanation of design checks across all structural families. The source is insufficient for a complete approved building design; missing checks are identified rather than replaced with invented pass results.</w:t>
      </w:r>
    </w:p>
    <w:p>
      <w:r>
        <w:rPr>
          <w:b w:val="0"/>
          <w:i w:val="0"/>
          <w:sz w:val="15"/>
        </w:rPr>
        <w:t>Source basis: [S2] printed p.58, steel take-off; commands 349–351. Connection design study basis: [S1] pp.54–56 and 67.</w:t>
      </w:r>
    </w:p>
    <w:p>
      <w:r>
        <w:br w:type="page"/>
      </w:r>
    </w:p>
    <w:p>
      <w:r>
        <w:rPr>
          <w:b w:val="0"/>
          <w:i w:val="0"/>
          <w:color w:val="087E8B"/>
          <w:sz w:val="18"/>
        </w:rPr>
        <w:t>WEEK 4 • DRAWING REQUIREMENTS</w:t>
      </w:r>
    </w:p>
    <w:p>
      <w:pPr>
        <w:pStyle w:val="Heading1"/>
      </w:pPr>
      <w:r>
        <w:rPr>
          <w:b w:val="0"/>
          <w:i w:val="0"/>
        </w:rPr>
        <w:t>General notes for design and detailing</w:t>
      </w:r>
    </w:p>
    <w:p>
      <w:r>
        <w:rPr>
          <w:b w:val="0"/>
          <w:i w:val="0"/>
          <w:sz w:val="20"/>
        </w:rPr>
        <w:t>The following notes form a training specification to accompany the study drawings. They translate analysis assumptions into drawing requirements. Final material grades, tolerances, connection sizes and inspection criteria must be assigned by the responsible designer and project specification.</w:t>
      </w:r>
    </w:p>
    <w:tbl>
      <w:tblPr>
        <w:tblW w:type="auto" w:w="0"/>
        <w:jc w:val="center"/>
        <w:tblLayout w:type="fixed"/>
        <w:tblLook w:firstColumn="1" w:firstRow="1" w:lastColumn="0" w:lastRow="0" w:noHBand="0" w:noVBand="1" w:val="04A0"/>
      </w:tblPr>
      <w:tblGrid>
        <w:gridCol w:w="2445"/>
        <w:gridCol w:w="7741"/>
      </w:tblGrid>
      <w:tr>
        <w:trPr>
          <w:cantSplit/>
        </w:trPr>
        <w:tc>
          <w:tcPr>
            <w:tcW w:type="dxa" w:w="2445"/>
            <w:shd w:fill="183247"/>
          </w:tcPr>
          <w:p>
            <w:pPr>
              <w:spacing w:after="40" w:before="40"/>
            </w:pPr>
            <w:r>
              <w:rPr>
                <w:b/>
                <w:i w:val="0"/>
                <w:color w:val="FFFFFF"/>
                <w:sz w:val="17"/>
              </w:rPr>
              <w:t>Topic</w:t>
            </w:r>
          </w:p>
        </w:tc>
        <w:tc>
          <w:tcPr>
            <w:tcW w:type="dxa" w:w="7741"/>
            <w:shd w:fill="183247"/>
          </w:tcPr>
          <w:p>
            <w:pPr>
              <w:spacing w:after="40" w:before="40"/>
            </w:pPr>
            <w:r>
              <w:rPr>
                <w:b/>
                <w:i w:val="0"/>
                <w:color w:val="FFFFFF"/>
                <w:sz w:val="17"/>
              </w:rPr>
              <w:t>General design / detailing note</w:t>
            </w:r>
          </w:p>
        </w:tc>
      </w:tr>
      <w:tr>
        <w:trPr>
          <w:cantSplit/>
        </w:trPr>
        <w:tc>
          <w:tcPr>
            <w:tcW w:type="dxa" w:w="2445"/>
            <w:shd w:fill="eef4f6"/>
            <w:vAlign w:val="top"/>
          </w:tcPr>
          <w:p>
            <w:pPr>
              <w:spacing w:after="40" w:before="40" w:line="240" w:lineRule="auto"/>
            </w:pPr>
            <w:r>
              <w:rPr>
                <w:b w:val="0"/>
                <w:i w:val="0"/>
                <w:sz w:val="17"/>
              </w:rPr>
              <w:t>Units and dimensions</w:t>
            </w:r>
          </w:p>
        </w:tc>
        <w:tc>
          <w:tcPr>
            <w:tcW w:type="dxa" w:w="7741"/>
            <w:shd w:fill="eef4f6"/>
            <w:vAlign w:val="top"/>
          </w:tcPr>
          <w:p>
            <w:pPr>
              <w:spacing w:after="40" w:before="40" w:line="240" w:lineRule="auto"/>
            </w:pPr>
            <w:r>
              <w:rPr>
                <w:b w:val="0"/>
                <w:i w:val="0"/>
                <w:sz w:val="17"/>
              </w:rPr>
              <w:t>All drawing dimensions are in millimetres unless stated. Levels relate to the model base datum. Do not scale drawings. Verify site dimensions and openings before fabrication.</w:t>
            </w:r>
          </w:p>
        </w:tc>
      </w:tr>
      <w:tr>
        <w:trPr>
          <w:cantSplit/>
        </w:trPr>
        <w:tc>
          <w:tcPr>
            <w:tcW w:type="dxa" w:w="2445"/>
            <w:vAlign w:val="top"/>
          </w:tcPr>
          <w:p>
            <w:pPr>
              <w:spacing w:after="40" w:before="40" w:line="240" w:lineRule="auto"/>
            </w:pPr>
            <w:r>
              <w:rPr>
                <w:b w:val="0"/>
                <w:i w:val="0"/>
                <w:sz w:val="17"/>
              </w:rPr>
              <w:t>Material identification</w:t>
            </w:r>
          </w:p>
        </w:tc>
        <w:tc>
          <w:tcPr>
            <w:tcW w:type="dxa" w:w="7741"/>
            <w:vAlign w:val="top"/>
          </w:tcPr>
          <w:p>
            <w:pPr>
              <w:spacing w:after="40" w:before="40" w:line="240" w:lineRule="auto"/>
            </w:pPr>
            <w:r>
              <w:rPr>
                <w:b w:val="0"/>
                <w:i w:val="0"/>
                <w:sz w:val="17"/>
              </w:rPr>
              <w:t>Primary member design values are fy = 345 MPa and fu = 490 MPa; SHS and rod values differ. Specify the actual product grade, thickness-dependent strength and certificates in procurement documents.</w:t>
            </w:r>
          </w:p>
        </w:tc>
      </w:tr>
      <w:tr>
        <w:trPr>
          <w:cantSplit/>
        </w:trPr>
        <w:tc>
          <w:tcPr>
            <w:tcW w:type="dxa" w:w="2445"/>
            <w:shd w:fill="eef4f6"/>
            <w:vAlign w:val="top"/>
          </w:tcPr>
          <w:p>
            <w:pPr>
              <w:spacing w:after="40" w:before="40" w:line="240" w:lineRule="auto"/>
            </w:pPr>
            <w:r>
              <w:rPr>
                <w:b w:val="0"/>
                <w:i w:val="0"/>
                <w:sz w:val="17"/>
              </w:rPr>
              <w:t>Built-up members</w:t>
            </w:r>
          </w:p>
        </w:tc>
        <w:tc>
          <w:tcPr>
            <w:tcW w:type="dxa" w:w="7741"/>
            <w:shd w:fill="eef4f6"/>
            <w:vAlign w:val="top"/>
          </w:tcPr>
          <w:p>
            <w:pPr>
              <w:spacing w:after="40" w:before="40" w:line="240" w:lineRule="auto"/>
            </w:pPr>
            <w:r>
              <w:rPr>
                <w:b w:val="0"/>
                <w:i w:val="0"/>
                <w:sz w:val="17"/>
              </w:rPr>
              <w:t>Show flange/web thicknesses, taper direction, plate joints, weld symbols and stiffeners. Analytical division points do not automatically represent physical splices.</w:t>
            </w:r>
          </w:p>
        </w:tc>
      </w:tr>
      <w:tr>
        <w:trPr>
          <w:cantSplit/>
        </w:trPr>
        <w:tc>
          <w:tcPr>
            <w:tcW w:type="dxa" w:w="2445"/>
            <w:vAlign w:val="top"/>
          </w:tcPr>
          <w:p>
            <w:pPr>
              <w:spacing w:after="40" w:before="40" w:line="240" w:lineRule="auto"/>
            </w:pPr>
            <w:r>
              <w:rPr>
                <w:b w:val="0"/>
                <w:i w:val="0"/>
                <w:sz w:val="17"/>
              </w:rPr>
              <w:t>Connections</w:t>
            </w:r>
          </w:p>
        </w:tc>
        <w:tc>
          <w:tcPr>
            <w:tcW w:type="dxa" w:w="7741"/>
            <w:vAlign w:val="top"/>
          </w:tcPr>
          <w:p>
            <w:pPr>
              <w:spacing w:after="40" w:before="40" w:line="240" w:lineRule="auto"/>
            </w:pPr>
            <w:r>
              <w:rPr>
                <w:b w:val="0"/>
                <w:i w:val="0"/>
                <w:sz w:val="17"/>
              </w:rPr>
              <w:t>Specify bolt grade, diameter, hole type, spacing, edge distances and tightening method. Show end plates, cleats, gussets, base plates and anchor projections with design references.</w:t>
            </w:r>
          </w:p>
        </w:tc>
      </w:tr>
      <w:tr>
        <w:trPr>
          <w:cantSplit/>
        </w:trPr>
        <w:tc>
          <w:tcPr>
            <w:tcW w:type="dxa" w:w="2445"/>
            <w:shd w:fill="eef4f6"/>
            <w:vAlign w:val="top"/>
          </w:tcPr>
          <w:p>
            <w:pPr>
              <w:spacing w:after="40" w:before="40" w:line="240" w:lineRule="auto"/>
            </w:pPr>
            <w:r>
              <w:rPr>
                <w:b w:val="0"/>
                <w:i w:val="0"/>
                <w:sz w:val="17"/>
              </w:rPr>
              <w:t>Welds and fabrication</w:t>
            </w:r>
          </w:p>
        </w:tc>
        <w:tc>
          <w:tcPr>
            <w:tcW w:type="dxa" w:w="7741"/>
            <w:shd w:fill="eef4f6"/>
            <w:vAlign w:val="top"/>
          </w:tcPr>
          <w:p>
            <w:pPr>
              <w:spacing w:after="40" w:before="40" w:line="240" w:lineRule="auto"/>
            </w:pPr>
            <w:r>
              <w:rPr>
                <w:b w:val="0"/>
                <w:i w:val="0"/>
                <w:sz w:val="17"/>
              </w:rPr>
              <w:t>Show weld type, size, effective length and required continuity. Use approved welding procedures; inspect as required by the project quality plan. Do not prescribe unverified weld sizes from this report.</w:t>
            </w:r>
          </w:p>
        </w:tc>
      </w:tr>
      <w:tr>
        <w:trPr>
          <w:cantSplit/>
        </w:trPr>
        <w:tc>
          <w:tcPr>
            <w:tcW w:type="dxa" w:w="2445"/>
            <w:vAlign w:val="top"/>
          </w:tcPr>
          <w:p>
            <w:pPr>
              <w:spacing w:after="40" w:before="40" w:line="240" w:lineRule="auto"/>
            </w:pPr>
            <w:r>
              <w:rPr>
                <w:b w:val="0"/>
                <w:i w:val="0"/>
                <w:sz w:val="17"/>
              </w:rPr>
              <w:t>Lateral restraint</w:t>
            </w:r>
          </w:p>
        </w:tc>
        <w:tc>
          <w:tcPr>
            <w:tcW w:type="dxa" w:w="7741"/>
            <w:vAlign w:val="top"/>
          </w:tcPr>
          <w:p>
            <w:pPr>
              <w:spacing w:after="40" w:before="40" w:line="240" w:lineRule="auto"/>
            </w:pPr>
            <w:r>
              <w:rPr>
                <w:b w:val="0"/>
                <w:i w:val="0"/>
                <w:sz w:val="17"/>
              </w:rPr>
              <w:t>Locate purlin/girt attachments, flange stays, sag rods and braces explicitly. Verify the compression-flange restraint under gravity and uplift. A 1.5 m software length requires a corresponding physical restraint system.</w:t>
            </w:r>
          </w:p>
        </w:tc>
      </w:tr>
      <w:tr>
        <w:trPr>
          <w:cantSplit/>
        </w:trPr>
        <w:tc>
          <w:tcPr>
            <w:tcW w:type="dxa" w:w="2445"/>
            <w:shd w:fill="eef4f6"/>
            <w:vAlign w:val="top"/>
          </w:tcPr>
          <w:p>
            <w:pPr>
              <w:spacing w:after="40" w:before="40" w:line="240" w:lineRule="auto"/>
            </w:pPr>
            <w:r>
              <w:rPr>
                <w:b w:val="0"/>
                <w:i w:val="0"/>
                <w:sz w:val="17"/>
              </w:rPr>
              <w:t>Bracing and erection</w:t>
            </w:r>
          </w:p>
        </w:tc>
        <w:tc>
          <w:tcPr>
            <w:tcW w:type="dxa" w:w="7741"/>
            <w:shd w:fill="eef4f6"/>
            <w:vAlign w:val="top"/>
          </w:tcPr>
          <w:p>
            <w:pPr>
              <w:spacing w:after="40" w:before="40" w:line="240" w:lineRule="auto"/>
            </w:pPr>
            <w:r>
              <w:rPr>
                <w:b w:val="0"/>
                <w:i w:val="0"/>
                <w:sz w:val="17"/>
              </w:rPr>
              <w:t>Identify permanent braced bays and connections. Provide a planned erection sequence and temporary stability system; do not assume partially assembled frames are stable.</w:t>
            </w:r>
          </w:p>
        </w:tc>
      </w:tr>
      <w:tr>
        <w:trPr>
          <w:cantSplit/>
        </w:trPr>
        <w:tc>
          <w:tcPr>
            <w:tcW w:type="dxa" w:w="2445"/>
            <w:vAlign w:val="top"/>
          </w:tcPr>
          <w:p>
            <w:pPr>
              <w:spacing w:after="40" w:before="40" w:line="240" w:lineRule="auto"/>
            </w:pPr>
            <w:r>
              <w:rPr>
                <w:b w:val="0"/>
                <w:i w:val="0"/>
                <w:sz w:val="17"/>
              </w:rPr>
              <w:t>Base and civil interface</w:t>
            </w:r>
          </w:p>
        </w:tc>
        <w:tc>
          <w:tcPr>
            <w:tcW w:type="dxa" w:w="7741"/>
            <w:vAlign w:val="top"/>
          </w:tcPr>
          <w:p>
            <w:pPr>
              <w:spacing w:after="40" w:before="40" w:line="240" w:lineRule="auto"/>
            </w:pPr>
            <w:r>
              <w:rPr>
                <w:b w:val="0"/>
                <w:i w:val="0"/>
                <w:sz w:val="17"/>
              </w:rPr>
              <w:t>Coordinate anchors, pedestal levels, grout, base rotation assumptions and foundation reactions. Model pins do not remove uplift or horizontal shear demand.</w:t>
            </w:r>
          </w:p>
        </w:tc>
      </w:tr>
      <w:tr>
        <w:trPr>
          <w:cantSplit/>
        </w:trPr>
        <w:tc>
          <w:tcPr>
            <w:tcW w:type="dxa" w:w="2445"/>
            <w:shd w:fill="eef4f6"/>
            <w:vAlign w:val="top"/>
          </w:tcPr>
          <w:p>
            <w:pPr>
              <w:spacing w:after="40" w:before="40" w:line="240" w:lineRule="auto"/>
            </w:pPr>
            <w:r>
              <w:rPr>
                <w:b w:val="0"/>
                <w:i w:val="0"/>
                <w:sz w:val="17"/>
              </w:rPr>
              <w:t>Cladding and drainage</w:t>
            </w:r>
          </w:p>
        </w:tc>
        <w:tc>
          <w:tcPr>
            <w:tcW w:type="dxa" w:w="7741"/>
            <w:shd w:fill="eef4f6"/>
            <w:vAlign w:val="top"/>
          </w:tcPr>
          <w:p>
            <w:pPr>
              <w:spacing w:after="40" w:before="40" w:line="240" w:lineRule="auto"/>
            </w:pPr>
            <w:r>
              <w:rPr>
                <w:b w:val="0"/>
                <w:i w:val="0"/>
                <w:sz w:val="17"/>
              </w:rPr>
              <w:t>Coordinate sheet laps, screws, flashings, gutters and downpipes. Check local suction zones, openings and water accumulation; prevent incompatible restraint at expansion interfaces.</w:t>
            </w:r>
          </w:p>
        </w:tc>
      </w:tr>
      <w:tr>
        <w:trPr>
          <w:cantSplit/>
        </w:trPr>
        <w:tc>
          <w:tcPr>
            <w:tcW w:type="dxa" w:w="2445"/>
            <w:vAlign w:val="top"/>
          </w:tcPr>
          <w:p>
            <w:pPr>
              <w:spacing w:after="40" w:before="40" w:line="240" w:lineRule="auto"/>
            </w:pPr>
            <w:r>
              <w:rPr>
                <w:b w:val="0"/>
                <w:i w:val="0"/>
                <w:sz w:val="17"/>
              </w:rPr>
              <w:t>Durability and maintenance</w:t>
            </w:r>
          </w:p>
        </w:tc>
        <w:tc>
          <w:tcPr>
            <w:tcW w:type="dxa" w:w="7741"/>
            <w:vAlign w:val="top"/>
          </w:tcPr>
          <w:p>
            <w:pPr>
              <w:spacing w:after="40" w:before="40" w:line="240" w:lineRule="auto"/>
            </w:pPr>
            <w:r>
              <w:rPr>
                <w:b w:val="0"/>
                <w:i w:val="0"/>
                <w:sz w:val="17"/>
              </w:rPr>
              <w:t>Define preparation, coating/galvanizing and touch-up requirements for the exposure. Avoid water traps and inaccessible unprotected joints; coordinate fire protection where required.</w:t>
            </w:r>
          </w:p>
        </w:tc>
      </w:tr>
    </w:tbl>
    <w:p>
      <w:pPr>
        <w:spacing w:after="40"/>
      </w:pPr>
      <w:r>
        <w:rPr>
          <w:b w:val="0"/>
          <w:i w:val="0"/>
          <w:sz w:val="2"/>
        </w:rPr>
      </w:r>
    </w:p>
    <w:p>
      <w:pPr>
        <w:pStyle w:val="Heading2"/>
      </w:pPr>
      <w:r>
        <w:rPr>
          <w:b w:val="0"/>
          <w:i w:val="0"/>
        </w:rPr>
        <w:t>Drawing register</w:t>
      </w:r>
    </w:p>
    <w:tbl>
      <w:tblPr>
        <w:tblW w:type="auto" w:w="0"/>
        <w:jc w:val="center"/>
        <w:tblLayout w:type="fixed"/>
        <w:tblLook w:firstColumn="1" w:firstRow="1" w:lastColumn="0" w:lastRow="0" w:noHBand="0" w:noVBand="1" w:val="04A0"/>
      </w:tblPr>
      <w:tblGrid>
        <w:gridCol w:w="2546"/>
        <w:gridCol w:w="1528"/>
        <w:gridCol w:w="6111"/>
      </w:tblGrid>
      <w:tr>
        <w:trPr>
          <w:cantSplit/>
        </w:trPr>
        <w:tc>
          <w:tcPr>
            <w:tcW w:type="dxa" w:w="2546"/>
            <w:shd w:fill="183247"/>
          </w:tcPr>
          <w:p>
            <w:pPr>
              <w:spacing w:after="40" w:before="40"/>
            </w:pPr>
            <w:r>
              <w:rPr>
                <w:b/>
                <w:i w:val="0"/>
                <w:color w:val="FFFFFF"/>
                <w:sz w:val="17"/>
              </w:rPr>
              <w:t>Sheet</w:t>
            </w:r>
          </w:p>
        </w:tc>
        <w:tc>
          <w:tcPr>
            <w:tcW w:type="dxa" w:w="1528"/>
            <w:shd w:fill="183247"/>
          </w:tcPr>
          <w:p>
            <w:pPr>
              <w:spacing w:after="40" w:before="40"/>
            </w:pPr>
            <w:r>
              <w:rPr>
                <w:b/>
                <w:i w:val="0"/>
                <w:color w:val="FFFFFF"/>
                <w:sz w:val="17"/>
              </w:rPr>
              <w:t>Report page</w:t>
            </w:r>
          </w:p>
        </w:tc>
        <w:tc>
          <w:tcPr>
            <w:tcW w:type="dxa" w:w="6111"/>
            <w:shd w:fill="183247"/>
          </w:tcPr>
          <w:p>
            <w:pPr>
              <w:spacing w:after="40" w:before="40"/>
            </w:pPr>
            <w:r>
              <w:rPr>
                <w:b/>
                <w:i w:val="0"/>
                <w:color w:val="FFFFFF"/>
                <w:sz w:val="17"/>
              </w:rPr>
              <w:t>Contents / issue status</w:t>
            </w:r>
          </w:p>
        </w:tc>
      </w:tr>
      <w:tr>
        <w:trPr>
          <w:cantSplit/>
        </w:trPr>
        <w:tc>
          <w:tcPr>
            <w:tcW w:type="dxa" w:w="2546"/>
            <w:shd w:fill="eef4f6"/>
            <w:vAlign w:val="top"/>
          </w:tcPr>
          <w:p>
            <w:pPr>
              <w:spacing w:after="40" w:before="40" w:line="240" w:lineRule="auto"/>
            </w:pPr>
            <w:r>
              <w:rPr>
                <w:b w:val="0"/>
                <w:i w:val="0"/>
                <w:sz w:val="17"/>
              </w:rPr>
              <w:t>GA-01 / GA-02</w:t>
            </w:r>
          </w:p>
        </w:tc>
        <w:tc>
          <w:tcPr>
            <w:tcW w:type="dxa" w:w="1528"/>
            <w:shd w:fill="eef4f6"/>
            <w:vAlign w:val="top"/>
          </w:tcPr>
          <w:p>
            <w:pPr>
              <w:spacing w:after="40" w:before="40" w:line="240" w:lineRule="auto"/>
            </w:pPr>
            <w:r>
              <w:rPr>
                <w:b w:val="0"/>
                <w:i w:val="0"/>
                <w:sz w:val="17"/>
              </w:rPr>
              <w:t>17</w:t>
            </w:r>
          </w:p>
        </w:tc>
        <w:tc>
          <w:tcPr>
            <w:tcW w:type="dxa" w:w="6111"/>
            <w:shd w:fill="eef4f6"/>
            <w:vAlign w:val="top"/>
          </w:tcPr>
          <w:p>
            <w:pPr>
              <w:spacing w:after="40" w:before="40" w:line="240" w:lineRule="auto"/>
            </w:pPr>
            <w:r>
              <w:rPr>
                <w:b w:val="0"/>
                <w:i w:val="0"/>
                <w:sz w:val="17"/>
              </w:rPr>
              <w:t>Column/roof arrangement and transverse elevation — training geometry</w:t>
            </w:r>
          </w:p>
        </w:tc>
      </w:tr>
      <w:tr>
        <w:trPr>
          <w:cantSplit/>
        </w:trPr>
        <w:tc>
          <w:tcPr>
            <w:tcW w:type="dxa" w:w="2546"/>
            <w:vAlign w:val="top"/>
          </w:tcPr>
          <w:p>
            <w:pPr>
              <w:spacing w:after="40" w:before="40" w:line="240" w:lineRule="auto"/>
            </w:pPr>
            <w:r>
              <w:rPr>
                <w:b w:val="0"/>
                <w:i w:val="0"/>
                <w:sz w:val="17"/>
              </w:rPr>
              <w:t>D-01 to D-04</w:t>
            </w:r>
          </w:p>
        </w:tc>
        <w:tc>
          <w:tcPr>
            <w:tcW w:type="dxa" w:w="1528"/>
            <w:vAlign w:val="top"/>
          </w:tcPr>
          <w:p>
            <w:pPr>
              <w:spacing w:after="40" w:before="40" w:line="240" w:lineRule="auto"/>
            </w:pPr>
            <w:r>
              <w:rPr>
                <w:b w:val="0"/>
                <w:i w:val="0"/>
                <w:sz w:val="17"/>
              </w:rPr>
              <w:t>18</w:t>
            </w:r>
          </w:p>
        </w:tc>
        <w:tc>
          <w:tcPr>
            <w:tcW w:type="dxa" w:w="6111"/>
            <w:vAlign w:val="top"/>
          </w:tcPr>
          <w:p>
            <w:pPr>
              <w:spacing w:after="40" w:before="40" w:line="240" w:lineRule="auto"/>
            </w:pPr>
            <w:r>
              <w:rPr>
                <w:b w:val="0"/>
                <w:i w:val="0"/>
                <w:sz w:val="17"/>
              </w:rPr>
              <w:t>Primary profiles and secondary sections — analytical sizes</w:t>
            </w:r>
          </w:p>
        </w:tc>
      </w:tr>
      <w:tr>
        <w:trPr>
          <w:cantSplit/>
        </w:trPr>
        <w:tc>
          <w:tcPr>
            <w:tcW w:type="dxa" w:w="2546"/>
            <w:shd w:fill="eef4f6"/>
            <w:vAlign w:val="top"/>
          </w:tcPr>
          <w:p>
            <w:pPr>
              <w:spacing w:after="40" w:before="40" w:line="240" w:lineRule="auto"/>
            </w:pPr>
            <w:r>
              <w:rPr>
                <w:b w:val="0"/>
                <w:i w:val="0"/>
                <w:sz w:val="17"/>
              </w:rPr>
              <w:t>C-01 to C-04</w:t>
            </w:r>
          </w:p>
        </w:tc>
        <w:tc>
          <w:tcPr>
            <w:tcW w:type="dxa" w:w="1528"/>
            <w:shd w:fill="eef4f6"/>
            <w:vAlign w:val="top"/>
          </w:tcPr>
          <w:p>
            <w:pPr>
              <w:spacing w:after="40" w:before="40" w:line="240" w:lineRule="auto"/>
            </w:pPr>
            <w:r>
              <w:rPr>
                <w:b w:val="0"/>
                <w:i w:val="0"/>
                <w:sz w:val="17"/>
              </w:rPr>
              <w:t>19</w:t>
            </w:r>
          </w:p>
        </w:tc>
        <w:tc>
          <w:tcPr>
            <w:tcW w:type="dxa" w:w="6111"/>
            <w:shd w:fill="eef4f6"/>
            <w:vAlign w:val="top"/>
          </w:tcPr>
          <w:p>
            <w:pPr>
              <w:spacing w:after="40" w:before="40" w:line="240" w:lineRule="auto"/>
            </w:pPr>
            <w:r>
              <w:rPr>
                <w:b w:val="0"/>
                <w:i w:val="0"/>
                <w:sz w:val="17"/>
              </w:rPr>
              <w:t>Base, knee, ridge and bracing/cleat connections — schematic design intent</w:t>
            </w:r>
          </w:p>
        </w:tc>
      </w:tr>
    </w:tbl>
    <w:p>
      <w:pPr>
        <w:spacing w:after="40"/>
      </w:pPr>
      <w:r>
        <w:rPr>
          <w:b w:val="0"/>
          <w:i w:val="0"/>
          <w:sz w:val="2"/>
        </w:rPr>
      </w:r>
    </w:p>
    <w:p>
      <w:pPr>
        <w:ind w:left="120" w:right="120"/>
        <w:shd w:fill="FAF1E9"/>
      </w:pPr>
      <w:r>
        <w:rPr>
          <w:b w:val="0"/>
          <w:i w:val="0"/>
          <w:sz w:val="18"/>
        </w:rPr>
        <w:t>No approved fabrication drawings were supplied. Pages 17–19 are newly prepared study drawings. They include source dimensions where available and retain design-dependent connection dimensions as variables.</w:t>
      </w:r>
    </w:p>
    <w:p>
      <w:r>
        <w:rPr>
          <w:b w:val="0"/>
          <w:i w:val="0"/>
          <w:sz w:val="15"/>
        </w:rPr>
        <w:t>Source basis: Drawing requirements developed from [S1]/[S2] and the general design/fabrication scope in [R1].</w:t>
      </w:r>
    </w:p>
    <w:p>
      <w:r>
        <w:br w:type="page"/>
      </w:r>
    </w:p>
    <w:p>
      <w:r>
        <w:rPr>
          <w:b w:val="0"/>
          <w:i w:val="0"/>
          <w:color w:val="087E8B"/>
          <w:sz w:val="18"/>
        </w:rPr>
        <w:t>WEEK 4 • STUDY DRAWINGS — GA-01 / GA-02</w:t>
      </w:r>
    </w:p>
    <w:p>
      <w:pPr>
        <w:pStyle w:val="Heading1"/>
      </w:pPr>
      <w:r>
        <w:rPr>
          <w:b w:val="0"/>
          <w:i w:val="0"/>
        </w:rPr>
        <w:t>General arrangement and frame elevation</w:t>
      </w:r>
    </w:p>
    <w:p>
      <w:pPr>
        <w:spacing w:after="60"/>
        <w:jc w:val="center"/>
      </w:pPr>
      <w:r>
        <w:drawing>
          <wp:inline xmlns:a="http://schemas.openxmlformats.org/drawingml/2006/main" xmlns:pic="http://schemas.openxmlformats.org/drawingml/2006/picture">
            <wp:extent cx="6236716" cy="6500811"/>
            <wp:docPr id="5" name="Picture 5"/>
            <wp:cNvGraphicFramePr>
              <a:graphicFrameLocks noChangeAspect="1"/>
            </wp:cNvGraphicFramePr>
            <a:graphic>
              <a:graphicData uri="http://schemas.openxmlformats.org/drawingml/2006/picture">
                <pic:pic>
                  <pic:nvPicPr>
                    <pic:cNvPr id="0" name="ga.png"/>
                    <pic:cNvPicPr/>
                  </pic:nvPicPr>
                  <pic:blipFill>
                    <a:blip r:embed="rId14"/>
                    <a:stretch>
                      <a:fillRect/>
                    </a:stretch>
                  </pic:blipFill>
                  <pic:spPr>
                    <a:xfrm>
                      <a:off x="0" y="0"/>
                      <a:ext cx="6236716" cy="6500811"/>
                    </a:xfrm>
                    <a:prstGeom prst="rect"/>
                  </pic:spPr>
                </pic:pic>
              </a:graphicData>
            </a:graphic>
          </wp:inline>
        </w:drawing>
      </w:r>
    </w:p>
    <w:p>
      <w:r>
        <w:rPr>
          <w:b w:val="0"/>
          <w:i w:val="0"/>
          <w:sz w:val="16"/>
        </w:rPr>
        <w:t>Figure 4. Dimensioned arrangement reconstructed from the ANL. Roof bracing is shown in the first, central and last braced bays. Three canopy zones are on the X = 0 side. NTS; dimensions in mm.</w:t>
      </w:r>
    </w:p>
    <w:p>
      <w:r>
        <w:rPr>
          <w:b w:val="0"/>
          <w:i w:val="0"/>
          <w:sz w:val="19"/>
        </w:rPr>
        <w:t>Main column lines are at X = 0, 18,000 and 36,000. Interior ridge columns occur at Z = 8,100 through 64,100. Gable-end posts fill the 6,000 mm transverse intervals. Side-wall bracing is also modelled in the corresponding braced bays, with wall segmentation at 6,000 mm height. Column intermediate nodes occur at 3,000 and 6,000 mm.</w:t>
      </w:r>
    </w:p>
    <w:p>
      <w:pPr>
        <w:ind w:left="120" w:right="120"/>
        <w:shd w:fill="FAF1E9"/>
      </w:pPr>
      <w:r>
        <w:rPr>
          <w:b w:val="0"/>
          <w:i w:val="0"/>
          <w:sz w:val="17"/>
        </w:rPr>
        <w:t>The 9,500 mm clear-height requirement is architectural; verify clearance below haunches and services separately from the 10,000 mm analytical eave node. Model centre lines do not define cladding faces, foundations or fabrication offsets.</w:t>
      </w:r>
    </w:p>
    <w:p>
      <w:r>
        <w:rPr>
          <w:b w:val="0"/>
          <w:i w:val="0"/>
          <w:sz w:val="15"/>
        </w:rPr>
        <w:t>Source basis: [S2] commands 8–94. Frame grid letters are report labels introduced for readability.</w:t>
      </w:r>
    </w:p>
    <w:p>
      <w:r>
        <w:br w:type="page"/>
      </w:r>
    </w:p>
    <w:p>
      <w:r>
        <w:rPr>
          <w:b w:val="0"/>
          <w:i w:val="0"/>
          <w:color w:val="087E8B"/>
          <w:sz w:val="18"/>
        </w:rPr>
        <w:t>WEEK 4 • STUDY DRAWINGS — D-01 TO D-04</w:t>
      </w:r>
    </w:p>
    <w:p>
      <w:pPr>
        <w:pStyle w:val="Heading1"/>
      </w:pPr>
      <w:r>
        <w:rPr>
          <w:b w:val="0"/>
          <w:i w:val="0"/>
        </w:rPr>
        <w:t>Member profiles and section details</w:t>
      </w:r>
    </w:p>
    <w:p>
      <w:pPr>
        <w:spacing w:after="60"/>
        <w:jc w:val="center"/>
      </w:pPr>
      <w:r>
        <w:drawing>
          <wp:inline xmlns:a="http://schemas.openxmlformats.org/drawingml/2006/main" xmlns:pic="http://schemas.openxmlformats.org/drawingml/2006/picture">
            <wp:extent cx="6109411" cy="5670550"/>
            <wp:docPr id="6" name="Picture 6"/>
            <wp:cNvGraphicFramePr>
              <a:graphicFrameLocks noChangeAspect="1"/>
            </wp:cNvGraphicFramePr>
            <a:graphic>
              <a:graphicData uri="http://schemas.openxmlformats.org/drawingml/2006/picture">
                <pic:pic>
                  <pic:nvPicPr>
                    <pic:cNvPr id="0" name="sections.png"/>
                    <pic:cNvPicPr/>
                  </pic:nvPicPr>
                  <pic:blipFill>
                    <a:blip r:embed="rId15"/>
                    <a:stretch>
                      <a:fillRect/>
                    </a:stretch>
                  </pic:blipFill>
                  <pic:spPr>
                    <a:xfrm>
                      <a:off x="0" y="0"/>
                      <a:ext cx="6109411" cy="5670550"/>
                    </a:xfrm>
                    <a:prstGeom prst="rect"/>
                  </pic:spPr>
                </pic:pic>
              </a:graphicData>
            </a:graphic>
          </wp:inline>
        </w:drawing>
      </w:r>
    </w:p>
    <w:p>
      <w:r>
        <w:rPr>
          <w:b w:val="0"/>
          <w:i w:val="0"/>
          <w:sz w:val="15"/>
        </w:rPr>
        <w:t>Figure 5. Primary-member profiles and secondary-section concepts. Taper direction follows the representative model member orientation; section depths are exaggerated where needed for legibility.</w:t>
      </w:r>
    </w:p>
    <w:tbl>
      <w:tblPr>
        <w:tblW w:type="auto" w:w="0"/>
        <w:jc w:val="center"/>
        <w:tblLayout w:type="fixed"/>
        <w:tblLook w:firstColumn="1" w:firstRow="1" w:lastColumn="0" w:lastRow="0" w:noHBand="0" w:noVBand="1" w:val="04A0"/>
      </w:tblPr>
      <w:tblGrid>
        <w:gridCol w:w="3158"/>
        <w:gridCol w:w="7028"/>
      </w:tblGrid>
      <w:tr>
        <w:trPr>
          <w:cantSplit/>
        </w:trPr>
        <w:tc>
          <w:tcPr>
            <w:tcW w:type="dxa" w:w="3158"/>
            <w:shd w:fill="183247"/>
          </w:tcPr>
          <w:p>
            <w:pPr>
              <w:spacing w:after="40" w:before="40"/>
            </w:pPr>
            <w:r>
              <w:rPr>
                <w:b/>
                <w:i w:val="0"/>
                <w:color w:val="FFFFFF"/>
                <w:sz w:val="16"/>
              </w:rPr>
              <w:t>Additional member detail</w:t>
            </w:r>
          </w:p>
        </w:tc>
        <w:tc>
          <w:tcPr>
            <w:tcW w:type="dxa" w:w="7028"/>
            <w:shd w:fill="183247"/>
          </w:tcPr>
          <w:p>
            <w:pPr>
              <w:spacing w:after="40" w:before="40"/>
            </w:pPr>
            <w:r>
              <w:rPr>
                <w:b/>
                <w:i w:val="0"/>
                <w:color w:val="FFFFFF"/>
                <w:sz w:val="16"/>
              </w:rPr>
              <w:t>Size / detailing action</w:t>
            </w:r>
          </w:p>
        </w:tc>
      </w:tr>
      <w:tr>
        <w:trPr>
          <w:cantSplit/>
        </w:trPr>
        <w:tc>
          <w:tcPr>
            <w:tcW w:type="dxa" w:w="3158"/>
            <w:shd w:fill="eef4f6"/>
            <w:vAlign w:val="top"/>
          </w:tcPr>
          <w:p>
            <w:pPr>
              <w:spacing w:after="40" w:before="40" w:line="240" w:lineRule="auto"/>
            </w:pPr>
            <w:r>
              <w:rPr>
                <w:b w:val="0"/>
                <w:i w:val="0"/>
                <w:sz w:val="16"/>
              </w:rPr>
              <w:t>Gable posts</w:t>
            </w:r>
          </w:p>
        </w:tc>
        <w:tc>
          <w:tcPr>
            <w:tcW w:type="dxa" w:w="7028"/>
            <w:shd w:fill="eef4f6"/>
            <w:vAlign w:val="top"/>
          </w:tcPr>
          <w:p>
            <w:pPr>
              <w:spacing w:after="40" w:before="40" w:line="240" w:lineRule="auto"/>
            </w:pPr>
            <w:r>
              <w:rPr>
                <w:b w:val="0"/>
                <w:i w:val="0"/>
                <w:sz w:val="16"/>
              </w:rPr>
              <w:t>D 420; b 200; tf 10; tw 6 mm. Show BETA-90 section orientation and the released roof connection.</w:t>
            </w:r>
          </w:p>
        </w:tc>
      </w:tr>
      <w:tr>
        <w:trPr>
          <w:cantSplit/>
        </w:trPr>
        <w:tc>
          <w:tcPr>
            <w:tcW w:type="dxa" w:w="3158"/>
            <w:vAlign w:val="top"/>
          </w:tcPr>
          <w:p>
            <w:pPr>
              <w:spacing w:after="40" w:before="40" w:line="240" w:lineRule="auto"/>
            </w:pPr>
            <w:r>
              <w:rPr>
                <w:b w:val="0"/>
                <w:i w:val="0"/>
                <w:sz w:val="16"/>
              </w:rPr>
              <w:t>End-frame rafters</w:t>
            </w:r>
          </w:p>
        </w:tc>
        <w:tc>
          <w:tcPr>
            <w:tcW w:type="dxa" w:w="7028"/>
            <w:vAlign w:val="top"/>
          </w:tcPr>
          <w:p>
            <w:pPr>
              <w:spacing w:after="40" w:before="40" w:line="240" w:lineRule="auto"/>
            </w:pPr>
            <w:r>
              <w:rPr>
                <w:b w:val="0"/>
                <w:i w:val="0"/>
                <w:sz w:val="16"/>
              </w:rPr>
              <w:t>D 524 → 424 or constant 424; b 200; tf 12; tw 5 mm. Confirm piece marks and splice positions.</w:t>
            </w:r>
          </w:p>
        </w:tc>
      </w:tr>
      <w:tr>
        <w:trPr>
          <w:cantSplit/>
        </w:trPr>
        <w:tc>
          <w:tcPr>
            <w:tcW w:type="dxa" w:w="3158"/>
            <w:shd w:fill="eef4f6"/>
            <w:vAlign w:val="top"/>
          </w:tcPr>
          <w:p>
            <w:pPr>
              <w:spacing w:after="40" w:before="40" w:line="240" w:lineRule="auto"/>
            </w:pPr>
            <w:r>
              <w:rPr>
                <w:b w:val="0"/>
                <w:i w:val="0"/>
                <w:sz w:val="16"/>
              </w:rPr>
              <w:t>Canopy beams</w:t>
            </w:r>
          </w:p>
        </w:tc>
        <w:tc>
          <w:tcPr>
            <w:tcW w:type="dxa" w:w="7028"/>
            <w:shd w:fill="eef4f6"/>
            <w:vAlign w:val="top"/>
          </w:tcPr>
          <w:p>
            <w:pPr>
              <w:spacing w:after="40" w:before="40" w:line="240" w:lineRule="auto"/>
            </w:pPr>
            <w:r>
              <w:rPr>
                <w:b w:val="0"/>
                <w:i w:val="0"/>
                <w:sz w:val="16"/>
              </w:rPr>
              <w:t>D 316; b 150; tf 8; tw 5 mm. Projection 3,000; fall 250; check cantilever root connection.</w:t>
            </w:r>
          </w:p>
        </w:tc>
      </w:tr>
      <w:tr>
        <w:trPr>
          <w:cantSplit/>
        </w:trPr>
        <w:tc>
          <w:tcPr>
            <w:tcW w:type="dxa" w:w="3158"/>
            <w:vAlign w:val="top"/>
          </w:tcPr>
          <w:p>
            <w:pPr>
              <w:spacing w:after="40" w:before="40" w:line="240" w:lineRule="auto"/>
            </w:pPr>
            <w:r>
              <w:rPr>
                <w:b w:val="0"/>
                <w:i w:val="0"/>
                <w:sz w:val="16"/>
              </w:rPr>
              <w:t>Secondary-member details</w:t>
            </w:r>
          </w:p>
        </w:tc>
        <w:tc>
          <w:tcPr>
            <w:tcW w:type="dxa" w:w="7028"/>
            <w:vAlign w:val="top"/>
          </w:tcPr>
          <w:p>
            <w:pPr>
              <w:spacing w:after="40" w:before="40" w:line="240" w:lineRule="auto"/>
            </w:pPr>
            <w:r>
              <w:rPr>
                <w:b w:val="0"/>
                <w:i w:val="0"/>
                <w:sz w:val="16"/>
              </w:rPr>
              <w:t>Main purlin/girt assumptions are on p.14. Show actual lip dimensions, laps, cleats, sag rods and flange stays after design.</w:t>
            </w:r>
          </w:p>
        </w:tc>
      </w:tr>
    </w:tbl>
    <w:p>
      <w:pPr>
        <w:spacing w:after="40"/>
      </w:pPr>
      <w:r>
        <w:rPr>
          <w:b w:val="0"/>
          <w:i w:val="0"/>
          <w:sz w:val="2"/>
        </w:rPr>
      </w:r>
    </w:p>
    <w:p>
      <w:pPr>
        <w:ind w:left="120" w:right="120"/>
        <w:shd w:fill="FAF1E9"/>
      </w:pPr>
      <w:r>
        <w:rPr>
          <w:b w:val="0"/>
          <w:i w:val="0"/>
          <w:sz w:val="17"/>
        </w:rPr>
        <w:t>Dimension key: D = overall depth; b = flange width; tf = flange thickness; tw = web thickness. Final fabrication drawings must add plate lengths, bevels, welds, stiffeners, holes and approved connection dimensions.</w:t>
      </w:r>
    </w:p>
    <w:p>
      <w:r>
        <w:rPr>
          <w:b w:val="0"/>
          <w:i w:val="0"/>
          <w:sz w:val="14"/>
        </w:rPr>
        <w:t>Source basis: [S2] member-property commands 105–128; [S1] secondary-member assumptions, pp.5 and 10–11.</w:t>
      </w:r>
    </w:p>
    <w:p>
      <w:r>
        <w:br w:type="page"/>
      </w:r>
    </w:p>
    <w:p>
      <w:r>
        <w:rPr>
          <w:b w:val="0"/>
          <w:i w:val="0"/>
          <w:color w:val="087E8B"/>
          <w:sz w:val="18"/>
        </w:rPr>
        <w:t>WEEK 4 • STUDY DRAWINGS — C-01 TO C-04</w:t>
      </w:r>
    </w:p>
    <w:p>
      <w:pPr>
        <w:pStyle w:val="Heading1"/>
      </w:pPr>
      <w:r>
        <w:rPr>
          <w:b w:val="0"/>
          <w:i w:val="0"/>
        </w:rPr>
        <w:t>Connection details and drawing completion</w:t>
      </w:r>
    </w:p>
    <w:p>
      <w:pPr>
        <w:spacing w:after="60"/>
        <w:jc w:val="center"/>
      </w:pPr>
      <w:r>
        <w:drawing>
          <wp:inline xmlns:a="http://schemas.openxmlformats.org/drawingml/2006/main" xmlns:pic="http://schemas.openxmlformats.org/drawingml/2006/picture">
            <wp:extent cx="5682380" cy="5031104"/>
            <wp:docPr id="7" name="Picture 7"/>
            <wp:cNvGraphicFramePr>
              <a:graphicFrameLocks noChangeAspect="1"/>
            </wp:cNvGraphicFramePr>
            <a:graphic>
              <a:graphicData uri="http://schemas.openxmlformats.org/drawingml/2006/picture">
                <pic:pic>
                  <pic:nvPicPr>
                    <pic:cNvPr id="0" name="connections.png"/>
                    <pic:cNvPicPr/>
                  </pic:nvPicPr>
                  <pic:blipFill>
                    <a:blip r:embed="rId16"/>
                    <a:stretch>
                      <a:fillRect/>
                    </a:stretch>
                  </pic:blipFill>
                  <pic:spPr>
                    <a:xfrm>
                      <a:off x="0" y="0"/>
                      <a:ext cx="5682380" cy="5031104"/>
                    </a:xfrm>
                    <a:prstGeom prst="rect"/>
                  </pic:spPr>
                </pic:pic>
              </a:graphicData>
            </a:graphic>
          </wp:inline>
        </w:drawing>
      </w:r>
    </w:p>
    <w:p>
      <w:r>
        <w:rPr>
          <w:b w:val="0"/>
          <w:i w:val="0"/>
          <w:sz w:val="15"/>
        </w:rPr>
        <w:t>Figure 6. Connection concepts illustrate load transfer and detailing requirements. Bolt symbols are schematic: the number, diameter and spacing are not designed. No detail is issued for construction.</w:t>
      </w:r>
    </w:p>
    <w:tbl>
      <w:tblPr>
        <w:tblW w:type="auto" w:w="0"/>
        <w:jc w:val="center"/>
        <w:tblLayout w:type="fixed"/>
        <w:tblLook w:firstColumn="1" w:firstRow="1" w:lastColumn="0" w:lastRow="0" w:noHBand="0" w:noVBand="1" w:val="04A0"/>
      </w:tblPr>
      <w:tblGrid>
        <w:gridCol w:w="2343"/>
        <w:gridCol w:w="3361"/>
        <w:gridCol w:w="4482"/>
      </w:tblGrid>
      <w:tr>
        <w:trPr>
          <w:cantSplit/>
        </w:trPr>
        <w:tc>
          <w:tcPr>
            <w:tcW w:type="dxa" w:w="2343"/>
            <w:shd w:fill="183247"/>
          </w:tcPr>
          <w:p>
            <w:pPr>
              <w:spacing w:after="40" w:before="40"/>
            </w:pPr>
            <w:r>
              <w:rPr>
                <w:b/>
                <w:i w:val="0"/>
                <w:color w:val="FFFFFF"/>
                <w:sz w:val="16"/>
              </w:rPr>
              <w:t>Detail</w:t>
            </w:r>
          </w:p>
        </w:tc>
        <w:tc>
          <w:tcPr>
            <w:tcW w:type="dxa" w:w="3361"/>
            <w:shd w:fill="183247"/>
          </w:tcPr>
          <w:p>
            <w:pPr>
              <w:spacing w:after="40" w:before="40"/>
            </w:pPr>
            <w:r>
              <w:rPr>
                <w:b/>
                <w:i w:val="0"/>
                <w:color w:val="FFFFFF"/>
                <w:sz w:val="16"/>
              </w:rPr>
              <w:t>Actions to obtain</w:t>
            </w:r>
          </w:p>
        </w:tc>
        <w:tc>
          <w:tcPr>
            <w:tcW w:type="dxa" w:w="4482"/>
            <w:shd w:fill="183247"/>
          </w:tcPr>
          <w:p>
            <w:pPr>
              <w:spacing w:after="40" w:before="40"/>
            </w:pPr>
            <w:r>
              <w:rPr>
                <w:b/>
                <w:i w:val="0"/>
                <w:color w:val="FFFFFF"/>
                <w:sz w:val="16"/>
              </w:rPr>
              <w:t>Items required before issue</w:t>
            </w:r>
          </w:p>
        </w:tc>
      </w:tr>
      <w:tr>
        <w:trPr>
          <w:cantSplit/>
        </w:trPr>
        <w:tc>
          <w:tcPr>
            <w:tcW w:type="dxa" w:w="2343"/>
            <w:shd w:fill="eef4f6"/>
            <w:vAlign w:val="top"/>
          </w:tcPr>
          <w:p>
            <w:pPr>
              <w:spacing w:after="40" w:before="40" w:line="240" w:lineRule="auto"/>
            </w:pPr>
            <w:r>
              <w:rPr>
                <w:b w:val="0"/>
                <w:i w:val="0"/>
                <w:sz w:val="16"/>
              </w:rPr>
              <w:t>C-01 Base</w:t>
            </w:r>
          </w:p>
        </w:tc>
        <w:tc>
          <w:tcPr>
            <w:tcW w:type="dxa" w:w="3361"/>
            <w:shd w:fill="eef4f6"/>
            <w:vAlign w:val="top"/>
          </w:tcPr>
          <w:p>
            <w:pPr>
              <w:spacing w:after="40" w:before="40" w:line="240" w:lineRule="auto"/>
            </w:pPr>
            <w:r>
              <w:rPr>
                <w:b w:val="0"/>
                <w:i w:val="0"/>
                <w:sz w:val="16"/>
              </w:rPr>
              <w:t>Coincident compression/uplift and shear</w:t>
            </w:r>
          </w:p>
        </w:tc>
        <w:tc>
          <w:tcPr>
            <w:tcW w:type="dxa" w:w="4482"/>
            <w:shd w:fill="eef4f6"/>
            <w:vAlign w:val="top"/>
          </w:tcPr>
          <w:p>
            <w:pPr>
              <w:spacing w:after="40" w:before="40" w:line="240" w:lineRule="auto"/>
            </w:pPr>
            <w:r>
              <w:rPr>
                <w:b w:val="0"/>
                <w:i w:val="0"/>
                <w:sz w:val="16"/>
              </w:rPr>
              <w:t>Bp, Lp, tp; anchor grade/diameter/embedment; grout and pedestal design</w:t>
            </w:r>
          </w:p>
        </w:tc>
      </w:tr>
      <w:tr>
        <w:trPr>
          <w:cantSplit/>
        </w:trPr>
        <w:tc>
          <w:tcPr>
            <w:tcW w:type="dxa" w:w="2343"/>
            <w:vAlign w:val="top"/>
          </w:tcPr>
          <w:p>
            <w:pPr>
              <w:spacing w:after="40" w:before="40" w:line="240" w:lineRule="auto"/>
            </w:pPr>
            <w:r>
              <w:rPr>
                <w:b w:val="0"/>
                <w:i w:val="0"/>
                <w:sz w:val="16"/>
              </w:rPr>
              <w:t>C-02 Eave joint</w:t>
            </w:r>
          </w:p>
        </w:tc>
        <w:tc>
          <w:tcPr>
            <w:tcW w:type="dxa" w:w="3361"/>
            <w:vAlign w:val="top"/>
          </w:tcPr>
          <w:p>
            <w:pPr>
              <w:spacing w:after="40" w:before="40" w:line="240" w:lineRule="auto"/>
            </w:pPr>
            <w:r>
              <w:rPr>
                <w:b w:val="0"/>
                <w:i w:val="0"/>
                <w:sz w:val="16"/>
              </w:rPr>
              <w:t>Rafter/column end N, V and M, both signs</w:t>
            </w:r>
          </w:p>
        </w:tc>
        <w:tc>
          <w:tcPr>
            <w:tcW w:type="dxa" w:w="4482"/>
            <w:vAlign w:val="top"/>
          </w:tcPr>
          <w:p>
            <w:pPr>
              <w:spacing w:after="40" w:before="40" w:line="240" w:lineRule="auto"/>
            </w:pPr>
            <w:r>
              <w:rPr>
                <w:b w:val="0"/>
                <w:i w:val="0"/>
                <w:sz w:val="16"/>
              </w:rPr>
              <w:t>Bolt-row forces; prying; plate/weld/stiffener design; erection access</w:t>
            </w:r>
          </w:p>
        </w:tc>
      </w:tr>
      <w:tr>
        <w:trPr>
          <w:cantSplit/>
        </w:trPr>
        <w:tc>
          <w:tcPr>
            <w:tcW w:type="dxa" w:w="2343"/>
            <w:shd w:fill="eef4f6"/>
            <w:vAlign w:val="top"/>
          </w:tcPr>
          <w:p>
            <w:pPr>
              <w:spacing w:after="40" w:before="40" w:line="240" w:lineRule="auto"/>
            </w:pPr>
            <w:r>
              <w:rPr>
                <w:b w:val="0"/>
                <w:i w:val="0"/>
                <w:sz w:val="16"/>
              </w:rPr>
              <w:t>C-03 Ridge</w:t>
            </w:r>
          </w:p>
        </w:tc>
        <w:tc>
          <w:tcPr>
            <w:tcW w:type="dxa" w:w="3361"/>
            <w:shd w:fill="eef4f6"/>
            <w:vAlign w:val="top"/>
          </w:tcPr>
          <w:p>
            <w:pPr>
              <w:spacing w:after="40" w:before="40" w:line="240" w:lineRule="auto"/>
            </w:pPr>
            <w:r>
              <w:rPr>
                <w:b w:val="0"/>
                <w:i w:val="0"/>
                <w:sz w:val="16"/>
              </w:rPr>
              <w:t>Both rafter ends and ridge-column actions</w:t>
            </w:r>
          </w:p>
        </w:tc>
        <w:tc>
          <w:tcPr>
            <w:tcW w:type="dxa" w:w="4482"/>
            <w:shd w:fill="eef4f6"/>
            <w:vAlign w:val="top"/>
          </w:tcPr>
          <w:p>
            <w:pPr>
              <w:spacing w:after="40" w:before="40" w:line="240" w:lineRule="auto"/>
            </w:pPr>
            <w:r>
              <w:rPr>
                <w:b w:val="0"/>
                <w:i w:val="0"/>
                <w:sz w:val="16"/>
              </w:rPr>
              <w:t>Joint stiffness and splice location; bolt/weld group checks; node eccentricity</w:t>
            </w:r>
          </w:p>
        </w:tc>
      </w:tr>
      <w:tr>
        <w:trPr>
          <w:cantSplit/>
        </w:trPr>
        <w:tc>
          <w:tcPr>
            <w:tcW w:type="dxa" w:w="2343"/>
            <w:vAlign w:val="top"/>
          </w:tcPr>
          <w:p>
            <w:pPr>
              <w:spacing w:after="40" w:before="40" w:line="240" w:lineRule="auto"/>
            </w:pPr>
            <w:r>
              <w:rPr>
                <w:b w:val="0"/>
                <w:i w:val="0"/>
                <w:sz w:val="16"/>
              </w:rPr>
              <w:t>C-04 Bracing / cleat</w:t>
            </w:r>
          </w:p>
        </w:tc>
        <w:tc>
          <w:tcPr>
            <w:tcW w:type="dxa" w:w="3361"/>
            <w:vAlign w:val="top"/>
          </w:tcPr>
          <w:p>
            <w:pPr>
              <w:spacing w:after="40" w:before="40" w:line="240" w:lineRule="auto"/>
            </w:pPr>
            <w:r>
              <w:rPr>
                <w:b w:val="0"/>
                <w:i w:val="0"/>
                <w:sz w:val="16"/>
              </w:rPr>
              <w:t>Factored rod tension; purlin/girt reaction</w:t>
            </w:r>
          </w:p>
        </w:tc>
        <w:tc>
          <w:tcPr>
            <w:tcW w:type="dxa" w:w="4482"/>
            <w:vAlign w:val="top"/>
          </w:tcPr>
          <w:p>
            <w:pPr>
              <w:spacing w:after="40" w:before="40" w:line="240" w:lineRule="auto"/>
            </w:pPr>
            <w:r>
              <w:rPr>
                <w:b w:val="0"/>
                <w:i w:val="0"/>
                <w:sz w:val="16"/>
              </w:rPr>
              <w:t>Gusset and threaded area; turnbuckle rating; restraint capacity and cleat checks</w:t>
            </w:r>
          </w:p>
        </w:tc>
      </w:tr>
    </w:tbl>
    <w:p>
      <w:pPr>
        <w:spacing w:after="40"/>
      </w:pPr>
      <w:r>
        <w:rPr>
          <w:b w:val="0"/>
          <w:i w:val="0"/>
          <w:sz w:val="2"/>
        </w:rPr>
      </w:r>
    </w:p>
    <w:p>
      <w:r>
        <w:rPr>
          <w:b w:val="0"/>
          <w:i w:val="0"/>
          <w:sz w:val="19"/>
        </w:rPr>
        <w:t>Drawing completion requires a coordinated general arrangement, member piece marks, connection calculations, erection marks, anchor plan, member/bolt lists and revision history. Each change affecting stiffness, release or load path should be returned to the analytical model. The final check is agreement among the calculation model, member schedule and drawings.</w:t>
      </w:r>
    </w:p>
    <w:p>
      <w:r>
        <w:rPr>
          <w:b w:val="0"/>
          <w:i w:val="0"/>
          <w:sz w:val="14"/>
        </w:rPr>
        <w:t>Source basis: New training sketches informed by [S1]/[S2]. Connection sizes and foundation design remain open because the required calculations and input data were not supplied.</w:t>
      </w:r>
    </w:p>
    <w:p>
      <w:r>
        <w:br w:type="page"/>
      </w:r>
    </w:p>
    <w:p>
      <w:r>
        <w:rPr>
          <w:b w:val="0"/>
          <w:i w:val="0"/>
          <w:color w:val="087E8B"/>
          <w:sz w:val="18"/>
        </w:rPr>
        <w:t>COMPLETION OF THE FOUR-WEEK STUDY</w:t>
      </w:r>
    </w:p>
    <w:p>
      <w:pPr>
        <w:pStyle w:val="Heading1"/>
      </w:pPr>
      <w:r>
        <w:rPr>
          <w:b w:val="0"/>
          <w:i w:val="0"/>
        </w:rPr>
        <w:t>Learning outcomes, conclusions and references</w:t>
      </w:r>
    </w:p>
    <w:p>
      <w:pPr>
        <w:pStyle w:val="Heading2"/>
      </w:pPr>
      <w:r>
        <w:rPr>
          <w:b w:val="0"/>
          <w:i w:val="0"/>
        </w:rPr>
        <w:t>Weekly learning outcomes</w:t>
      </w:r>
    </w:p>
    <w:p>
      <w:r>
        <w:rPr>
          <w:b w:val="0"/>
          <w:i w:val="0"/>
          <w:sz w:val="20"/>
        </w:rPr>
      </w:r>
      <w:r>
        <w:rPr>
          <w:b/>
          <w:i w:val="0"/>
          <w:sz w:val="20"/>
        </w:rPr>
        <w:t>Week 1:</w:t>
      </w:r>
      <w:r>
        <w:rPr>
          <w:b w:val="0"/>
          <w:i w:val="0"/>
          <w:sz w:val="20"/>
        </w:rPr>
        <w:t xml:space="preserve"> interpreted the project geometry, distinguished frame types and reproduced gravity, wind and earthquake load calculations. </w:t>
      </w:r>
      <w:r>
        <w:rPr>
          <w:b/>
          <w:i w:val="0"/>
          <w:sz w:val="20"/>
        </w:rPr>
        <w:t>Week 2:</w:t>
      </w:r>
      <w:r>
        <w:rPr>
          <w:b w:val="0"/>
          <w:i w:val="0"/>
          <w:sz w:val="20"/>
        </w:rPr>
        <w:t xml:space="preserve"> explained the model, plotted reference shear/moment diagrams and interpreted member forces, displacement summaries and equilibrium. </w:t>
      </w:r>
      <w:r>
        <w:rPr>
          <w:b/>
          <w:i w:val="0"/>
          <w:sz w:val="20"/>
        </w:rPr>
        <w:t>Week 3:</w:t>
      </w:r>
      <w:r>
        <w:rPr>
          <w:b w:val="0"/>
          <w:i w:val="0"/>
          <w:sz w:val="20"/>
        </w:rPr>
        <w:t xml:space="preserve"> documented section proportions and studied compression, bending, shear, bracing and secondary-member design. </w:t>
      </w:r>
      <w:r>
        <w:rPr>
          <w:b/>
          <w:i w:val="0"/>
          <w:sz w:val="20"/>
        </w:rPr>
        <w:t>Week 4:</w:t>
      </w:r>
      <w:r>
        <w:rPr>
          <w:b w:val="0"/>
          <w:i w:val="0"/>
          <w:sz w:val="20"/>
        </w:rPr>
        <w:t xml:space="preserve"> prepared general notes, arrangement drawings, member profiles and connection design concepts.</w:t>
      </w:r>
    </w:p>
    <w:p>
      <w:pPr>
        <w:pStyle w:val="Heading2"/>
      </w:pPr>
      <w:r>
        <w:rPr>
          <w:b w:val="0"/>
          <w:i w:val="0"/>
        </w:rPr>
        <w:t>Conclusion and remaining engineering work</w:t>
      </w:r>
    </w:p>
    <w:p>
      <w:r>
        <w:rPr>
          <w:b w:val="0"/>
          <w:i w:val="0"/>
          <w:sz w:val="20"/>
        </w:rPr>
        <w:t>The records support a useful study of a tapered steel PEB with ridge-supported roof frames. They also show why analysis output must be reviewed before drawing a design conclusion. The most significant findings are the LC118 factor discrepancy, inappropriate result superposition for tension-only behaviour, two failed ridge-column checks, second-order warnings, web-thickness warnings and incomplete design coverage for rods, secondary steel and connections.</w:t>
      </w:r>
    </w:p>
    <w:p>
      <w:r>
        <w:rPr>
          <w:b w:val="0"/>
          <w:i w:val="0"/>
          <w:sz w:val="20"/>
        </w:rPr>
        <w:t>The next engineering revision should confirm the adopted code editions and project loads; reconcile wind zones, seismic mass and load directions; correct and rerun the model using appropriate combined loading and second-order treatment; then complete strength/serviceability checks, connections, anchors and foundations. The report does not claim that these corrections have already been made.</w:t>
      </w:r>
    </w:p>
    <w:p>
      <w:pPr>
        <w:pStyle w:val="Heading2"/>
      </w:pPr>
      <w:r>
        <w:rPr>
          <w:b w:val="0"/>
          <w:i w:val="0"/>
        </w:rPr>
        <w:t>Source register and references</w:t>
      </w:r>
    </w:p>
    <w:p>
      <w:r>
        <w:rPr>
          <w:b w:val="0"/>
          <w:i w:val="0"/>
          <w:sz w:val="18"/>
        </w:rPr>
      </w:r>
      <w:r>
        <w:rPr>
          <w:b/>
          <w:i w:val="0"/>
          <w:sz w:val="18"/>
        </w:rPr>
        <w:t>[S1] User-supplied training PDF: 1000016606.pdf, 68 pages.</w:t>
      </w:r>
      <w:r>
        <w:rPr>
          <w:b w:val="0"/>
          <w:i w:val="0"/>
          <w:sz w:val="18"/>
        </w:rPr>
      </w:r>
      <w:r>
        <w:rPr>
          <w:b w:val="0"/>
          <w:i w:val="0"/>
          <w:sz w:val="18"/>
        </w:rPr>
        <w:t xml:space="preserve"> Project and geometry pp.1–4; gravity loads pp.5, 9–12; wind/seismic pp.13–27, 36–43; analysis/design topics pp.29–35, 45–68. Screenshots were visually reviewed; no searchable text layer was present.</w:t>
      </w:r>
    </w:p>
    <w:p>
      <w:r>
        <w:rPr>
          <w:b w:val="0"/>
          <w:i w:val="0"/>
          <w:sz w:val="18"/>
        </w:rPr>
      </w:r>
      <w:r>
        <w:rPr>
          <w:b/>
          <w:i w:val="0"/>
          <w:sz w:val="18"/>
        </w:rPr>
        <w:t>[S2] User-supplied STAAD.Pro output: R1_PEB.ANL.</w:t>
      </w:r>
      <w:r>
        <w:rPr>
          <w:b w:val="0"/>
          <w:i w:val="0"/>
          <w:sz w:val="18"/>
        </w:rPr>
      </w:r>
      <w:r>
        <w:rPr>
          <w:b w:val="0"/>
          <w:i w:val="0"/>
          <w:sz w:val="18"/>
        </w:rPr>
        <w:t xml:space="preserve"> CONNECT Edition 22.00.00.15; output dated 17 October 2026; 560 printed pages. Input/model pp.1–8; design parameters pp.56–57; take-off p.58; member checks pp.59–560. Original files were not altered.</w:t>
      </w:r>
    </w:p>
    <w:p>
      <w:hyperlink r:id="rId17">
        <w:r>
          <w:rPr>
            <w:color w:val="087e8b"/>
            <w:sz w:val="18"/>
          </w:rPr>
          <w:t>[R1] Bureau of Indian Standards — IS 800:2007, official scope preview.</w:t>
        </w:r>
      </w:hyperlink>
      <w:r>
        <w:rPr>
          <w:b w:val="0"/>
          <w:i w:val="0"/>
          <w:sz w:val="18"/>
        </w:rPr>
        <w:t xml:space="preserve"> General steel-construction scope; loading standards and separate provisions for cold-formed sections. Detailed calculations in this report follow the supplied study records.</w:t>
      </w:r>
    </w:p>
    <w:p>
      <w:hyperlink r:id="rId18">
        <w:r>
          <w:rPr>
            <w:color w:val="087e8b"/>
            <w:sz w:val="18"/>
          </w:rPr>
          <w:t>[R2] Bureau of Indian Standards — IS 875 (Part 2):1987, official scope preview.</w:t>
        </w:r>
      </w:hyperlink>
      <w:r>
        <w:rPr>
          <w:b w:val="0"/>
          <w:i w:val="0"/>
          <w:sz w:val="18"/>
        </w:rPr>
        <w:t xml:space="preserve"> Scope of imposed loads for buildings. Roof-load values used here are those adopted in the supplied PDF.</w:t>
      </w:r>
    </w:p>
    <w:p>
      <w:hyperlink r:id="rId19">
        <w:r>
          <w:rPr>
            <w:color w:val="087e8b"/>
            <w:sz w:val="18"/>
          </w:rPr>
          <w:t>[R3] Bentley Systems — Member Tension And Combination Load Cases.</w:t>
        </w:r>
      </w:hyperlink>
      <w:r>
        <w:rPr>
          <w:b w:val="0"/>
          <w:i w:val="0"/>
          <w:sz w:val="18"/>
        </w:rPr>
        <w:t xml:space="preserve"> Explains the difference between result combinations and simultaneously applied repeat loads for nonlinear/tension-only behaviour.</w:t>
      </w:r>
    </w:p>
    <w:p>
      <w:hyperlink r:id="rId20">
        <w:r>
          <w:rPr>
            <w:color w:val="087e8b"/>
            <w:sz w:val="18"/>
          </w:rPr>
          <w:t>[R4] Bentley Systems — Assign Tapered I Beam Property and Material using OpenSTAAD.</w:t>
        </w:r>
      </w:hyperlink>
      <w:r>
        <w:rPr>
          <w:b w:val="0"/>
          <w:i w:val="0"/>
          <w:sz w:val="18"/>
        </w:rPr>
        <w:t xml:space="preserve"> Defines the seven tapered I-section dimensions used to interpret the ANL member-property schedule.</w:t>
      </w:r>
    </w:p>
    <w:p>
      <w:r>
        <w:rPr>
          <w:b w:val="0"/>
          <w:i w:val="0"/>
          <w:sz w:val="20"/>
        </w:rPr>
        <w:t>Standards named in the supplied study include IS 800:2007, IS 875 Parts 1 and 2:1987, IS 875 Part 3:2015 and IS 1893 Part 1:2016. These identify the source basis, not a statement that every edition remains applicable to a new approval. Web references checked 21 October 2026.</w:t>
      </w:r>
    </w:p>
    <w:sectPr w:rsidR="00FC693F" w:rsidRPr="0006063C" w:rsidSect="00034616">
      <w:headerReference w:type="default" r:id="rId9"/>
      <w:footerReference w:type="default" r:id="rId10"/>
      <w:pgSz w:w="11906" w:h="16838"/>
      <w:pgMar w:top="960" w:right="860" w:bottom="900" w:left="860" w:header="44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DEMO REPORT • Educational study / not for construction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37785"/>
        <w:sz w:val="16"/>
      </w:rPr>
      <w:t>STRUCTURAL ENGINEERING TRAINING  |  PEB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18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Calibri" w:hAnsi="Calibri"/>
      <w:b/>
      <w:bCs/>
      <w:color w:val="183247"/>
      <w:sz w:val="40"/>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Calibri" w:hAnsi="Calibri"/>
      <w:b/>
      <w:bCs/>
      <w:color w:val="1832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pPr>
    <w:rPr>
      <w:rFonts w:asciiTheme="majorHAnsi" w:eastAsiaTheme="majorEastAsia" w:hAnsiTheme="majorHAnsi" w:cstheme="majorBidi" w:ascii="Calibri" w:hAnsi="Calibri"/>
      <w:color w:val="1832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services.bis.gov.in/tmp/SR800.pdf" TargetMode="External"/><Relationship Id="rId18" Type="http://schemas.openxmlformats.org/officeDocument/2006/relationships/hyperlink" Target="https://www.services.bis.gov.in/tmp/SR875_2.pdf" TargetMode="External"/><Relationship Id="rId19" Type="http://schemas.openxmlformats.org/officeDocument/2006/relationships/hyperlink" Target="https://bentleysystems.service-now.com/community?id=kb_article_view&amp;sysparm_article=KB0113645" TargetMode="External"/><Relationship Id="rId20" Type="http://schemas.openxmlformats.org/officeDocument/2006/relationships/hyperlink" Target="https://bentleysystems.service-now.com/community?id=kb_article_view&amp;sysparm_article=KB0111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Engineering Training Report — PEB Design</dc:title>
  <dc:subject>Four-week study based on supplied project records</dc:subject>
  <dc:creator>Demo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