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ARTICLE 1. DEFINITIONS</w:t>
      </w:r>
    </w:p>
    <w:p>
      <w:r>
        <w:t>In this Agreement, terms shall have their customary meaning in international legal practice.</w:t>
      </w:r>
    </w:p>
    <w:p>
      <w:pPr>
        <w:pStyle w:val="Heading1"/>
      </w:pPr>
      <w:r>
        <w:t>ARTICLE 2. CONFIDENTIALITY</w:t>
      </w:r>
    </w:p>
    <w:p>
      <w:r>
        <w:t>The recipient of proprietary information agrees to hold all such information in strict confidence.</w:t>
      </w:r>
    </w:p>
    <w:p>
      <w:pPr>
        <w:pStyle w:val="Heading1"/>
      </w:pPr>
      <w:r>
        <w:t>ARTICLE 3. TERMINATION</w:t>
      </w:r>
    </w:p>
    <w:p>
      <w:r>
        <w:t>Either party may terminate upon giving thirty days written notice.</w:t>
      </w:r>
    </w:p>
  </w:body>
</w:document>
</file>