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0" w:line="240" w:lineRule="auto"/>
        <w:ind w:firstLine="643" w:firstLineChars="200"/>
        <w:jc w:val="center"/>
        <w:rPr>
          <w:rFonts w:ascii="仿宋" w:hAnsi="仿宋" w:eastAsia="仿宋"/>
          <w:sz w:val="32"/>
          <w:szCs w:val="32"/>
        </w:rPr>
      </w:pPr>
      <w:bookmarkStart w:id="0" w:name="_GoBack"/>
      <w:bookmarkEnd w:id="0"/>
      <w:r>
        <w:rPr>
          <w:rFonts w:hint="eastAsia" w:ascii="仿宋" w:hAnsi="仿宋" w:eastAsia="仿宋"/>
          <w:sz w:val="32"/>
          <w:szCs w:val="32"/>
        </w:rPr>
        <w:t>华龙证券股份有限公司证券研究报告</w:t>
      </w:r>
    </w:p>
    <w:p>
      <w:pPr>
        <w:pStyle w:val="2"/>
        <w:spacing w:before="0" w:line="240" w:lineRule="auto"/>
        <w:ind w:firstLine="643" w:firstLineChars="200"/>
        <w:jc w:val="center"/>
        <w:rPr>
          <w:rFonts w:ascii="仿宋" w:hAnsi="仿宋" w:eastAsia="仿宋"/>
          <w:sz w:val="28"/>
          <w:szCs w:val="28"/>
        </w:rPr>
      </w:pPr>
      <w:r>
        <w:rPr>
          <w:rFonts w:hint="eastAsia" w:ascii="仿宋" w:hAnsi="仿宋" w:eastAsia="仿宋"/>
          <w:sz w:val="32"/>
          <w:szCs w:val="32"/>
        </w:rPr>
        <w:t>内容与格式规范意见</w:t>
      </w:r>
      <w:r>
        <w:rPr>
          <w:rFonts w:hint="eastAsia" w:ascii="仿宋" w:hAnsi="仿宋" w:eastAsia="仿宋"/>
          <w:sz w:val="28"/>
          <w:szCs w:val="28"/>
        </w:rPr>
        <w:t>（试行）</w:t>
      </w:r>
      <w:r>
        <w:t xml:space="preserve">                         </w:t>
      </w:r>
    </w:p>
    <w:p/>
    <w:p>
      <w:pPr>
        <w:ind w:firstLine="560" w:firstLineChars="200"/>
        <w:rPr>
          <w:rFonts w:ascii="仿宋" w:hAnsi="仿宋" w:eastAsia="仿宋"/>
          <w:sz w:val="28"/>
          <w:szCs w:val="28"/>
        </w:rPr>
      </w:pPr>
      <w:r>
        <w:rPr>
          <w:rFonts w:hint="eastAsia" w:ascii="仿宋" w:hAnsi="仿宋" w:eastAsia="仿宋"/>
          <w:sz w:val="28"/>
          <w:szCs w:val="28"/>
        </w:rPr>
        <w:t>证券研究报告是公司研究业务的主要产品，是研究人员研究成果的重要载体。为规范研究人员证券研究报告（以下简称“研究报告”或“报告”）的撰写工作，依据《发布证券研究报告暂行规定》，《发布证券研究报告执业规范》、《关于进一步明确科创板投资价值研究报告要求的通知》、《华龙证券股份有限公司研究业务管理暂行办法》等相关规定和要求，现就证券研究报告的内容和格式提出以下规范意见。</w:t>
      </w:r>
    </w:p>
    <w:p>
      <w:pPr>
        <w:pStyle w:val="3"/>
        <w:jc w:val="center"/>
        <w:rPr>
          <w:rFonts w:ascii="仿宋" w:hAnsi="仿宋" w:eastAsia="仿宋"/>
          <w:szCs w:val="28"/>
        </w:rPr>
      </w:pPr>
      <w:r>
        <w:rPr>
          <w:rFonts w:hint="eastAsia" w:ascii="仿宋" w:hAnsi="仿宋" w:eastAsia="仿宋"/>
          <w:szCs w:val="28"/>
        </w:rPr>
        <w:t>一、</w:t>
      </w:r>
      <w:r>
        <w:rPr>
          <w:rFonts w:ascii="仿宋" w:hAnsi="仿宋" w:eastAsia="仿宋"/>
          <w:szCs w:val="28"/>
        </w:rPr>
        <w:tab/>
      </w:r>
      <w:r>
        <w:rPr>
          <w:rFonts w:ascii="仿宋" w:hAnsi="仿宋" w:eastAsia="仿宋"/>
          <w:szCs w:val="28"/>
        </w:rPr>
        <w:t>研究报告的概念、类型与范围</w:t>
      </w:r>
    </w:p>
    <w:p>
      <w:pPr>
        <w:ind w:firstLine="560" w:firstLineChars="200"/>
        <w:rPr>
          <w:rFonts w:ascii="仿宋" w:hAnsi="仿宋" w:eastAsia="仿宋"/>
          <w:sz w:val="28"/>
          <w:szCs w:val="28"/>
        </w:rPr>
      </w:pPr>
      <w:r>
        <w:rPr>
          <w:rFonts w:hint="eastAsia" w:ascii="仿宋" w:hAnsi="仿宋" w:eastAsia="仿宋"/>
          <w:sz w:val="28"/>
          <w:szCs w:val="28"/>
        </w:rPr>
        <w:t>证券研究报告是指研究所通过对宏观经济、产业行业、证券及证券相关产品的价值、市场走势或者相关影响因素进行分析研判</w:t>
      </w:r>
      <w:r>
        <w:rPr>
          <w:rFonts w:ascii="仿宋" w:hAnsi="仿宋" w:eastAsia="仿宋"/>
          <w:sz w:val="28"/>
          <w:szCs w:val="28"/>
        </w:rPr>
        <w:t>,从而形成对一定时期宏观经济、产业行业的基本观点和对有关证券及产品估值、投资评级等的分析意见,以报告形式制作并向特定对象发布的文件。证券研究报告可以采用书面或者电子文件形式。</w:t>
      </w:r>
    </w:p>
    <w:p>
      <w:pPr>
        <w:ind w:firstLine="560" w:firstLineChars="200"/>
        <w:rPr>
          <w:rFonts w:ascii="仿宋" w:hAnsi="仿宋" w:eastAsia="仿宋"/>
          <w:sz w:val="28"/>
          <w:szCs w:val="28"/>
        </w:rPr>
      </w:pPr>
      <w:r>
        <w:rPr>
          <w:rFonts w:hint="eastAsia" w:ascii="仿宋" w:hAnsi="仿宋" w:eastAsia="仿宋"/>
          <w:sz w:val="28"/>
          <w:szCs w:val="28"/>
        </w:rPr>
        <w:t>本所证券研究报告的类型主要包括：公司投资价值分析报告、行业（公司）研究报告、投资策略报告、宏观经济研究报告、产业研究报告、地方经济和资本市场专题研究报告。投资策略报告指股票投资策略报告、其他证券及证券相关产品投资策略报告等。此等报告一般为深度研究报告。上市公司的动态点评、宏观经济快评等也属于证券研究报告范畴。</w:t>
      </w:r>
    </w:p>
    <w:p>
      <w:pPr>
        <w:ind w:firstLine="560" w:firstLineChars="200"/>
        <w:rPr>
          <w:rFonts w:ascii="仿宋" w:hAnsi="仿宋" w:eastAsia="仿宋"/>
          <w:sz w:val="28"/>
          <w:szCs w:val="28"/>
        </w:rPr>
      </w:pPr>
      <w:r>
        <w:rPr>
          <w:rFonts w:hint="eastAsia" w:ascii="仿宋" w:hAnsi="仿宋" w:eastAsia="仿宋"/>
          <w:sz w:val="28"/>
          <w:szCs w:val="28"/>
        </w:rPr>
        <w:t>基于重要性和代表性的考虑，本所需要对内容和格式给予规范的研究报告的范围现阶段界定为公司投资价值分析报告、行业（公司）研究报告、证券投资策略报告和宏观经济深度研究报告，产业研究报告、地方经济和资本市场专题研究报告的内容和格式可参照同行、同业代表性作品，结合所研究对象的特点灵活确定。</w:t>
      </w:r>
    </w:p>
    <w:p>
      <w:pPr>
        <w:pStyle w:val="3"/>
        <w:jc w:val="center"/>
        <w:rPr>
          <w:rFonts w:ascii="仿宋" w:hAnsi="仿宋" w:eastAsia="仿宋"/>
          <w:szCs w:val="28"/>
        </w:rPr>
      </w:pPr>
      <w:r>
        <w:rPr>
          <w:rFonts w:hint="eastAsia" w:ascii="仿宋" w:hAnsi="仿宋" w:eastAsia="仿宋"/>
          <w:szCs w:val="28"/>
        </w:rPr>
        <w:t>二、</w:t>
      </w:r>
      <w:r>
        <w:rPr>
          <w:rFonts w:ascii="仿宋" w:hAnsi="仿宋" w:eastAsia="仿宋"/>
          <w:szCs w:val="28"/>
        </w:rPr>
        <w:tab/>
      </w:r>
      <w:r>
        <w:rPr>
          <w:rFonts w:ascii="仿宋" w:hAnsi="仿宋" w:eastAsia="仿宋"/>
          <w:szCs w:val="28"/>
        </w:rPr>
        <w:t>研究报告的主要内容</w:t>
      </w:r>
    </w:p>
    <w:p>
      <w:pPr>
        <w:pStyle w:val="4"/>
        <w:ind w:firstLine="562" w:firstLineChars="200"/>
        <w:rPr>
          <w:rFonts w:ascii="仿宋" w:hAnsi="仿宋" w:eastAsia="仿宋"/>
          <w:sz w:val="28"/>
          <w:szCs w:val="28"/>
        </w:rPr>
      </w:pPr>
      <w:r>
        <w:rPr>
          <w:rFonts w:ascii="仿宋" w:hAnsi="仿宋" w:eastAsia="仿宋"/>
          <w:sz w:val="28"/>
          <w:szCs w:val="28"/>
        </w:rPr>
        <w:t>(一)</w:t>
      </w:r>
      <w:r>
        <w:rPr>
          <w:rFonts w:ascii="仿宋" w:hAnsi="仿宋" w:eastAsia="仿宋"/>
          <w:sz w:val="28"/>
          <w:szCs w:val="28"/>
        </w:rPr>
        <w:tab/>
      </w:r>
      <w:r>
        <w:rPr>
          <w:rFonts w:ascii="仿宋" w:hAnsi="仿宋" w:eastAsia="仿宋"/>
          <w:sz w:val="28"/>
          <w:szCs w:val="28"/>
        </w:rPr>
        <w:t>公司投资价值分析报告的主要内容</w:t>
      </w:r>
    </w:p>
    <w:p>
      <w:pPr>
        <w:ind w:firstLine="560" w:firstLineChars="200"/>
        <w:rPr>
          <w:rFonts w:ascii="仿宋" w:hAnsi="仿宋" w:eastAsia="仿宋"/>
          <w:sz w:val="28"/>
          <w:szCs w:val="28"/>
        </w:rPr>
      </w:pPr>
      <w:r>
        <w:rPr>
          <w:rFonts w:hint="eastAsia" w:ascii="仿宋" w:hAnsi="仿宋" w:eastAsia="仿宋"/>
          <w:sz w:val="28"/>
          <w:szCs w:val="28"/>
        </w:rPr>
        <w:t>对上市公司投资价值分析报告的主要内容及要求应参考中国证券业协会《关于进一步明确科创板投资价值研究报告要求的通知》来规范撰写。包括：</w:t>
      </w:r>
    </w:p>
    <w:p>
      <w:pPr>
        <w:ind w:firstLine="562" w:firstLineChars="200"/>
        <w:rPr>
          <w:rFonts w:ascii="仿宋" w:hAnsi="仿宋" w:eastAsia="仿宋"/>
          <w:b/>
          <w:sz w:val="28"/>
          <w:szCs w:val="28"/>
        </w:rPr>
      </w:pPr>
      <w:r>
        <w:rPr>
          <w:rFonts w:ascii="仿宋" w:hAnsi="仿宋" w:eastAsia="仿宋"/>
          <w:b/>
          <w:sz w:val="28"/>
          <w:szCs w:val="28"/>
        </w:rPr>
        <w:t>1、行业与公司状况分析</w:t>
      </w:r>
    </w:p>
    <w:p>
      <w:pPr>
        <w:ind w:firstLine="560" w:firstLineChars="200"/>
        <w:rPr>
          <w:rFonts w:ascii="仿宋" w:hAnsi="仿宋" w:eastAsia="仿宋"/>
          <w:sz w:val="28"/>
          <w:szCs w:val="28"/>
        </w:rPr>
      </w:pPr>
      <w:r>
        <w:rPr>
          <w:rFonts w:hint="eastAsia" w:ascii="仿宋" w:hAnsi="仿宋" w:eastAsia="仿宋"/>
          <w:sz w:val="28"/>
          <w:szCs w:val="28"/>
        </w:rPr>
        <w:t>行业分析是投资选择目标公司最为基础的工作，主要任务是解释行业本身所处的发展阶段及其在国民经济中的地位；分析影响行业的各种因素以及判断对行业影响的力度；预测并引导行业的未来发展趋势；判断行业投资价值，揭示行业投资风险；为投资选择提供充分依据等。重点是分析投资目标公司或项目所在行业的现状及发展趋势，发现最具成长性和发展潜力的行业，寻找行业内最具竞争优势的企业。</w:t>
      </w:r>
    </w:p>
    <w:p>
      <w:pPr>
        <w:ind w:firstLine="560" w:firstLineChars="200"/>
        <w:rPr>
          <w:rFonts w:ascii="仿宋" w:hAnsi="仿宋" w:eastAsia="仿宋"/>
          <w:sz w:val="28"/>
          <w:szCs w:val="28"/>
        </w:rPr>
      </w:pPr>
      <w:r>
        <w:rPr>
          <w:rFonts w:hint="eastAsia" w:ascii="仿宋" w:hAnsi="仿宋" w:eastAsia="仿宋"/>
          <w:sz w:val="28"/>
          <w:szCs w:val="28"/>
        </w:rPr>
        <w:t>行业分析应对研究对象或股票发行人的行业分类、行业政策、行业现状与竞争格局及发展趋势进行界定和系统分析，应客观地对研究对象与主要竞争者（如可比公司等）进行比较，评估公司行业地位。同时应对影响公司投资价值的行业状况与发展前景进行独立分析与预测。行业分类应按照证监会有关上市公司行业分类指引中指定的行业分类标准确定，不得任意选择。</w:t>
      </w:r>
    </w:p>
    <w:p>
      <w:pPr>
        <w:ind w:firstLine="560" w:firstLineChars="200"/>
        <w:rPr>
          <w:rFonts w:ascii="仿宋" w:hAnsi="仿宋" w:eastAsia="仿宋"/>
          <w:sz w:val="28"/>
          <w:szCs w:val="28"/>
        </w:rPr>
      </w:pPr>
      <w:r>
        <w:rPr>
          <w:rFonts w:hint="eastAsia" w:ascii="仿宋" w:hAnsi="仿宋" w:eastAsia="仿宋"/>
          <w:sz w:val="28"/>
          <w:szCs w:val="28"/>
        </w:rPr>
        <w:t>公司分析必须建立在行业分析的基础之上。应秉持独立审慎原则，包括商业模式、经营状况、财务状况与盈利能力和发展前景分析，同时对影响公司投资价值的有关状况进行分析。</w:t>
      </w:r>
    </w:p>
    <w:p>
      <w:pPr>
        <w:ind w:firstLine="562" w:firstLineChars="200"/>
        <w:rPr>
          <w:rFonts w:ascii="仿宋" w:hAnsi="仿宋" w:eastAsia="仿宋"/>
          <w:b/>
          <w:sz w:val="28"/>
          <w:szCs w:val="28"/>
        </w:rPr>
      </w:pPr>
      <w:r>
        <w:rPr>
          <w:rFonts w:ascii="仿宋" w:hAnsi="仿宋" w:eastAsia="仿宋"/>
          <w:b/>
          <w:sz w:val="28"/>
          <w:szCs w:val="28"/>
        </w:rPr>
        <w:t>2、可比上市公司分析</w:t>
      </w:r>
    </w:p>
    <w:p>
      <w:pPr>
        <w:ind w:firstLine="560" w:firstLineChars="200"/>
        <w:rPr>
          <w:rFonts w:ascii="仿宋" w:hAnsi="仿宋" w:eastAsia="仿宋"/>
          <w:sz w:val="28"/>
          <w:szCs w:val="28"/>
        </w:rPr>
      </w:pPr>
      <w:r>
        <w:rPr>
          <w:rFonts w:hint="eastAsia" w:ascii="仿宋" w:hAnsi="仿宋" w:eastAsia="仿宋"/>
          <w:sz w:val="28"/>
          <w:szCs w:val="28"/>
        </w:rPr>
        <w:t>应对研究对象与可比公司（如有）的投资价值进行多角度深度分析，阐述竞争优势。选择可比公司应该客观、全面，并详细说明选择可比公司的依据。可比公司原则上应与研究对象原招股说明书中披露的可比公司保持一致或是其他有充分证据表明具有可比性和必要性的上市公司。可比公司的选择是基于客观、公正进行比较的需要，而不是基于提高研究估值结论的需要。同时应列举可比上市公司的市盈率（如有）。相关公司如尚未盈利，可选择其他估值指标。</w:t>
      </w:r>
    </w:p>
    <w:p>
      <w:pPr>
        <w:ind w:firstLine="562" w:firstLineChars="200"/>
        <w:rPr>
          <w:rFonts w:ascii="仿宋" w:hAnsi="仿宋" w:eastAsia="仿宋"/>
          <w:b/>
          <w:sz w:val="28"/>
          <w:szCs w:val="28"/>
        </w:rPr>
      </w:pPr>
      <w:r>
        <w:rPr>
          <w:rFonts w:ascii="仿宋" w:hAnsi="仿宋" w:eastAsia="仿宋"/>
          <w:b/>
          <w:sz w:val="28"/>
          <w:szCs w:val="28"/>
        </w:rPr>
        <w:t>3、拟投项目或募投项目分析</w:t>
      </w:r>
    </w:p>
    <w:p>
      <w:pPr>
        <w:ind w:firstLine="560" w:firstLineChars="200"/>
        <w:rPr>
          <w:rFonts w:ascii="仿宋" w:hAnsi="仿宋" w:eastAsia="仿宋"/>
          <w:sz w:val="28"/>
          <w:szCs w:val="28"/>
        </w:rPr>
      </w:pPr>
      <w:r>
        <w:rPr>
          <w:rFonts w:hint="eastAsia" w:ascii="仿宋" w:hAnsi="仿宋" w:eastAsia="仿宋"/>
          <w:sz w:val="28"/>
          <w:szCs w:val="28"/>
        </w:rPr>
        <w:t>公司拟投资或募集资金投资项目对公司未来的经营业绩、竞争实力和投资价值影响很大，应对研究对象的投资项目进行分析，包括项目投资额、项目工艺技术水平、与公司现有业务的关系、项目进度及对公司收入和利润的贡献情况等。</w:t>
      </w:r>
    </w:p>
    <w:p>
      <w:pPr>
        <w:ind w:firstLine="562" w:firstLineChars="200"/>
        <w:rPr>
          <w:rFonts w:ascii="仿宋" w:hAnsi="仿宋" w:eastAsia="仿宋"/>
          <w:b/>
          <w:sz w:val="28"/>
          <w:szCs w:val="28"/>
        </w:rPr>
      </w:pPr>
      <w:r>
        <w:rPr>
          <w:rFonts w:ascii="仿宋" w:hAnsi="仿宋" w:eastAsia="仿宋"/>
          <w:b/>
          <w:sz w:val="28"/>
          <w:szCs w:val="28"/>
        </w:rPr>
        <w:t>4、盈利</w:t>
      </w:r>
      <w:r>
        <w:rPr>
          <w:rFonts w:hint="eastAsia" w:ascii="仿宋" w:hAnsi="仿宋" w:eastAsia="仿宋"/>
          <w:b/>
          <w:sz w:val="28"/>
          <w:szCs w:val="28"/>
        </w:rPr>
        <w:t>预</w:t>
      </w:r>
      <w:r>
        <w:rPr>
          <w:rFonts w:ascii="仿宋" w:hAnsi="仿宋" w:eastAsia="仿宋"/>
          <w:b/>
          <w:sz w:val="28"/>
          <w:szCs w:val="28"/>
        </w:rPr>
        <w:t>测与估值</w:t>
      </w:r>
    </w:p>
    <w:p>
      <w:pPr>
        <w:ind w:firstLine="560" w:firstLineChars="200"/>
        <w:rPr>
          <w:rFonts w:ascii="仿宋" w:hAnsi="仿宋" w:eastAsia="仿宋"/>
          <w:sz w:val="28"/>
          <w:szCs w:val="28"/>
        </w:rPr>
      </w:pPr>
      <w:r>
        <w:rPr>
          <w:rFonts w:hint="eastAsia" w:ascii="仿宋" w:hAnsi="仿宋" w:eastAsia="仿宋"/>
          <w:sz w:val="28"/>
          <w:szCs w:val="28"/>
        </w:rPr>
        <w:t>（</w:t>
      </w:r>
      <w:r>
        <w:rPr>
          <w:rFonts w:ascii="仿宋" w:hAnsi="仿宋" w:eastAsia="仿宋"/>
          <w:sz w:val="28"/>
          <w:szCs w:val="28"/>
        </w:rPr>
        <w:t>1）盈利</w:t>
      </w:r>
      <w:r>
        <w:rPr>
          <w:rFonts w:hint="eastAsia" w:ascii="仿宋" w:hAnsi="仿宋" w:eastAsia="仿宋"/>
          <w:sz w:val="28"/>
          <w:szCs w:val="28"/>
        </w:rPr>
        <w:t>预</w:t>
      </w:r>
      <w:r>
        <w:rPr>
          <w:rFonts w:ascii="仿宋" w:hAnsi="仿宋" w:eastAsia="仿宋"/>
          <w:sz w:val="28"/>
          <w:szCs w:val="28"/>
        </w:rPr>
        <w:t>测</w:t>
      </w:r>
    </w:p>
    <w:p>
      <w:pPr>
        <w:ind w:firstLine="560" w:firstLineChars="200"/>
        <w:rPr>
          <w:rFonts w:ascii="仿宋" w:hAnsi="仿宋" w:eastAsia="仿宋"/>
          <w:sz w:val="28"/>
          <w:szCs w:val="28"/>
        </w:rPr>
      </w:pPr>
      <w:r>
        <w:rPr>
          <w:rFonts w:hint="eastAsia" w:ascii="仿宋" w:hAnsi="仿宋" w:eastAsia="仿宋"/>
          <w:sz w:val="28"/>
          <w:szCs w:val="28"/>
        </w:rPr>
        <w:t>在对研究对象盈利能力和财务状况进行分析与评价的基础上，制作公司盈利预测模型，对公司未来三年的盈利情况进行预测以便于估值，包括但不限于资产负债表、利润表以及现金流量表三张报表的完整预测以及其他为完成预测而需要制作的辅助报表，从而预测公司未来的资产负债、利润和现金流量的相对完整的财务状况。在进行盈利预测前，应明确盈利预测的关键假设条件，并进行清晰、详细的阐述，说明其合理性。盈利预测过程应谨慎、合理。</w:t>
      </w:r>
    </w:p>
    <w:p>
      <w:pPr>
        <w:ind w:firstLine="560" w:firstLineChars="200"/>
        <w:rPr>
          <w:rFonts w:ascii="仿宋" w:hAnsi="仿宋" w:eastAsia="仿宋"/>
          <w:sz w:val="28"/>
          <w:szCs w:val="28"/>
        </w:rPr>
      </w:pPr>
      <w:r>
        <w:rPr>
          <w:rFonts w:hint="eastAsia" w:ascii="仿宋" w:hAnsi="仿宋" w:eastAsia="仿宋"/>
          <w:sz w:val="28"/>
          <w:szCs w:val="28"/>
        </w:rPr>
        <w:t>（</w:t>
      </w:r>
      <w:r>
        <w:rPr>
          <w:rFonts w:ascii="仿宋" w:hAnsi="仿宋" w:eastAsia="仿宋"/>
          <w:sz w:val="28"/>
          <w:szCs w:val="28"/>
        </w:rPr>
        <w:t>2）估值方法和参数选择</w:t>
      </w:r>
    </w:p>
    <w:p>
      <w:pPr>
        <w:ind w:firstLine="560" w:firstLineChars="200"/>
        <w:rPr>
          <w:rFonts w:ascii="仿宋" w:hAnsi="仿宋" w:eastAsia="仿宋"/>
          <w:sz w:val="28"/>
          <w:szCs w:val="28"/>
        </w:rPr>
      </w:pPr>
      <w:r>
        <w:rPr>
          <w:rFonts w:hint="eastAsia" w:ascii="仿宋" w:hAnsi="仿宋" w:eastAsia="仿宋"/>
          <w:sz w:val="28"/>
          <w:szCs w:val="28"/>
        </w:rPr>
        <w:t>应分别运用至少两种估值方法作为参考。列出所选用的每种估值方法的假设条件、主要参数、主要测算过程。应重点运用现金流量贴现法建立估值模型进行绝对估值。不得对股票二级市场交易价格作出预测。使用的参数和估值方法应当客观、专业，并分析说明选择参数和估值方法的依据，不得随意调整参数和估值方法。主要测算过程应当充分合理。</w:t>
      </w:r>
    </w:p>
    <w:p>
      <w:pPr>
        <w:ind w:firstLine="560" w:firstLineChars="200"/>
        <w:rPr>
          <w:rFonts w:ascii="仿宋" w:hAnsi="仿宋" w:eastAsia="仿宋"/>
          <w:sz w:val="28"/>
          <w:szCs w:val="28"/>
        </w:rPr>
      </w:pPr>
      <w:r>
        <w:rPr>
          <w:rFonts w:hint="eastAsia" w:ascii="仿宋" w:hAnsi="仿宋" w:eastAsia="仿宋"/>
          <w:sz w:val="28"/>
          <w:szCs w:val="28"/>
        </w:rPr>
        <w:t>（</w:t>
      </w:r>
      <w:r>
        <w:rPr>
          <w:rFonts w:ascii="仿宋" w:hAnsi="仿宋" w:eastAsia="仿宋"/>
          <w:sz w:val="28"/>
          <w:szCs w:val="28"/>
        </w:rPr>
        <w:t>3）估值结论</w:t>
      </w:r>
    </w:p>
    <w:p>
      <w:pPr>
        <w:ind w:firstLine="560" w:firstLineChars="200"/>
        <w:rPr>
          <w:rFonts w:ascii="仿宋" w:hAnsi="仿宋" w:eastAsia="仿宋"/>
          <w:sz w:val="28"/>
          <w:szCs w:val="28"/>
        </w:rPr>
      </w:pPr>
      <w:r>
        <w:rPr>
          <w:rFonts w:hint="eastAsia" w:ascii="仿宋" w:hAnsi="仿宋" w:eastAsia="仿宋"/>
          <w:sz w:val="28"/>
          <w:szCs w:val="28"/>
        </w:rPr>
        <w:t>应给出研究对象的整体市值区。对于首次公开发行股票，要给出假设不采用超额配售选择权的情况下的每股估值区间、对应的发行市盈率、计算方式等。</w:t>
      </w:r>
    </w:p>
    <w:p>
      <w:pPr>
        <w:ind w:firstLine="560" w:firstLineChars="200"/>
        <w:rPr>
          <w:rFonts w:ascii="仿宋" w:hAnsi="仿宋" w:eastAsia="仿宋"/>
          <w:sz w:val="28"/>
          <w:szCs w:val="28"/>
        </w:rPr>
      </w:pPr>
      <w:r>
        <w:rPr>
          <w:rFonts w:hint="eastAsia" w:ascii="仿宋" w:hAnsi="仿宋" w:eastAsia="仿宋"/>
          <w:sz w:val="28"/>
          <w:szCs w:val="28"/>
        </w:rPr>
        <w:t>在进行行业市盈率比较分析时，应客观列示相关行业的平均市盈率。同时从必要性出发可给出市净率等反映公司所在行业特点的估值指标。研究对象尚未盈利的，可以给出市销率、市净率等反映其所在行业特点的估值指标。</w:t>
      </w:r>
    </w:p>
    <w:p>
      <w:pPr>
        <w:ind w:firstLine="562" w:firstLineChars="200"/>
        <w:rPr>
          <w:rFonts w:ascii="仿宋" w:hAnsi="仿宋" w:eastAsia="仿宋"/>
          <w:b/>
          <w:sz w:val="28"/>
          <w:szCs w:val="28"/>
        </w:rPr>
      </w:pPr>
      <w:r>
        <w:rPr>
          <w:rFonts w:ascii="仿宋" w:hAnsi="仿宋" w:eastAsia="仿宋"/>
          <w:b/>
          <w:sz w:val="28"/>
          <w:szCs w:val="28"/>
        </w:rPr>
        <w:t>5、风险提示</w:t>
      </w:r>
    </w:p>
    <w:p>
      <w:pPr>
        <w:ind w:firstLine="560" w:firstLineChars="200"/>
        <w:rPr>
          <w:rFonts w:ascii="仿宋" w:hAnsi="仿宋" w:eastAsia="仿宋"/>
          <w:sz w:val="28"/>
          <w:szCs w:val="28"/>
        </w:rPr>
      </w:pPr>
      <w:r>
        <w:rPr>
          <w:rFonts w:hint="eastAsia" w:ascii="仿宋" w:hAnsi="仿宋" w:eastAsia="仿宋"/>
          <w:sz w:val="28"/>
          <w:szCs w:val="28"/>
        </w:rPr>
        <w:t>应在报告显著位置进行充分的风险提示，并特别说明如果盈利预测的假设条件不成立对公司盈利预测的影响以及对估值结论的影响。应按照重要性原则，按顺序披露可能直接或者间接对公司生产经营状况、财务状况和持续经营能力产生重大不利影响的主要因素，列出研究对象在经营过程中可能存在的潜在风险。同时，应当对所披露的风险因素做定量分析，无法进行定量分析的，应当有针对性地作出定性描述。在报告醒目位置提示投资者自主作出投资决策并自行承担投资风险。</w:t>
      </w:r>
    </w:p>
    <w:p>
      <w:pPr>
        <w:pStyle w:val="4"/>
        <w:ind w:firstLine="562" w:firstLineChars="200"/>
        <w:rPr>
          <w:rFonts w:ascii="仿宋" w:hAnsi="仿宋" w:eastAsia="仿宋"/>
          <w:sz w:val="28"/>
          <w:szCs w:val="28"/>
        </w:rPr>
      </w:pPr>
      <w:r>
        <w:rPr>
          <w:rFonts w:ascii="仿宋" w:hAnsi="仿宋" w:eastAsia="仿宋"/>
          <w:sz w:val="28"/>
          <w:szCs w:val="28"/>
        </w:rPr>
        <w:t>(二)</w:t>
      </w:r>
      <w:r>
        <w:rPr>
          <w:rFonts w:ascii="仿宋" w:hAnsi="仿宋" w:eastAsia="仿宋"/>
          <w:sz w:val="28"/>
          <w:szCs w:val="28"/>
        </w:rPr>
        <w:tab/>
      </w:r>
      <w:r>
        <w:rPr>
          <w:rFonts w:ascii="仿宋" w:hAnsi="仿宋" w:eastAsia="仿宋"/>
          <w:sz w:val="28"/>
          <w:szCs w:val="28"/>
        </w:rPr>
        <w:t>行业、公司研究报告的主要内容</w:t>
      </w:r>
    </w:p>
    <w:p>
      <w:pPr>
        <w:ind w:firstLine="562" w:firstLineChars="200"/>
        <w:rPr>
          <w:rFonts w:ascii="仿宋" w:hAnsi="仿宋" w:eastAsia="仿宋"/>
          <w:b/>
          <w:sz w:val="28"/>
          <w:szCs w:val="28"/>
        </w:rPr>
      </w:pPr>
      <w:r>
        <w:rPr>
          <w:rFonts w:ascii="仿宋" w:hAnsi="仿宋" w:eastAsia="仿宋"/>
          <w:b/>
          <w:sz w:val="28"/>
          <w:szCs w:val="28"/>
        </w:rPr>
        <w:t>1、行业分析</w:t>
      </w:r>
    </w:p>
    <w:p>
      <w:pPr>
        <w:ind w:firstLine="560" w:firstLineChars="200"/>
        <w:rPr>
          <w:rFonts w:ascii="仿宋" w:hAnsi="仿宋" w:eastAsia="仿宋"/>
          <w:sz w:val="28"/>
          <w:szCs w:val="28"/>
        </w:rPr>
      </w:pPr>
      <w:r>
        <w:rPr>
          <w:rFonts w:hint="eastAsia" w:ascii="仿宋" w:hAnsi="仿宋" w:eastAsia="仿宋"/>
          <w:sz w:val="28"/>
          <w:szCs w:val="28"/>
        </w:rPr>
        <w:t>对行业的划分按照证监会有关上市公司行业分类指引中指定的行业分类标准进行。在遵守此等分类标准的前提下可进行行业细分。行业分析包括细分行业领域应基于以下内容：</w:t>
      </w:r>
    </w:p>
    <w:p>
      <w:pPr>
        <w:ind w:firstLine="560" w:firstLineChars="200"/>
        <w:rPr>
          <w:rFonts w:ascii="仿宋" w:hAnsi="仿宋" w:eastAsia="仿宋"/>
          <w:sz w:val="28"/>
          <w:szCs w:val="28"/>
        </w:rPr>
      </w:pPr>
      <w:r>
        <w:rPr>
          <w:rFonts w:hint="eastAsia" w:ascii="仿宋" w:hAnsi="仿宋" w:eastAsia="仿宋"/>
          <w:sz w:val="28"/>
          <w:szCs w:val="28"/>
        </w:rPr>
        <w:t>（</w:t>
      </w:r>
      <w:r>
        <w:rPr>
          <w:rFonts w:ascii="仿宋" w:hAnsi="仿宋" w:eastAsia="仿宋"/>
          <w:sz w:val="28"/>
          <w:szCs w:val="28"/>
        </w:rPr>
        <w:t>1）行业历史与行业生命周期特征：如需要可对行业的发展史及所处的生命周期进行分析界定，如成长期、成熟期。</w:t>
      </w:r>
    </w:p>
    <w:p>
      <w:pPr>
        <w:ind w:firstLine="560" w:firstLineChars="200"/>
        <w:rPr>
          <w:rFonts w:ascii="仿宋" w:hAnsi="仿宋" w:eastAsia="仿宋"/>
          <w:sz w:val="28"/>
          <w:szCs w:val="28"/>
        </w:rPr>
      </w:pPr>
      <w:r>
        <w:rPr>
          <w:rFonts w:hint="eastAsia" w:ascii="仿宋" w:hAnsi="仿宋" w:eastAsia="仿宋"/>
          <w:sz w:val="28"/>
          <w:szCs w:val="28"/>
        </w:rPr>
        <w:t>（</w:t>
      </w:r>
      <w:r>
        <w:rPr>
          <w:rFonts w:ascii="仿宋" w:hAnsi="仿宋" w:eastAsia="仿宋"/>
          <w:sz w:val="28"/>
          <w:szCs w:val="28"/>
        </w:rPr>
        <w:t>2）行业监管政策及其影响：列举产业行业主要政策内容，分析政策对行业发展带来的机遇和有利与不利影响。</w:t>
      </w:r>
    </w:p>
    <w:p>
      <w:pPr>
        <w:ind w:firstLine="560" w:firstLineChars="200"/>
        <w:rPr>
          <w:rFonts w:ascii="仿宋" w:hAnsi="仿宋" w:eastAsia="仿宋"/>
          <w:sz w:val="28"/>
          <w:szCs w:val="28"/>
        </w:rPr>
      </w:pPr>
      <w:r>
        <w:rPr>
          <w:rFonts w:hint="eastAsia" w:ascii="仿宋" w:hAnsi="仿宋" w:eastAsia="仿宋"/>
          <w:sz w:val="28"/>
          <w:szCs w:val="28"/>
        </w:rPr>
        <w:t>（</w:t>
      </w:r>
      <w:r>
        <w:rPr>
          <w:rFonts w:ascii="仿宋" w:hAnsi="仿宋" w:eastAsia="仿宋"/>
          <w:sz w:val="28"/>
          <w:szCs w:val="28"/>
        </w:rPr>
        <w:t>3）国际行业发展概况：重点是分析该行业国际概况、技术水平、主要国家份额、竞争格局、发展趋势等。</w:t>
      </w:r>
    </w:p>
    <w:p>
      <w:pPr>
        <w:ind w:firstLine="560" w:firstLineChars="200"/>
        <w:rPr>
          <w:rFonts w:ascii="仿宋" w:hAnsi="仿宋" w:eastAsia="仿宋"/>
          <w:sz w:val="28"/>
          <w:szCs w:val="28"/>
        </w:rPr>
      </w:pPr>
      <w:r>
        <w:rPr>
          <w:rFonts w:hint="eastAsia" w:ascii="仿宋" w:hAnsi="仿宋" w:eastAsia="仿宋"/>
          <w:sz w:val="28"/>
          <w:szCs w:val="28"/>
        </w:rPr>
        <w:t>（</w:t>
      </w:r>
      <w:r>
        <w:rPr>
          <w:rFonts w:ascii="仿宋" w:hAnsi="仿宋" w:eastAsia="仿宋"/>
          <w:sz w:val="28"/>
          <w:szCs w:val="28"/>
        </w:rPr>
        <w:t>4）国内行业发展的现状：重点分析行业在产业链中的位置、行业增长态势及主要影响因素、行业增长的结构特征、行业技术水平、行业商业模式与盈利模式、细分行业发展情况、行业发展与国际水平的差距等。</w:t>
      </w:r>
    </w:p>
    <w:p>
      <w:pPr>
        <w:ind w:firstLine="560" w:firstLineChars="200"/>
        <w:rPr>
          <w:rFonts w:ascii="仿宋" w:hAnsi="仿宋" w:eastAsia="仿宋"/>
          <w:sz w:val="28"/>
          <w:szCs w:val="28"/>
        </w:rPr>
      </w:pPr>
      <w:r>
        <w:rPr>
          <w:rFonts w:hint="eastAsia" w:ascii="仿宋" w:hAnsi="仿宋" w:eastAsia="仿宋"/>
          <w:sz w:val="28"/>
          <w:szCs w:val="28"/>
        </w:rPr>
        <w:t>（</w:t>
      </w:r>
      <w:r>
        <w:rPr>
          <w:rFonts w:ascii="仿宋" w:hAnsi="仿宋" w:eastAsia="仿宋"/>
          <w:sz w:val="28"/>
          <w:szCs w:val="28"/>
        </w:rPr>
        <w:t>5）行业发展趋势 ：分析行业市场驱动因素与限制因素、行业发展空间预计（容量、天花板）和结构特征、行业发展面临的问题与挑战、行业发展的技术路线、行业发展的商业模式创新、行业发展的周期特征等。</w:t>
      </w:r>
    </w:p>
    <w:p>
      <w:pPr>
        <w:ind w:firstLine="560" w:firstLineChars="200"/>
        <w:rPr>
          <w:rFonts w:ascii="仿宋" w:hAnsi="仿宋" w:eastAsia="仿宋"/>
          <w:sz w:val="28"/>
          <w:szCs w:val="28"/>
        </w:rPr>
      </w:pPr>
      <w:r>
        <w:rPr>
          <w:rFonts w:hint="eastAsia" w:ascii="仿宋" w:hAnsi="仿宋" w:eastAsia="仿宋"/>
          <w:sz w:val="28"/>
          <w:szCs w:val="28"/>
        </w:rPr>
        <w:t>（</w:t>
      </w:r>
      <w:r>
        <w:rPr>
          <w:rFonts w:ascii="仿宋" w:hAnsi="仿宋" w:eastAsia="仿宋"/>
          <w:sz w:val="28"/>
          <w:szCs w:val="28"/>
        </w:rPr>
        <w:t>6）行业评级：评级标准为报告发布日后的6个月内行业指数相对</w:t>
      </w:r>
      <w:r>
        <w:rPr>
          <w:rFonts w:hint="eastAsia" w:ascii="仿宋" w:hAnsi="仿宋" w:eastAsia="仿宋"/>
          <w:sz w:val="28"/>
          <w:szCs w:val="28"/>
        </w:rPr>
        <w:t>于</w:t>
      </w:r>
      <w:r>
        <w:rPr>
          <w:rFonts w:ascii="仿宋" w:hAnsi="仿宋" w:eastAsia="仿宋"/>
          <w:sz w:val="28"/>
          <w:szCs w:val="28"/>
        </w:rPr>
        <w:t>同期A股沪深300指数的涨跌幅</w:t>
      </w:r>
      <w:r>
        <w:rPr>
          <w:rFonts w:hint="eastAsia" w:ascii="仿宋" w:hAnsi="仿宋" w:eastAsia="仿宋"/>
          <w:sz w:val="28"/>
          <w:szCs w:val="28"/>
        </w:rPr>
        <w:t>度。</w:t>
      </w:r>
      <w:r>
        <w:rPr>
          <w:rFonts w:ascii="仿宋" w:hAnsi="仿宋" w:eastAsia="仿宋"/>
          <w:sz w:val="28"/>
          <w:szCs w:val="28"/>
        </w:rPr>
        <w:t>行业向好，行业指数领先沪深300指数，行业评级可为“推荐”；行业稳定，行业指数跟随沪深300指数，行业评级可为“中性”；行业向淡，行业指数落后沪深300指数，行业评级可为“回避”。</w:t>
      </w:r>
    </w:p>
    <w:p>
      <w:pPr>
        <w:ind w:firstLine="562" w:firstLineChars="200"/>
        <w:rPr>
          <w:rFonts w:ascii="仿宋" w:hAnsi="仿宋" w:eastAsia="仿宋"/>
          <w:b/>
          <w:sz w:val="28"/>
          <w:szCs w:val="28"/>
        </w:rPr>
      </w:pPr>
      <w:r>
        <w:rPr>
          <w:rFonts w:ascii="仿宋" w:hAnsi="仿宋" w:eastAsia="仿宋"/>
          <w:b/>
          <w:sz w:val="28"/>
          <w:szCs w:val="28"/>
        </w:rPr>
        <w:t>2、公司分析</w:t>
      </w:r>
    </w:p>
    <w:p>
      <w:pPr>
        <w:ind w:firstLine="560" w:firstLineChars="200"/>
        <w:rPr>
          <w:rFonts w:ascii="仿宋" w:hAnsi="仿宋" w:eastAsia="仿宋"/>
          <w:sz w:val="28"/>
          <w:szCs w:val="28"/>
        </w:rPr>
      </w:pPr>
      <w:r>
        <w:rPr>
          <w:rFonts w:hint="eastAsia" w:ascii="仿宋" w:hAnsi="仿宋" w:eastAsia="仿宋"/>
          <w:sz w:val="28"/>
          <w:szCs w:val="28"/>
        </w:rPr>
        <w:t>（</w:t>
      </w:r>
      <w:r>
        <w:rPr>
          <w:rFonts w:ascii="仿宋" w:hAnsi="仿宋" w:eastAsia="仿宋"/>
          <w:sz w:val="28"/>
          <w:szCs w:val="28"/>
        </w:rPr>
        <w:t>1）公司主营业务及主要产品： 包括公司主营业务概况；主要产品及性能；公司业务模式（采购、生产、销售）；公司主营产品研发情况（研发机构、主要研发人员、研发费用占比、研究成果、专利技术、在研项目等）。</w:t>
      </w:r>
    </w:p>
    <w:p>
      <w:pPr>
        <w:ind w:firstLine="560" w:firstLineChars="200"/>
        <w:rPr>
          <w:rFonts w:ascii="仿宋" w:hAnsi="仿宋" w:eastAsia="仿宋"/>
          <w:sz w:val="28"/>
          <w:szCs w:val="28"/>
        </w:rPr>
      </w:pPr>
      <w:r>
        <w:rPr>
          <w:rFonts w:hint="eastAsia" w:ascii="仿宋" w:hAnsi="仿宋" w:eastAsia="仿宋"/>
          <w:sz w:val="28"/>
          <w:szCs w:val="28"/>
        </w:rPr>
        <w:t>（</w:t>
      </w:r>
      <w:r>
        <w:rPr>
          <w:rFonts w:ascii="仿宋" w:hAnsi="仿宋" w:eastAsia="仿宋"/>
          <w:sz w:val="28"/>
          <w:szCs w:val="28"/>
        </w:rPr>
        <w:t>2）公司财务分析：重点是公司偿债能力分析 、公司营运能力分析、公司盈利能力分析，并对公司偿债能力、盈利能力和抵抗风险能力作出评价。必要时可对公司财务报告的真实性作出分析和提示。</w:t>
      </w:r>
    </w:p>
    <w:p>
      <w:pPr>
        <w:ind w:firstLine="560" w:firstLineChars="200"/>
        <w:rPr>
          <w:rFonts w:ascii="仿宋" w:hAnsi="仿宋" w:eastAsia="仿宋"/>
          <w:sz w:val="28"/>
          <w:szCs w:val="28"/>
        </w:rPr>
      </w:pPr>
      <w:r>
        <w:rPr>
          <w:rFonts w:hint="eastAsia" w:ascii="仿宋" w:hAnsi="仿宋" w:eastAsia="仿宋"/>
          <w:sz w:val="28"/>
          <w:szCs w:val="28"/>
        </w:rPr>
        <w:t>（</w:t>
      </w:r>
      <w:r>
        <w:rPr>
          <w:rFonts w:ascii="仿宋" w:hAnsi="仿宋" w:eastAsia="仿宋"/>
          <w:sz w:val="28"/>
          <w:szCs w:val="28"/>
        </w:rPr>
        <w:t>3）公司竞争能力分析：重点分析全球整体竞争格局；行业内的主要企业和最具竞争实力的企业（主要从产品布局、产品技术水平、销售渠道及策略、市场占有率、品牌格局、管理能力、规模实力等主</w:t>
      </w:r>
      <w:r>
        <w:rPr>
          <w:rFonts w:hint="eastAsia" w:ascii="仿宋" w:hAnsi="仿宋" w:eastAsia="仿宋"/>
          <w:sz w:val="28"/>
          <w:szCs w:val="28"/>
        </w:rPr>
        <w:t>要</w:t>
      </w:r>
      <w:r>
        <w:rPr>
          <w:rFonts w:ascii="仿宋" w:hAnsi="仿宋" w:eastAsia="仿宋"/>
          <w:sz w:val="28"/>
          <w:szCs w:val="28"/>
        </w:rPr>
        <w:t>面入手）；公司在行业中的竞争地位和竞争优势（主要从技术水平、与上游供应商的谈判能力、与下游客户的谈判能力、产品定价、获利能力、科技研发、产品市场占有率、产品品牌、新产品开发能力等方面入手）。</w:t>
      </w:r>
    </w:p>
    <w:p>
      <w:pPr>
        <w:ind w:firstLine="560" w:firstLineChars="200"/>
        <w:rPr>
          <w:rFonts w:ascii="仿宋" w:hAnsi="仿宋" w:eastAsia="仿宋"/>
          <w:sz w:val="28"/>
          <w:szCs w:val="28"/>
        </w:rPr>
      </w:pPr>
      <w:r>
        <w:rPr>
          <w:rFonts w:hint="eastAsia" w:ascii="仿宋" w:hAnsi="仿宋" w:eastAsia="仿宋"/>
          <w:sz w:val="28"/>
          <w:szCs w:val="28"/>
        </w:rPr>
        <w:t>（</w:t>
      </w:r>
      <w:r>
        <w:rPr>
          <w:rFonts w:ascii="仿宋" w:hAnsi="仿宋" w:eastAsia="仿宋"/>
          <w:sz w:val="28"/>
          <w:szCs w:val="28"/>
        </w:rPr>
        <w:t>4）公司治理分析：公司治理关系到公司的可持续发展，重点关注治理结构是否存在一股独大，是否存在内部人控制，独立董事是否发挥作用，治理制度体系是否健全，中小投资</w:t>
      </w:r>
      <w:r>
        <w:rPr>
          <w:rFonts w:hint="eastAsia" w:ascii="仿宋" w:hAnsi="仿宋" w:eastAsia="仿宋"/>
          <w:sz w:val="28"/>
          <w:szCs w:val="28"/>
        </w:rPr>
        <w:t>者</w:t>
      </w:r>
      <w:r>
        <w:rPr>
          <w:rFonts w:ascii="仿宋" w:hAnsi="仿宋" w:eastAsia="仿宋"/>
          <w:sz w:val="28"/>
          <w:szCs w:val="28"/>
        </w:rPr>
        <w:t>利益是否得到有效保护，是否存在内幕交易和显失公允的关联交易，是否存在大股东掏空上市公司的行为等。</w:t>
      </w:r>
    </w:p>
    <w:p>
      <w:pPr>
        <w:ind w:firstLine="562" w:firstLineChars="200"/>
        <w:rPr>
          <w:rFonts w:ascii="仿宋" w:hAnsi="仿宋" w:eastAsia="仿宋"/>
          <w:b/>
          <w:sz w:val="28"/>
          <w:szCs w:val="28"/>
        </w:rPr>
      </w:pPr>
      <w:r>
        <w:rPr>
          <w:rFonts w:ascii="仿宋" w:hAnsi="仿宋" w:eastAsia="仿宋"/>
          <w:b/>
          <w:sz w:val="28"/>
          <w:szCs w:val="28"/>
        </w:rPr>
        <w:t>3、公司投资评级与建议</w:t>
      </w:r>
    </w:p>
    <w:p>
      <w:pPr>
        <w:ind w:firstLine="560" w:firstLineChars="200"/>
        <w:rPr>
          <w:rFonts w:ascii="仿宋" w:hAnsi="仿宋" w:eastAsia="仿宋"/>
          <w:sz w:val="28"/>
          <w:szCs w:val="28"/>
        </w:rPr>
      </w:pPr>
      <w:r>
        <w:rPr>
          <w:rFonts w:hint="eastAsia" w:ascii="仿宋" w:hAnsi="仿宋" w:eastAsia="仿宋"/>
          <w:sz w:val="28"/>
          <w:szCs w:val="28"/>
        </w:rPr>
        <w:t>投资评级应建立在对公司进行盈利预测与估值的基础之上。原则上按投资价值研究报告关于公司盈利预测与估值的方法和要求对公司进行盈利预测与估值。</w:t>
      </w:r>
    </w:p>
    <w:p>
      <w:pPr>
        <w:ind w:firstLine="560" w:firstLineChars="200"/>
        <w:rPr>
          <w:rFonts w:ascii="仿宋" w:hAnsi="仿宋" w:eastAsia="仿宋"/>
          <w:sz w:val="28"/>
          <w:szCs w:val="28"/>
        </w:rPr>
      </w:pPr>
      <w:r>
        <w:rPr>
          <w:rFonts w:hint="eastAsia" w:ascii="仿宋" w:hAnsi="仿宋" w:eastAsia="仿宋"/>
          <w:sz w:val="28"/>
          <w:szCs w:val="28"/>
        </w:rPr>
        <w:t>投资评级应基于预测未来一定时期上市公司股价变动相对于</w:t>
      </w:r>
      <w:r>
        <w:rPr>
          <w:rFonts w:ascii="仿宋" w:hAnsi="仿宋" w:eastAsia="仿宋"/>
          <w:sz w:val="28"/>
          <w:szCs w:val="28"/>
        </w:rPr>
        <w:t>A股价格指数的强弱程度作出判断。评级标准原则上参照报告发布日后的6个月内公司股价变动相对同期A股沪深300指数涨跌幅的百分比，具体参考以下标准：</w:t>
      </w:r>
    </w:p>
    <w:tbl>
      <w:tblPr>
        <w:tblStyle w:val="9"/>
        <w:tblW w:w="0" w:type="auto"/>
        <w:tblInd w:w="46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696"/>
        <w:gridCol w:w="577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50" w:hRule="atLeast"/>
        </w:trPr>
        <w:tc>
          <w:tcPr>
            <w:tcW w:w="1696" w:type="dxa"/>
            <w:shd w:val="clear" w:color="auto" w:fill="auto"/>
            <w:vAlign w:val="center"/>
          </w:tcPr>
          <w:p>
            <w:pPr>
              <w:adjustRightInd w:val="0"/>
              <w:snapToGrid w:val="0"/>
              <w:jc w:val="center"/>
              <w:rPr>
                <w:rFonts w:ascii="仿宋" w:hAnsi="仿宋" w:eastAsia="仿宋" w:cs="Times New Roman"/>
                <w:sz w:val="24"/>
                <w:szCs w:val="24"/>
              </w:rPr>
            </w:pPr>
            <w:r>
              <w:rPr>
                <w:rFonts w:hint="eastAsia" w:ascii="仿宋" w:hAnsi="仿宋" w:eastAsia="仿宋" w:cs="Times New Roman"/>
                <w:sz w:val="24"/>
                <w:szCs w:val="24"/>
              </w:rPr>
              <w:t>评级类型</w:t>
            </w:r>
          </w:p>
        </w:tc>
        <w:tc>
          <w:tcPr>
            <w:tcW w:w="5772" w:type="dxa"/>
            <w:shd w:val="clear" w:color="auto" w:fill="auto"/>
            <w:vAlign w:val="center"/>
          </w:tcPr>
          <w:p>
            <w:pPr>
              <w:adjustRightInd w:val="0"/>
              <w:snapToGrid w:val="0"/>
              <w:jc w:val="center"/>
              <w:rPr>
                <w:rFonts w:ascii="仿宋" w:hAnsi="仿宋" w:eastAsia="仿宋" w:cs="Times New Roman"/>
                <w:sz w:val="24"/>
                <w:szCs w:val="24"/>
              </w:rPr>
            </w:pPr>
            <w:r>
              <w:rPr>
                <w:rFonts w:hint="eastAsia" w:ascii="仿宋" w:hAnsi="仿宋" w:eastAsia="仿宋" w:cs="Times New Roman"/>
                <w:sz w:val="24"/>
                <w:szCs w:val="24"/>
              </w:rPr>
              <w:t>参考标准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50" w:hRule="atLeast"/>
        </w:trPr>
        <w:tc>
          <w:tcPr>
            <w:tcW w:w="1696" w:type="dxa"/>
            <w:shd w:val="clear" w:color="auto" w:fill="auto"/>
            <w:vAlign w:val="center"/>
          </w:tcPr>
          <w:p>
            <w:pPr>
              <w:adjustRightInd w:val="0"/>
              <w:snapToGrid w:val="0"/>
              <w:jc w:val="center"/>
              <w:rPr>
                <w:rFonts w:ascii="仿宋" w:hAnsi="仿宋" w:eastAsia="仿宋" w:cs="Times New Roman"/>
                <w:sz w:val="24"/>
                <w:szCs w:val="24"/>
              </w:rPr>
            </w:pPr>
            <w:r>
              <w:rPr>
                <w:rFonts w:hint="eastAsia" w:ascii="仿宋" w:hAnsi="仿宋" w:eastAsia="仿宋" w:cs="Times New Roman"/>
                <w:sz w:val="24"/>
                <w:szCs w:val="24"/>
              </w:rPr>
              <w:t>买入</w:t>
            </w:r>
          </w:p>
        </w:tc>
        <w:tc>
          <w:tcPr>
            <w:tcW w:w="5772" w:type="dxa"/>
            <w:shd w:val="clear" w:color="auto" w:fill="auto"/>
            <w:vAlign w:val="center"/>
          </w:tcPr>
          <w:p>
            <w:pPr>
              <w:adjustRightInd w:val="0"/>
              <w:snapToGrid w:val="0"/>
              <w:rPr>
                <w:rFonts w:ascii="仿宋" w:hAnsi="仿宋" w:eastAsia="仿宋" w:cs="Times New Roman"/>
                <w:sz w:val="24"/>
                <w:szCs w:val="24"/>
              </w:rPr>
            </w:pPr>
            <w:r>
              <w:rPr>
                <w:rFonts w:ascii="仿宋" w:hAnsi="仿宋" w:eastAsia="仿宋"/>
                <w:sz w:val="24"/>
                <w:szCs w:val="24"/>
              </w:rPr>
              <w:t>股</w:t>
            </w:r>
            <w:r>
              <w:rPr>
                <w:rFonts w:hint="eastAsia" w:ascii="仿宋" w:hAnsi="仿宋" w:eastAsia="仿宋"/>
                <w:sz w:val="24"/>
                <w:szCs w:val="24"/>
              </w:rPr>
              <w:t>票</w:t>
            </w:r>
            <w:r>
              <w:rPr>
                <w:rFonts w:ascii="仿宋" w:hAnsi="仿宋" w:eastAsia="仿宋"/>
                <w:sz w:val="24"/>
                <w:szCs w:val="24"/>
              </w:rPr>
              <w:t>价</w:t>
            </w:r>
            <w:r>
              <w:rPr>
                <w:rFonts w:hint="eastAsia" w:ascii="仿宋" w:hAnsi="仿宋" w:eastAsia="仿宋"/>
                <w:sz w:val="24"/>
                <w:szCs w:val="24"/>
              </w:rPr>
              <w:t>格</w:t>
            </w:r>
            <w:r>
              <w:rPr>
                <w:rFonts w:ascii="仿宋" w:hAnsi="仿宋" w:eastAsia="仿宋"/>
                <w:sz w:val="24"/>
                <w:szCs w:val="24"/>
              </w:rPr>
              <w:t>变动</w:t>
            </w:r>
            <w:r>
              <w:rPr>
                <w:rFonts w:hint="eastAsia" w:ascii="仿宋" w:hAnsi="仿宋" w:eastAsia="仿宋" w:cs="Times New Roman"/>
                <w:sz w:val="24"/>
                <w:szCs w:val="24"/>
              </w:rPr>
              <w:t>相对沪深3</w:t>
            </w:r>
            <w:r>
              <w:rPr>
                <w:rFonts w:ascii="仿宋" w:hAnsi="仿宋" w:eastAsia="仿宋" w:cs="Times New Roman"/>
                <w:sz w:val="24"/>
                <w:szCs w:val="24"/>
              </w:rPr>
              <w:t>00</w:t>
            </w:r>
            <w:r>
              <w:rPr>
                <w:rFonts w:hint="eastAsia" w:ascii="仿宋" w:hAnsi="仿宋" w:eastAsia="仿宋" w:cs="Times New Roman"/>
                <w:sz w:val="24"/>
                <w:szCs w:val="24"/>
              </w:rPr>
              <w:t>指数涨幅在</w:t>
            </w:r>
            <w:r>
              <w:rPr>
                <w:rFonts w:ascii="仿宋" w:hAnsi="仿宋" w:eastAsia="仿宋" w:cs="Times New Roman"/>
                <w:sz w:val="24"/>
                <w:szCs w:val="24"/>
              </w:rPr>
              <w:t>10%</w:t>
            </w:r>
            <w:r>
              <w:rPr>
                <w:rFonts w:hint="eastAsia" w:ascii="仿宋" w:hAnsi="仿宋" w:eastAsia="仿宋" w:cs="Times New Roman"/>
                <w:sz w:val="24"/>
                <w:szCs w:val="24"/>
              </w:rPr>
              <w:t>以上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50" w:hRule="atLeast"/>
        </w:trPr>
        <w:tc>
          <w:tcPr>
            <w:tcW w:w="1696" w:type="dxa"/>
            <w:shd w:val="clear" w:color="auto" w:fill="auto"/>
            <w:vAlign w:val="center"/>
          </w:tcPr>
          <w:p>
            <w:pPr>
              <w:adjustRightInd w:val="0"/>
              <w:snapToGrid w:val="0"/>
              <w:jc w:val="center"/>
              <w:rPr>
                <w:rFonts w:ascii="仿宋" w:hAnsi="仿宋" w:eastAsia="仿宋" w:cs="Times New Roman"/>
                <w:sz w:val="24"/>
                <w:szCs w:val="24"/>
              </w:rPr>
            </w:pPr>
            <w:r>
              <w:rPr>
                <w:rFonts w:hint="eastAsia" w:ascii="仿宋" w:hAnsi="仿宋" w:eastAsia="仿宋" w:cs="Times New Roman"/>
                <w:sz w:val="24"/>
                <w:szCs w:val="24"/>
              </w:rPr>
              <w:t>增持</w:t>
            </w:r>
          </w:p>
        </w:tc>
        <w:tc>
          <w:tcPr>
            <w:tcW w:w="5772" w:type="dxa"/>
            <w:shd w:val="clear" w:color="auto" w:fill="auto"/>
            <w:vAlign w:val="center"/>
          </w:tcPr>
          <w:p>
            <w:pPr>
              <w:adjustRightInd w:val="0"/>
              <w:snapToGrid w:val="0"/>
              <w:rPr>
                <w:rFonts w:ascii="仿宋" w:hAnsi="仿宋" w:eastAsia="仿宋" w:cs="Times New Roman"/>
                <w:sz w:val="24"/>
                <w:szCs w:val="24"/>
              </w:rPr>
            </w:pPr>
            <w:r>
              <w:rPr>
                <w:rFonts w:ascii="仿宋" w:hAnsi="仿宋" w:eastAsia="仿宋"/>
                <w:sz w:val="24"/>
                <w:szCs w:val="24"/>
              </w:rPr>
              <w:t>股</w:t>
            </w:r>
            <w:r>
              <w:rPr>
                <w:rFonts w:hint="eastAsia" w:ascii="仿宋" w:hAnsi="仿宋" w:eastAsia="仿宋"/>
                <w:sz w:val="24"/>
                <w:szCs w:val="24"/>
              </w:rPr>
              <w:t>票</w:t>
            </w:r>
            <w:r>
              <w:rPr>
                <w:rFonts w:ascii="仿宋" w:hAnsi="仿宋" w:eastAsia="仿宋"/>
                <w:sz w:val="24"/>
                <w:szCs w:val="24"/>
              </w:rPr>
              <w:t>价</w:t>
            </w:r>
            <w:r>
              <w:rPr>
                <w:rFonts w:hint="eastAsia" w:ascii="仿宋" w:hAnsi="仿宋" w:eastAsia="仿宋"/>
                <w:sz w:val="24"/>
                <w:szCs w:val="24"/>
              </w:rPr>
              <w:t>格</w:t>
            </w:r>
            <w:r>
              <w:rPr>
                <w:rFonts w:ascii="仿宋" w:hAnsi="仿宋" w:eastAsia="仿宋"/>
                <w:sz w:val="24"/>
                <w:szCs w:val="24"/>
              </w:rPr>
              <w:t>变动</w:t>
            </w:r>
            <w:r>
              <w:rPr>
                <w:rFonts w:hint="eastAsia" w:ascii="仿宋" w:hAnsi="仿宋" w:eastAsia="仿宋" w:cs="Times New Roman"/>
                <w:sz w:val="24"/>
                <w:szCs w:val="24"/>
              </w:rPr>
              <w:t>相对沪深3</w:t>
            </w:r>
            <w:r>
              <w:rPr>
                <w:rFonts w:ascii="仿宋" w:hAnsi="仿宋" w:eastAsia="仿宋" w:cs="Times New Roman"/>
                <w:sz w:val="24"/>
                <w:szCs w:val="24"/>
              </w:rPr>
              <w:t>00</w:t>
            </w:r>
            <w:r>
              <w:rPr>
                <w:rFonts w:hint="eastAsia" w:ascii="仿宋" w:hAnsi="仿宋" w:eastAsia="仿宋" w:cs="Times New Roman"/>
                <w:sz w:val="24"/>
                <w:szCs w:val="24"/>
              </w:rPr>
              <w:t>指数涨幅在</w:t>
            </w:r>
            <w:r>
              <w:rPr>
                <w:rFonts w:ascii="仿宋" w:hAnsi="仿宋" w:eastAsia="仿宋" w:cs="Times New Roman"/>
                <w:sz w:val="24"/>
                <w:szCs w:val="24"/>
              </w:rPr>
              <w:t>5%</w:t>
            </w:r>
            <w:r>
              <w:rPr>
                <w:rFonts w:hint="eastAsia" w:ascii="仿宋" w:hAnsi="仿宋" w:eastAsia="仿宋" w:cs="Times New Roman"/>
                <w:sz w:val="24"/>
                <w:szCs w:val="24"/>
              </w:rPr>
              <w:t>至</w:t>
            </w:r>
            <w:r>
              <w:rPr>
                <w:rFonts w:ascii="仿宋" w:hAnsi="仿宋" w:eastAsia="仿宋" w:cs="Times New Roman"/>
                <w:sz w:val="24"/>
                <w:szCs w:val="24"/>
              </w:rPr>
              <w:t>15%</w:t>
            </w:r>
            <w:r>
              <w:rPr>
                <w:rFonts w:hint="eastAsia" w:ascii="仿宋" w:hAnsi="仿宋" w:eastAsia="仿宋" w:cs="Times New Roman"/>
                <w:sz w:val="24"/>
                <w:szCs w:val="24"/>
              </w:rPr>
              <w:t>之间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270" w:hRule="atLeast"/>
        </w:trPr>
        <w:tc>
          <w:tcPr>
            <w:tcW w:w="1696" w:type="dxa"/>
            <w:tcBorders>
              <w:bottom w:val="single" w:color="auto" w:sz="4" w:space="0"/>
            </w:tcBorders>
            <w:shd w:val="clear" w:color="auto" w:fill="auto"/>
            <w:vAlign w:val="center"/>
          </w:tcPr>
          <w:p>
            <w:pPr>
              <w:adjustRightInd w:val="0"/>
              <w:snapToGrid w:val="0"/>
              <w:jc w:val="center"/>
              <w:rPr>
                <w:rFonts w:ascii="仿宋" w:hAnsi="仿宋" w:eastAsia="仿宋" w:cs="Times New Roman"/>
                <w:sz w:val="24"/>
                <w:szCs w:val="24"/>
              </w:rPr>
            </w:pPr>
            <w:r>
              <w:rPr>
                <w:rFonts w:hint="eastAsia" w:ascii="仿宋" w:hAnsi="仿宋" w:eastAsia="仿宋" w:cs="Times New Roman"/>
                <w:sz w:val="24"/>
                <w:szCs w:val="24"/>
              </w:rPr>
              <w:t>中性</w:t>
            </w:r>
          </w:p>
        </w:tc>
        <w:tc>
          <w:tcPr>
            <w:tcW w:w="5772" w:type="dxa"/>
            <w:tcBorders>
              <w:bottom w:val="single" w:color="auto" w:sz="4" w:space="0"/>
            </w:tcBorders>
            <w:shd w:val="clear" w:color="auto" w:fill="auto"/>
            <w:vAlign w:val="center"/>
          </w:tcPr>
          <w:p>
            <w:pPr>
              <w:adjustRightInd w:val="0"/>
              <w:snapToGrid w:val="0"/>
              <w:rPr>
                <w:rFonts w:ascii="仿宋" w:hAnsi="仿宋" w:eastAsia="仿宋" w:cs="Times New Roman"/>
                <w:sz w:val="24"/>
                <w:szCs w:val="24"/>
              </w:rPr>
            </w:pPr>
            <w:r>
              <w:rPr>
                <w:rFonts w:ascii="仿宋" w:hAnsi="仿宋" w:eastAsia="仿宋"/>
                <w:sz w:val="24"/>
                <w:szCs w:val="24"/>
              </w:rPr>
              <w:t>股</w:t>
            </w:r>
            <w:r>
              <w:rPr>
                <w:rFonts w:hint="eastAsia" w:ascii="仿宋" w:hAnsi="仿宋" w:eastAsia="仿宋"/>
                <w:sz w:val="24"/>
                <w:szCs w:val="24"/>
              </w:rPr>
              <w:t>票</w:t>
            </w:r>
            <w:r>
              <w:rPr>
                <w:rFonts w:ascii="仿宋" w:hAnsi="仿宋" w:eastAsia="仿宋"/>
                <w:sz w:val="24"/>
                <w:szCs w:val="24"/>
              </w:rPr>
              <w:t>价</w:t>
            </w:r>
            <w:r>
              <w:rPr>
                <w:rFonts w:hint="eastAsia" w:ascii="仿宋" w:hAnsi="仿宋" w:eastAsia="仿宋"/>
                <w:sz w:val="24"/>
                <w:szCs w:val="24"/>
              </w:rPr>
              <w:t>格</w:t>
            </w:r>
            <w:r>
              <w:rPr>
                <w:rFonts w:ascii="仿宋" w:hAnsi="仿宋" w:eastAsia="仿宋"/>
                <w:sz w:val="24"/>
                <w:szCs w:val="24"/>
              </w:rPr>
              <w:t>变动</w:t>
            </w:r>
            <w:r>
              <w:rPr>
                <w:rFonts w:hint="eastAsia" w:ascii="仿宋" w:hAnsi="仿宋" w:eastAsia="仿宋" w:cs="Times New Roman"/>
                <w:sz w:val="24"/>
                <w:szCs w:val="24"/>
              </w:rPr>
              <w:t>相对沪深3</w:t>
            </w:r>
            <w:r>
              <w:rPr>
                <w:rFonts w:ascii="仿宋" w:hAnsi="仿宋" w:eastAsia="仿宋" w:cs="Times New Roman"/>
                <w:sz w:val="24"/>
                <w:szCs w:val="24"/>
              </w:rPr>
              <w:t>00</w:t>
            </w:r>
            <w:r>
              <w:rPr>
                <w:rFonts w:hint="eastAsia" w:ascii="仿宋" w:hAnsi="仿宋" w:eastAsia="仿宋" w:cs="Times New Roman"/>
                <w:sz w:val="24"/>
                <w:szCs w:val="24"/>
              </w:rPr>
              <w:t>指数涨幅在</w:t>
            </w:r>
            <w:r>
              <w:rPr>
                <w:rFonts w:ascii="仿宋" w:hAnsi="仿宋" w:eastAsia="仿宋" w:cs="Times New Roman"/>
                <w:sz w:val="24"/>
                <w:szCs w:val="24"/>
              </w:rPr>
              <w:t>-5%</w:t>
            </w:r>
            <w:r>
              <w:rPr>
                <w:rFonts w:hint="eastAsia" w:ascii="仿宋" w:hAnsi="仿宋" w:eastAsia="仿宋" w:cs="Times New Roman"/>
                <w:sz w:val="24"/>
                <w:szCs w:val="24"/>
              </w:rPr>
              <w:t>至</w:t>
            </w:r>
            <w:r>
              <w:rPr>
                <w:rFonts w:ascii="仿宋" w:hAnsi="仿宋" w:eastAsia="仿宋" w:cs="Times New Roman"/>
                <w:sz w:val="24"/>
                <w:szCs w:val="24"/>
              </w:rPr>
              <w:t>5%</w:t>
            </w:r>
            <w:r>
              <w:rPr>
                <w:rFonts w:hint="eastAsia" w:ascii="仿宋" w:hAnsi="仿宋" w:eastAsia="仿宋" w:cs="Times New Roman"/>
                <w:sz w:val="24"/>
                <w:szCs w:val="24"/>
              </w:rPr>
              <w:t>之间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182" w:hRule="atLeast"/>
        </w:trPr>
        <w:tc>
          <w:tcPr>
            <w:tcW w:w="1696" w:type="dxa"/>
            <w:tcBorders>
              <w:top w:val="single" w:color="auto" w:sz="4" w:space="0"/>
            </w:tcBorders>
            <w:shd w:val="clear" w:color="auto" w:fill="auto"/>
            <w:vAlign w:val="center"/>
          </w:tcPr>
          <w:p>
            <w:pPr>
              <w:adjustRightInd w:val="0"/>
              <w:snapToGrid w:val="0"/>
              <w:jc w:val="center"/>
              <w:rPr>
                <w:rFonts w:ascii="仿宋" w:hAnsi="仿宋" w:eastAsia="仿宋" w:cs="Times New Roman"/>
                <w:sz w:val="24"/>
                <w:szCs w:val="24"/>
              </w:rPr>
            </w:pPr>
            <w:r>
              <w:rPr>
                <w:rFonts w:hint="eastAsia" w:ascii="仿宋" w:hAnsi="仿宋" w:eastAsia="仿宋" w:cs="Times New Roman"/>
                <w:sz w:val="24"/>
                <w:szCs w:val="24"/>
              </w:rPr>
              <w:t>减持</w:t>
            </w:r>
          </w:p>
        </w:tc>
        <w:tc>
          <w:tcPr>
            <w:tcW w:w="5772" w:type="dxa"/>
            <w:tcBorders>
              <w:top w:val="single" w:color="auto" w:sz="4" w:space="0"/>
            </w:tcBorders>
            <w:shd w:val="clear" w:color="auto" w:fill="auto"/>
            <w:vAlign w:val="center"/>
          </w:tcPr>
          <w:p>
            <w:pPr>
              <w:adjustRightInd w:val="0"/>
              <w:snapToGrid w:val="0"/>
              <w:rPr>
                <w:rFonts w:ascii="仿宋" w:hAnsi="仿宋" w:eastAsia="仿宋"/>
                <w:sz w:val="24"/>
                <w:szCs w:val="24"/>
              </w:rPr>
            </w:pPr>
            <w:r>
              <w:rPr>
                <w:rFonts w:ascii="仿宋" w:hAnsi="仿宋" w:eastAsia="仿宋"/>
                <w:sz w:val="24"/>
                <w:szCs w:val="24"/>
              </w:rPr>
              <w:t>股</w:t>
            </w:r>
            <w:r>
              <w:rPr>
                <w:rFonts w:hint="eastAsia" w:ascii="仿宋" w:hAnsi="仿宋" w:eastAsia="仿宋"/>
                <w:sz w:val="24"/>
                <w:szCs w:val="24"/>
              </w:rPr>
              <w:t>票</w:t>
            </w:r>
            <w:r>
              <w:rPr>
                <w:rFonts w:ascii="仿宋" w:hAnsi="仿宋" w:eastAsia="仿宋"/>
                <w:sz w:val="24"/>
                <w:szCs w:val="24"/>
              </w:rPr>
              <w:t>价</w:t>
            </w:r>
            <w:r>
              <w:rPr>
                <w:rFonts w:hint="eastAsia" w:ascii="仿宋" w:hAnsi="仿宋" w:eastAsia="仿宋"/>
                <w:sz w:val="24"/>
                <w:szCs w:val="24"/>
              </w:rPr>
              <w:t>格</w:t>
            </w:r>
            <w:r>
              <w:rPr>
                <w:rFonts w:ascii="仿宋" w:hAnsi="仿宋" w:eastAsia="仿宋"/>
                <w:sz w:val="24"/>
                <w:szCs w:val="24"/>
              </w:rPr>
              <w:t>变动</w:t>
            </w:r>
            <w:r>
              <w:rPr>
                <w:rFonts w:hint="eastAsia" w:ascii="仿宋" w:hAnsi="仿宋" w:eastAsia="仿宋" w:cs="Times New Roman"/>
                <w:sz w:val="24"/>
                <w:szCs w:val="24"/>
              </w:rPr>
              <w:t>相对沪深3</w:t>
            </w:r>
            <w:r>
              <w:rPr>
                <w:rFonts w:ascii="仿宋" w:hAnsi="仿宋" w:eastAsia="仿宋" w:cs="Times New Roman"/>
                <w:sz w:val="24"/>
                <w:szCs w:val="24"/>
              </w:rPr>
              <w:t>00</w:t>
            </w:r>
            <w:r>
              <w:rPr>
                <w:rFonts w:hint="eastAsia" w:ascii="仿宋" w:hAnsi="仿宋" w:eastAsia="仿宋" w:cs="Times New Roman"/>
                <w:sz w:val="24"/>
                <w:szCs w:val="24"/>
              </w:rPr>
              <w:t>指数涨幅在</w:t>
            </w:r>
            <w:r>
              <w:rPr>
                <w:rFonts w:ascii="仿宋" w:hAnsi="仿宋" w:eastAsia="仿宋" w:cs="Times New Roman"/>
                <w:sz w:val="24"/>
                <w:szCs w:val="24"/>
              </w:rPr>
              <w:t>-10%</w:t>
            </w:r>
            <w:r>
              <w:rPr>
                <w:rFonts w:hint="eastAsia" w:ascii="仿宋" w:hAnsi="仿宋" w:eastAsia="仿宋" w:cs="Times New Roman"/>
                <w:sz w:val="24"/>
                <w:szCs w:val="24"/>
              </w:rPr>
              <w:t>至</w:t>
            </w:r>
            <w:r>
              <w:rPr>
                <w:rFonts w:ascii="仿宋" w:hAnsi="仿宋" w:eastAsia="仿宋" w:cs="Times New Roman"/>
                <w:sz w:val="24"/>
                <w:szCs w:val="24"/>
              </w:rPr>
              <w:t>5%</w:t>
            </w:r>
            <w:r>
              <w:rPr>
                <w:rFonts w:hint="eastAsia" w:ascii="仿宋" w:hAnsi="仿宋" w:eastAsia="仿宋" w:cs="Times New Roman"/>
                <w:sz w:val="24"/>
                <w:szCs w:val="24"/>
              </w:rPr>
              <w:t>之间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50" w:hRule="atLeast"/>
        </w:trPr>
        <w:tc>
          <w:tcPr>
            <w:tcW w:w="1696" w:type="dxa"/>
            <w:shd w:val="clear" w:color="auto" w:fill="auto"/>
            <w:vAlign w:val="center"/>
          </w:tcPr>
          <w:p>
            <w:pPr>
              <w:adjustRightInd w:val="0"/>
              <w:snapToGrid w:val="0"/>
              <w:jc w:val="center"/>
              <w:rPr>
                <w:rFonts w:ascii="仿宋" w:hAnsi="仿宋" w:eastAsia="仿宋" w:cs="Times New Roman"/>
                <w:sz w:val="24"/>
                <w:szCs w:val="24"/>
              </w:rPr>
            </w:pPr>
            <w:r>
              <w:rPr>
                <w:rFonts w:hint="eastAsia" w:ascii="仿宋" w:hAnsi="仿宋" w:eastAsia="仿宋" w:cs="Times New Roman"/>
                <w:sz w:val="24"/>
                <w:szCs w:val="24"/>
              </w:rPr>
              <w:t>卖出</w:t>
            </w:r>
          </w:p>
        </w:tc>
        <w:tc>
          <w:tcPr>
            <w:tcW w:w="5772" w:type="dxa"/>
            <w:shd w:val="clear" w:color="auto" w:fill="auto"/>
            <w:vAlign w:val="center"/>
          </w:tcPr>
          <w:p>
            <w:pPr>
              <w:adjustRightInd w:val="0"/>
              <w:snapToGrid w:val="0"/>
              <w:rPr>
                <w:rFonts w:ascii="仿宋" w:hAnsi="仿宋" w:eastAsia="仿宋" w:cs="Times New Roman"/>
                <w:sz w:val="24"/>
                <w:szCs w:val="24"/>
              </w:rPr>
            </w:pPr>
            <w:r>
              <w:rPr>
                <w:rFonts w:ascii="仿宋" w:hAnsi="仿宋" w:eastAsia="仿宋"/>
                <w:sz w:val="24"/>
                <w:szCs w:val="24"/>
              </w:rPr>
              <w:t>股</w:t>
            </w:r>
            <w:r>
              <w:rPr>
                <w:rFonts w:hint="eastAsia" w:ascii="仿宋" w:hAnsi="仿宋" w:eastAsia="仿宋"/>
                <w:sz w:val="24"/>
                <w:szCs w:val="24"/>
              </w:rPr>
              <w:t>票</w:t>
            </w:r>
            <w:r>
              <w:rPr>
                <w:rFonts w:ascii="仿宋" w:hAnsi="仿宋" w:eastAsia="仿宋"/>
                <w:sz w:val="24"/>
                <w:szCs w:val="24"/>
              </w:rPr>
              <w:t>价</w:t>
            </w:r>
            <w:r>
              <w:rPr>
                <w:rFonts w:hint="eastAsia" w:ascii="仿宋" w:hAnsi="仿宋" w:eastAsia="仿宋"/>
                <w:sz w:val="24"/>
                <w:szCs w:val="24"/>
              </w:rPr>
              <w:t>格</w:t>
            </w:r>
            <w:r>
              <w:rPr>
                <w:rFonts w:ascii="仿宋" w:hAnsi="仿宋" w:eastAsia="仿宋"/>
                <w:sz w:val="24"/>
                <w:szCs w:val="24"/>
              </w:rPr>
              <w:t>变动</w:t>
            </w:r>
            <w:r>
              <w:rPr>
                <w:rFonts w:hint="eastAsia" w:ascii="仿宋" w:hAnsi="仿宋" w:eastAsia="仿宋" w:cs="Times New Roman"/>
                <w:sz w:val="24"/>
                <w:szCs w:val="24"/>
              </w:rPr>
              <w:t>相对沪深3</w:t>
            </w:r>
            <w:r>
              <w:rPr>
                <w:rFonts w:ascii="仿宋" w:hAnsi="仿宋" w:eastAsia="仿宋" w:cs="Times New Roman"/>
                <w:sz w:val="24"/>
                <w:szCs w:val="24"/>
              </w:rPr>
              <w:t>00</w:t>
            </w:r>
            <w:r>
              <w:rPr>
                <w:rFonts w:hint="eastAsia" w:ascii="仿宋" w:hAnsi="仿宋" w:eastAsia="仿宋" w:cs="Times New Roman"/>
                <w:sz w:val="24"/>
                <w:szCs w:val="24"/>
              </w:rPr>
              <w:t>指数跌幅在-</w:t>
            </w:r>
            <w:r>
              <w:rPr>
                <w:rFonts w:ascii="仿宋" w:hAnsi="仿宋" w:eastAsia="仿宋" w:cs="Times New Roman"/>
                <w:sz w:val="24"/>
                <w:szCs w:val="24"/>
              </w:rPr>
              <w:t>10%</w:t>
            </w:r>
            <w:r>
              <w:rPr>
                <w:rFonts w:hint="eastAsia" w:ascii="仿宋" w:hAnsi="仿宋" w:eastAsia="仿宋" w:cs="Times New Roman"/>
                <w:sz w:val="24"/>
                <w:szCs w:val="24"/>
              </w:rPr>
              <w:t>以上</w:t>
            </w:r>
          </w:p>
        </w:tc>
      </w:tr>
    </w:tbl>
    <w:p>
      <w:pPr>
        <w:ind w:firstLine="560" w:firstLineChars="200"/>
        <w:rPr>
          <w:rFonts w:ascii="仿宋" w:hAnsi="仿宋" w:eastAsia="仿宋"/>
          <w:sz w:val="28"/>
          <w:szCs w:val="28"/>
        </w:rPr>
      </w:pPr>
      <w:r>
        <w:rPr>
          <w:rFonts w:hint="eastAsia" w:ascii="仿宋" w:hAnsi="仿宋" w:eastAsia="仿宋"/>
          <w:sz w:val="28"/>
          <w:szCs w:val="28"/>
        </w:rPr>
        <w:t>调整原评级的股票，应明确标注“维持”、“调高”、“调低”的方向示意。</w:t>
      </w:r>
    </w:p>
    <w:p>
      <w:pPr>
        <w:ind w:firstLine="560" w:firstLineChars="200"/>
        <w:rPr>
          <w:rFonts w:ascii="仿宋" w:hAnsi="仿宋" w:eastAsia="仿宋"/>
          <w:sz w:val="28"/>
          <w:szCs w:val="28"/>
        </w:rPr>
      </w:pPr>
      <w:r>
        <w:rPr>
          <w:rFonts w:hint="eastAsia" w:ascii="仿宋" w:hAnsi="仿宋" w:eastAsia="仿宋"/>
          <w:sz w:val="28"/>
          <w:szCs w:val="28"/>
        </w:rPr>
        <w:t>报告可提出投资建议。</w:t>
      </w:r>
    </w:p>
    <w:p>
      <w:pPr>
        <w:ind w:firstLine="562" w:firstLineChars="200"/>
        <w:rPr>
          <w:rFonts w:ascii="仿宋" w:hAnsi="仿宋" w:eastAsia="仿宋"/>
          <w:b/>
          <w:sz w:val="28"/>
          <w:szCs w:val="28"/>
        </w:rPr>
      </w:pPr>
      <w:r>
        <w:rPr>
          <w:rFonts w:ascii="仿宋" w:hAnsi="仿宋" w:eastAsia="仿宋"/>
          <w:b/>
          <w:sz w:val="28"/>
          <w:szCs w:val="28"/>
        </w:rPr>
        <w:t>4、风险揭示</w:t>
      </w:r>
    </w:p>
    <w:p>
      <w:pPr>
        <w:ind w:firstLine="560" w:firstLineChars="200"/>
        <w:rPr>
          <w:rFonts w:ascii="仿宋" w:hAnsi="仿宋" w:eastAsia="仿宋"/>
          <w:sz w:val="28"/>
          <w:szCs w:val="28"/>
        </w:rPr>
      </w:pPr>
      <w:r>
        <w:rPr>
          <w:rFonts w:hint="eastAsia" w:ascii="仿宋" w:hAnsi="仿宋" w:eastAsia="仿宋"/>
          <w:sz w:val="28"/>
          <w:szCs w:val="28"/>
        </w:rPr>
        <w:t>按重要性原则和顺序，分析揭示对公司生产经营状况、财务状况和持续经营能力等产生的重大不利影响和可能存在的投资风险。</w:t>
      </w:r>
    </w:p>
    <w:p>
      <w:pPr>
        <w:pStyle w:val="4"/>
        <w:ind w:firstLine="562" w:firstLineChars="200"/>
        <w:rPr>
          <w:rFonts w:ascii="仿宋" w:hAnsi="仿宋" w:eastAsia="仿宋"/>
          <w:sz w:val="28"/>
          <w:szCs w:val="28"/>
        </w:rPr>
      </w:pPr>
      <w:r>
        <w:rPr>
          <w:rFonts w:ascii="仿宋" w:hAnsi="仿宋" w:eastAsia="仿宋"/>
          <w:sz w:val="28"/>
          <w:szCs w:val="28"/>
        </w:rPr>
        <w:t>(三)</w:t>
      </w:r>
      <w:r>
        <w:rPr>
          <w:rFonts w:ascii="仿宋" w:hAnsi="仿宋" w:eastAsia="仿宋"/>
          <w:sz w:val="28"/>
          <w:szCs w:val="28"/>
        </w:rPr>
        <w:tab/>
      </w:r>
      <w:r>
        <w:rPr>
          <w:rFonts w:ascii="仿宋" w:hAnsi="仿宋" w:eastAsia="仿宋"/>
          <w:sz w:val="28"/>
          <w:szCs w:val="28"/>
        </w:rPr>
        <w:t>策略研究报告的主要内容</w:t>
      </w:r>
    </w:p>
    <w:p>
      <w:pPr>
        <w:ind w:firstLine="560" w:firstLineChars="200"/>
        <w:rPr>
          <w:rFonts w:ascii="仿宋" w:hAnsi="仿宋" w:eastAsia="仿宋"/>
          <w:sz w:val="28"/>
          <w:szCs w:val="28"/>
        </w:rPr>
      </w:pPr>
      <w:r>
        <w:rPr>
          <w:rFonts w:hint="eastAsia" w:ascii="仿宋" w:hAnsi="仿宋" w:eastAsia="仿宋"/>
          <w:sz w:val="28"/>
          <w:szCs w:val="28"/>
        </w:rPr>
        <w:t>策略研究报告的主要内容是在进行适当的宏观经济分析、必要的行业与政策分析、资本市场事件分析</w:t>
      </w:r>
      <w:r>
        <w:rPr>
          <w:rFonts w:ascii="仿宋" w:hAnsi="仿宋" w:eastAsia="仿宋"/>
          <w:sz w:val="28"/>
          <w:szCs w:val="28"/>
        </w:rPr>
        <w:t>、对上市公司影响分析或金融产品</w:t>
      </w:r>
      <w:r>
        <w:rPr>
          <w:rFonts w:hint="eastAsia" w:ascii="仿宋" w:hAnsi="仿宋" w:eastAsia="仿宋"/>
          <w:sz w:val="28"/>
          <w:szCs w:val="28"/>
        </w:rPr>
        <w:t>研究分析</w:t>
      </w:r>
      <w:r>
        <w:rPr>
          <w:rFonts w:ascii="仿宋" w:hAnsi="仿宋" w:eastAsia="仿宋"/>
          <w:sz w:val="28"/>
          <w:szCs w:val="28"/>
        </w:rPr>
        <w:t>等内容的基础上，提出细分行业配置、</w:t>
      </w:r>
      <w:r>
        <w:rPr>
          <w:rFonts w:hint="eastAsia" w:ascii="仿宋" w:hAnsi="仿宋" w:eastAsia="仿宋"/>
          <w:sz w:val="28"/>
          <w:szCs w:val="28"/>
        </w:rPr>
        <w:t>个股配置、</w:t>
      </w:r>
      <w:r>
        <w:rPr>
          <w:rFonts w:ascii="仿宋" w:hAnsi="仿宋" w:eastAsia="仿宋"/>
          <w:sz w:val="28"/>
          <w:szCs w:val="28"/>
        </w:rPr>
        <w:t>大类资产配置或证券投资组合的策略与</w:t>
      </w:r>
      <w:r>
        <w:rPr>
          <w:rFonts w:hint="eastAsia" w:ascii="仿宋" w:hAnsi="仿宋" w:eastAsia="仿宋"/>
          <w:sz w:val="28"/>
          <w:szCs w:val="28"/>
        </w:rPr>
        <w:t>投资</w:t>
      </w:r>
      <w:r>
        <w:rPr>
          <w:rFonts w:ascii="仿宋" w:hAnsi="仿宋" w:eastAsia="仿宋"/>
          <w:sz w:val="28"/>
          <w:szCs w:val="28"/>
        </w:rPr>
        <w:t>建议。</w:t>
      </w:r>
    </w:p>
    <w:p>
      <w:pPr>
        <w:ind w:firstLine="560" w:firstLineChars="200"/>
        <w:rPr>
          <w:rFonts w:ascii="仿宋" w:hAnsi="仿宋" w:eastAsia="仿宋"/>
          <w:sz w:val="28"/>
          <w:szCs w:val="28"/>
        </w:rPr>
      </w:pPr>
      <w:r>
        <w:rPr>
          <w:rFonts w:hint="eastAsia" w:ascii="仿宋" w:hAnsi="仿宋" w:eastAsia="仿宋"/>
          <w:sz w:val="28"/>
          <w:szCs w:val="28"/>
        </w:rPr>
        <w:t>金融产品研究报告应基于策略研究报告的视角来撰写。</w:t>
      </w:r>
    </w:p>
    <w:p>
      <w:pPr>
        <w:pStyle w:val="4"/>
        <w:ind w:firstLine="562" w:firstLineChars="200"/>
        <w:rPr>
          <w:rFonts w:ascii="仿宋" w:hAnsi="仿宋" w:eastAsia="仿宋"/>
          <w:sz w:val="28"/>
          <w:szCs w:val="28"/>
        </w:rPr>
      </w:pPr>
      <w:r>
        <w:rPr>
          <w:rFonts w:ascii="仿宋" w:hAnsi="仿宋" w:eastAsia="仿宋"/>
          <w:sz w:val="28"/>
          <w:szCs w:val="28"/>
        </w:rPr>
        <w:t>(四)</w:t>
      </w:r>
      <w:r>
        <w:rPr>
          <w:rFonts w:ascii="仿宋" w:hAnsi="仿宋" w:eastAsia="仿宋"/>
          <w:sz w:val="28"/>
          <w:szCs w:val="28"/>
        </w:rPr>
        <w:tab/>
      </w:r>
      <w:r>
        <w:rPr>
          <w:rFonts w:ascii="仿宋" w:hAnsi="仿宋" w:eastAsia="仿宋"/>
          <w:sz w:val="28"/>
          <w:szCs w:val="28"/>
        </w:rPr>
        <w:t>宏观经济研究报告的主要内容</w:t>
      </w:r>
    </w:p>
    <w:p>
      <w:pPr>
        <w:ind w:firstLine="560" w:firstLineChars="200"/>
        <w:rPr>
          <w:rFonts w:ascii="仿宋" w:hAnsi="仿宋" w:eastAsia="仿宋"/>
          <w:sz w:val="28"/>
          <w:szCs w:val="28"/>
        </w:rPr>
      </w:pPr>
      <w:r>
        <w:rPr>
          <w:rFonts w:hint="eastAsia" w:ascii="仿宋" w:hAnsi="仿宋" w:eastAsia="仿宋"/>
          <w:sz w:val="28"/>
          <w:szCs w:val="28"/>
        </w:rPr>
        <w:t>宏观经济研究主要是对国内经济形势、经济政策、货币政策、财政政策及世界经济动态等方面的讨论与研究。本研究所对宏观经济研究报告区分快评报告与深度报告。</w:t>
      </w:r>
    </w:p>
    <w:p>
      <w:pPr>
        <w:ind w:firstLine="560" w:firstLineChars="200"/>
        <w:rPr>
          <w:rFonts w:ascii="仿宋" w:hAnsi="仿宋" w:eastAsia="仿宋"/>
          <w:sz w:val="28"/>
          <w:szCs w:val="28"/>
        </w:rPr>
      </w:pPr>
      <w:r>
        <w:rPr>
          <w:rFonts w:hint="eastAsia" w:ascii="仿宋" w:hAnsi="仿宋" w:eastAsia="仿宋"/>
          <w:sz w:val="28"/>
          <w:szCs w:val="28"/>
        </w:rPr>
        <w:t>快评报告一般是对国内外重大经济事件、宏观经济政策、宏观经济重要数据及其对资本市场、行业和上市公司的影响等进行快速、简要解读和评论，讲求时效性和快速反应能力。宏观经济数据包括但不限于月度</w:t>
      </w:r>
      <w:r>
        <w:rPr>
          <w:rFonts w:ascii="仿宋" w:hAnsi="仿宋" w:eastAsia="仿宋"/>
          <w:sz w:val="28"/>
          <w:szCs w:val="28"/>
        </w:rPr>
        <w:t>PMI、价格指数CPI与PPI、固定资产投资增速、基建投资、房地产开发投资、社会商品零售总额、商品房销售面积、进出口贸易差、就业状况（失业率）、工业增加值与规模以上工业企业利润数据，以及季度、半年度与年度GDP数据等。快评报告的内容与格式可相对灵活多样。</w:t>
      </w:r>
    </w:p>
    <w:p>
      <w:pPr>
        <w:ind w:firstLine="560" w:firstLineChars="200"/>
        <w:rPr>
          <w:rFonts w:ascii="仿宋" w:hAnsi="仿宋" w:eastAsia="仿宋"/>
          <w:sz w:val="28"/>
          <w:szCs w:val="28"/>
        </w:rPr>
      </w:pPr>
      <w:r>
        <w:rPr>
          <w:rFonts w:hint="eastAsia" w:ascii="仿宋" w:hAnsi="仿宋" w:eastAsia="仿宋"/>
          <w:sz w:val="28"/>
          <w:szCs w:val="28"/>
        </w:rPr>
        <w:t>宏观经济深度研究报告一般为宏观经济中长期报告，重点研究内容包括宏观经济形势分析、宏观经济政策分析、经济运行趋势与经济指标预测等，并在此基础上分析宏观经济对资本市场、行业及上市公司的影响等，并提出相关战略性建议。</w:t>
      </w:r>
    </w:p>
    <w:p>
      <w:pPr>
        <w:pStyle w:val="3"/>
        <w:jc w:val="center"/>
        <w:rPr>
          <w:sz w:val="36"/>
        </w:rPr>
      </w:pPr>
      <w:r>
        <w:rPr>
          <w:rFonts w:hint="eastAsia" w:ascii="仿宋" w:hAnsi="仿宋" w:eastAsia="仿宋"/>
          <w:szCs w:val="28"/>
        </w:rPr>
        <w:t>三、</w:t>
      </w:r>
      <w:r>
        <w:rPr>
          <w:rFonts w:ascii="仿宋" w:hAnsi="仿宋" w:eastAsia="仿宋"/>
          <w:szCs w:val="28"/>
        </w:rPr>
        <w:tab/>
      </w:r>
      <w:r>
        <w:rPr>
          <w:rFonts w:ascii="仿宋" w:hAnsi="仿宋" w:eastAsia="仿宋"/>
          <w:szCs w:val="28"/>
        </w:rPr>
        <w:t>研究报告的格式</w:t>
      </w:r>
    </w:p>
    <w:p>
      <w:pPr>
        <w:ind w:firstLine="560" w:firstLineChars="200"/>
        <w:rPr>
          <w:rFonts w:ascii="仿宋" w:hAnsi="仿宋" w:eastAsia="仿宋"/>
          <w:sz w:val="28"/>
          <w:szCs w:val="28"/>
        </w:rPr>
      </w:pPr>
      <w:r>
        <w:rPr>
          <w:rFonts w:hint="eastAsia" w:ascii="仿宋" w:hAnsi="仿宋" w:eastAsia="仿宋"/>
          <w:sz w:val="28"/>
          <w:szCs w:val="28"/>
        </w:rPr>
        <w:t>研究报告的格式有许多要素需要规范统一。这里重点针对深度研究报告，包括标题、资料来源、报告摘要、字体、字号、图表标题、封面、序号等。点评性、快评性或非深度研究报告的格式可灵活参考。</w:t>
      </w:r>
    </w:p>
    <w:p>
      <w:pPr>
        <w:ind w:firstLine="562" w:firstLineChars="200"/>
        <w:rPr>
          <w:rFonts w:ascii="仿宋" w:hAnsi="仿宋" w:eastAsia="仿宋"/>
          <w:b/>
          <w:sz w:val="28"/>
          <w:szCs w:val="28"/>
        </w:rPr>
      </w:pPr>
      <w:r>
        <w:rPr>
          <w:rFonts w:hint="eastAsia" w:ascii="仿宋" w:hAnsi="仿宋" w:eastAsia="仿宋"/>
          <w:b/>
          <w:sz w:val="28"/>
          <w:szCs w:val="28"/>
        </w:rPr>
        <w:t>（一）</w:t>
      </w:r>
      <w:r>
        <w:rPr>
          <w:rFonts w:ascii="仿宋" w:hAnsi="仿宋" w:eastAsia="仿宋"/>
          <w:b/>
          <w:sz w:val="28"/>
          <w:szCs w:val="28"/>
        </w:rPr>
        <w:t>报告首页、次页、第三页的内容</w:t>
      </w:r>
    </w:p>
    <w:p>
      <w:pPr>
        <w:ind w:firstLine="560" w:firstLineChars="200"/>
        <w:rPr>
          <w:rFonts w:ascii="仿宋" w:hAnsi="仿宋" w:eastAsia="仿宋"/>
          <w:sz w:val="28"/>
          <w:szCs w:val="28"/>
        </w:rPr>
      </w:pPr>
      <w:r>
        <w:rPr>
          <w:rFonts w:ascii="仿宋" w:hAnsi="仿宋" w:eastAsia="仿宋"/>
          <w:sz w:val="28"/>
          <w:szCs w:val="28"/>
        </w:rPr>
        <w:t>1、首页：“华龙证券研究所”字样；证券分析师姓名、执业证书编号、电话、邮箱；撰写证券研究报告的日期；报告摘要。</w:t>
      </w:r>
    </w:p>
    <w:p>
      <w:pPr>
        <w:ind w:firstLine="560" w:firstLineChars="200"/>
        <w:rPr>
          <w:rFonts w:ascii="仿宋" w:hAnsi="仿宋" w:eastAsia="仿宋"/>
          <w:sz w:val="28"/>
          <w:szCs w:val="28"/>
        </w:rPr>
      </w:pPr>
      <w:r>
        <w:rPr>
          <w:rFonts w:ascii="仿宋" w:hAnsi="仿宋" w:eastAsia="仿宋"/>
          <w:sz w:val="28"/>
          <w:szCs w:val="28"/>
        </w:rPr>
        <w:t>2、次页：目录</w:t>
      </w:r>
    </w:p>
    <w:p>
      <w:pPr>
        <w:ind w:firstLine="560" w:firstLineChars="200"/>
        <w:rPr>
          <w:rFonts w:ascii="仿宋" w:hAnsi="仿宋" w:eastAsia="仿宋"/>
          <w:sz w:val="28"/>
          <w:szCs w:val="28"/>
        </w:rPr>
      </w:pPr>
      <w:r>
        <w:rPr>
          <w:rFonts w:ascii="仿宋" w:hAnsi="仿宋" w:eastAsia="仿宋"/>
          <w:sz w:val="28"/>
          <w:szCs w:val="28"/>
        </w:rPr>
        <w:t>3、第三页：正文</w:t>
      </w:r>
    </w:p>
    <w:p>
      <w:pPr>
        <w:ind w:firstLine="562" w:firstLineChars="200"/>
        <w:rPr>
          <w:rFonts w:ascii="仿宋" w:hAnsi="仿宋" w:eastAsia="仿宋"/>
          <w:b/>
          <w:sz w:val="28"/>
          <w:szCs w:val="28"/>
        </w:rPr>
      </w:pPr>
      <w:r>
        <w:rPr>
          <w:rFonts w:hint="eastAsia" w:ascii="仿宋" w:hAnsi="仿宋" w:eastAsia="仿宋"/>
          <w:b/>
          <w:sz w:val="28"/>
          <w:szCs w:val="28"/>
        </w:rPr>
        <w:t>（二）报告标题及副标题</w:t>
      </w:r>
    </w:p>
    <w:p>
      <w:pPr>
        <w:ind w:firstLine="560" w:firstLineChars="200"/>
        <w:rPr>
          <w:rFonts w:ascii="仿宋" w:hAnsi="仿宋" w:eastAsia="仿宋"/>
          <w:sz w:val="28"/>
          <w:szCs w:val="28"/>
        </w:rPr>
      </w:pPr>
      <w:r>
        <w:rPr>
          <w:rFonts w:ascii="仿宋" w:hAnsi="仿宋" w:eastAsia="仿宋"/>
          <w:sz w:val="28"/>
          <w:szCs w:val="28"/>
        </w:rPr>
        <w:t>1、研究报告标题应具有专业色彩，禁止使用与报告和本行业无关的刺激性语言。报告据需要可有副标题。</w:t>
      </w:r>
    </w:p>
    <w:p>
      <w:pPr>
        <w:ind w:firstLine="560" w:firstLineChars="200"/>
        <w:rPr>
          <w:rFonts w:ascii="仿宋" w:hAnsi="仿宋" w:eastAsia="仿宋"/>
          <w:sz w:val="28"/>
          <w:szCs w:val="28"/>
        </w:rPr>
      </w:pPr>
      <w:r>
        <w:rPr>
          <w:rFonts w:ascii="仿宋" w:hAnsi="仿宋" w:eastAsia="仿宋"/>
          <w:sz w:val="28"/>
          <w:szCs w:val="28"/>
        </w:rPr>
        <w:t>2、标题格式：标题题目</w:t>
      </w:r>
    </w:p>
    <w:p>
      <w:pPr>
        <w:ind w:firstLine="2520" w:firstLineChars="900"/>
        <w:rPr>
          <w:rFonts w:ascii="仿宋" w:hAnsi="仿宋" w:eastAsia="仿宋"/>
          <w:sz w:val="28"/>
          <w:szCs w:val="28"/>
        </w:rPr>
      </w:pPr>
      <w:r>
        <w:rPr>
          <w:rFonts w:hint="eastAsia" w:ascii="仿宋" w:hAnsi="仿宋" w:eastAsia="仿宋"/>
          <w:sz w:val="28"/>
          <w:szCs w:val="28"/>
        </w:rPr>
        <w:t>——副标题题目</w:t>
      </w:r>
    </w:p>
    <w:p>
      <w:pPr>
        <w:ind w:firstLine="562" w:firstLineChars="200"/>
        <w:rPr>
          <w:rFonts w:ascii="仿宋" w:hAnsi="仿宋" w:eastAsia="仿宋"/>
          <w:b/>
          <w:sz w:val="28"/>
          <w:szCs w:val="28"/>
        </w:rPr>
      </w:pPr>
      <w:r>
        <w:rPr>
          <w:rFonts w:hint="eastAsia" w:ascii="仿宋" w:hAnsi="仿宋" w:eastAsia="仿宋"/>
          <w:b/>
          <w:sz w:val="28"/>
          <w:szCs w:val="28"/>
        </w:rPr>
        <w:t>（三）</w:t>
      </w:r>
      <w:r>
        <w:rPr>
          <w:rFonts w:ascii="仿宋" w:hAnsi="仿宋" w:eastAsia="仿宋"/>
          <w:b/>
          <w:sz w:val="28"/>
          <w:szCs w:val="28"/>
        </w:rPr>
        <w:t>页眉页脚的内容</w:t>
      </w:r>
    </w:p>
    <w:p>
      <w:pPr>
        <w:ind w:firstLine="560" w:firstLineChars="200"/>
        <w:rPr>
          <w:rFonts w:ascii="仿宋" w:hAnsi="仿宋" w:eastAsia="仿宋"/>
          <w:sz w:val="28"/>
          <w:szCs w:val="28"/>
        </w:rPr>
      </w:pPr>
      <w:r>
        <w:rPr>
          <w:rFonts w:ascii="仿宋" w:hAnsi="仿宋" w:eastAsia="仿宋"/>
          <w:sz w:val="28"/>
          <w:szCs w:val="28"/>
        </w:rPr>
        <w:t>1</w:t>
      </w:r>
      <w:r>
        <w:rPr>
          <w:rFonts w:hint="eastAsia" w:ascii="仿宋" w:hAnsi="仿宋" w:eastAsia="仿宋"/>
          <w:sz w:val="28"/>
          <w:szCs w:val="28"/>
        </w:rPr>
        <w:t>、</w:t>
      </w:r>
      <w:r>
        <w:rPr>
          <w:rFonts w:ascii="仿宋" w:hAnsi="仿宋" w:eastAsia="仿宋"/>
          <w:sz w:val="28"/>
          <w:szCs w:val="28"/>
        </w:rPr>
        <w:t>页眉为华龙证券研究</w:t>
      </w:r>
      <w:r>
        <w:rPr>
          <w:rFonts w:hint="eastAsia" w:ascii="仿宋" w:hAnsi="仿宋" w:eastAsia="仿宋"/>
          <w:sz w:val="28"/>
          <w:szCs w:val="28"/>
        </w:rPr>
        <w:t>所</w:t>
      </w:r>
      <w:r>
        <w:rPr>
          <w:rFonts w:ascii="仿宋" w:hAnsi="仿宋" w:eastAsia="仿宋"/>
          <w:sz w:val="28"/>
          <w:szCs w:val="28"/>
        </w:rPr>
        <w:t>标识及相关内容，比如报告性质及类别</w:t>
      </w:r>
      <w:r>
        <w:rPr>
          <w:rFonts w:hint="eastAsia" w:ascii="仿宋" w:hAnsi="仿宋" w:eastAsia="仿宋"/>
          <w:sz w:val="28"/>
          <w:szCs w:val="28"/>
        </w:rPr>
        <w:t>：</w:t>
      </w:r>
      <w:r>
        <w:rPr>
          <w:rFonts w:ascii="仿宋" w:hAnsi="仿宋" w:eastAsia="仿宋"/>
          <w:sz w:val="28"/>
          <w:szCs w:val="28"/>
        </w:rPr>
        <w:t>华龙证券</w:t>
      </w:r>
      <w:r>
        <w:rPr>
          <w:rFonts w:hint="eastAsia" w:ascii="仿宋" w:hAnsi="仿宋" w:eastAsia="仿宋"/>
          <w:sz w:val="28"/>
          <w:szCs w:val="28"/>
        </w:rPr>
        <w:t>投</w:t>
      </w:r>
      <w:r>
        <w:rPr>
          <w:rFonts w:ascii="仿宋" w:hAnsi="仿宋" w:eastAsia="仿宋"/>
          <w:sz w:val="28"/>
          <w:szCs w:val="28"/>
        </w:rPr>
        <w:t>资价值（策略、行业、宏观）研究报告</w:t>
      </w:r>
      <w:r>
        <w:rPr>
          <w:rFonts w:hint="eastAsia" w:ascii="仿宋" w:hAnsi="仿宋" w:eastAsia="仿宋"/>
          <w:sz w:val="28"/>
          <w:szCs w:val="28"/>
        </w:rPr>
        <w:t>。</w:t>
      </w:r>
    </w:p>
    <w:p>
      <w:pPr>
        <w:ind w:firstLine="560" w:firstLineChars="200"/>
        <w:rPr>
          <w:rFonts w:ascii="仿宋" w:hAnsi="仿宋" w:eastAsia="仿宋"/>
          <w:sz w:val="28"/>
          <w:szCs w:val="28"/>
        </w:rPr>
      </w:pPr>
      <w:r>
        <w:rPr>
          <w:rFonts w:ascii="仿宋" w:hAnsi="仿宋" w:eastAsia="仿宋"/>
          <w:sz w:val="28"/>
          <w:szCs w:val="28"/>
        </w:rPr>
        <w:t>2、页脚为阅读免责声明的提示，以及页码等。</w:t>
      </w:r>
    </w:p>
    <w:p>
      <w:pPr>
        <w:ind w:firstLine="562" w:firstLineChars="200"/>
        <w:rPr>
          <w:rFonts w:ascii="仿宋" w:hAnsi="仿宋" w:eastAsia="仿宋"/>
          <w:b/>
          <w:sz w:val="28"/>
          <w:szCs w:val="28"/>
        </w:rPr>
      </w:pPr>
      <w:r>
        <w:rPr>
          <w:rFonts w:hint="eastAsia" w:ascii="仿宋" w:hAnsi="仿宋" w:eastAsia="仿宋"/>
          <w:b/>
          <w:sz w:val="28"/>
          <w:szCs w:val="28"/>
        </w:rPr>
        <w:t>（四）</w:t>
      </w:r>
      <w:r>
        <w:rPr>
          <w:rFonts w:ascii="仿宋" w:hAnsi="仿宋" w:eastAsia="仿宋"/>
          <w:b/>
          <w:sz w:val="28"/>
          <w:szCs w:val="28"/>
        </w:rPr>
        <w:t>表格、图表、资料来源、字体、字号、行间距</w:t>
      </w:r>
    </w:p>
    <w:p>
      <w:pPr>
        <w:ind w:firstLine="560" w:firstLineChars="200"/>
        <w:rPr>
          <w:rFonts w:ascii="仿宋" w:hAnsi="仿宋" w:eastAsia="仿宋"/>
          <w:sz w:val="28"/>
          <w:szCs w:val="28"/>
        </w:rPr>
      </w:pPr>
      <w:r>
        <w:rPr>
          <w:rFonts w:ascii="仿宋" w:hAnsi="仿宋" w:eastAsia="仿宋"/>
          <w:sz w:val="28"/>
          <w:szCs w:val="28"/>
        </w:rPr>
        <w:t>1、图表必须有标题，且按表1、表2、表3...图1、图2、图3...顺序排列</w:t>
      </w:r>
      <w:r>
        <w:rPr>
          <w:rFonts w:hint="eastAsia" w:ascii="仿宋" w:hAnsi="仿宋" w:eastAsia="仿宋"/>
          <w:sz w:val="28"/>
          <w:szCs w:val="28"/>
        </w:rPr>
        <w:t>。</w:t>
      </w:r>
      <w:r>
        <w:rPr>
          <w:rFonts w:ascii="仿宋" w:hAnsi="仿宋" w:eastAsia="仿宋"/>
          <w:sz w:val="28"/>
          <w:szCs w:val="28"/>
        </w:rPr>
        <w:t>原则上图表标题为判断句。</w:t>
      </w:r>
    </w:p>
    <w:p>
      <w:pPr>
        <w:ind w:firstLine="560" w:firstLineChars="200"/>
        <w:rPr>
          <w:rFonts w:ascii="仿宋" w:hAnsi="仿宋" w:eastAsia="仿宋"/>
          <w:sz w:val="28"/>
          <w:szCs w:val="28"/>
        </w:rPr>
      </w:pPr>
      <w:r>
        <w:rPr>
          <w:rFonts w:ascii="仿宋" w:hAnsi="仿宋" w:eastAsia="仿宋"/>
          <w:sz w:val="28"/>
          <w:szCs w:val="28"/>
        </w:rPr>
        <w:t>2、图表后需注明资料来源，资料来源来自外部资讯，则标注该外部资讯名称。若为研究人员整理与计算的数据及资料，则统一标注为：“华龙证券研究所”或“华龙证券研究所整理”。</w:t>
      </w:r>
    </w:p>
    <w:p>
      <w:pPr>
        <w:ind w:firstLine="560" w:firstLineChars="200"/>
        <w:rPr>
          <w:rFonts w:ascii="仿宋" w:hAnsi="仿宋" w:eastAsia="仿宋"/>
          <w:sz w:val="28"/>
          <w:szCs w:val="28"/>
        </w:rPr>
      </w:pPr>
      <w:r>
        <w:rPr>
          <w:rFonts w:ascii="仿宋" w:hAnsi="仿宋" w:eastAsia="仿宋"/>
          <w:sz w:val="28"/>
          <w:szCs w:val="28"/>
        </w:rPr>
        <w:t>3、字体、字号，行间距应基于美观、常规性和无知识产权问题的原则进行选择：</w:t>
      </w:r>
    </w:p>
    <w:p>
      <w:pPr>
        <w:ind w:firstLine="560" w:firstLineChars="200"/>
        <w:rPr>
          <w:rFonts w:ascii="仿宋" w:hAnsi="仿宋" w:eastAsia="仿宋"/>
          <w:sz w:val="28"/>
          <w:szCs w:val="28"/>
        </w:rPr>
      </w:pPr>
      <w:r>
        <w:rPr>
          <w:rFonts w:hint="eastAsia" w:ascii="仿宋" w:hAnsi="仿宋" w:eastAsia="仿宋"/>
          <w:sz w:val="28"/>
          <w:szCs w:val="28"/>
        </w:rPr>
        <w:t>（</w:t>
      </w:r>
      <w:r>
        <w:rPr>
          <w:rFonts w:ascii="仿宋" w:hAnsi="仿宋" w:eastAsia="仿宋"/>
          <w:sz w:val="28"/>
          <w:szCs w:val="28"/>
        </w:rPr>
        <w:t>1）华龙证券名称</w:t>
      </w:r>
      <w:r>
        <w:rPr>
          <w:rFonts w:hint="eastAsia" w:ascii="仿宋" w:hAnsi="仿宋" w:eastAsia="仿宋"/>
          <w:sz w:val="28"/>
          <w:szCs w:val="28"/>
        </w:rPr>
        <w:t>：</w:t>
      </w:r>
      <w:r>
        <w:rPr>
          <w:rFonts w:ascii="仿宋" w:hAnsi="仿宋" w:eastAsia="仿宋"/>
          <w:sz w:val="28"/>
          <w:szCs w:val="28"/>
        </w:rPr>
        <w:t>宋体四号加粗</w:t>
      </w:r>
      <w:r>
        <w:rPr>
          <w:rFonts w:hint="eastAsia" w:ascii="仿宋" w:hAnsi="仿宋" w:eastAsia="仿宋"/>
          <w:sz w:val="28"/>
          <w:szCs w:val="28"/>
        </w:rPr>
        <w:t>。</w:t>
      </w:r>
    </w:p>
    <w:p>
      <w:pPr>
        <w:ind w:firstLine="560" w:firstLineChars="200"/>
        <w:rPr>
          <w:rFonts w:ascii="仿宋" w:hAnsi="仿宋" w:eastAsia="仿宋"/>
          <w:sz w:val="28"/>
          <w:szCs w:val="28"/>
        </w:rPr>
      </w:pPr>
      <w:r>
        <w:rPr>
          <w:rFonts w:ascii="仿宋" w:hAnsi="仿宋" w:eastAsia="仿宋"/>
          <w:sz w:val="28"/>
          <w:szCs w:val="28"/>
        </w:rPr>
        <w:t>（2）</w:t>
      </w:r>
      <w:r>
        <w:rPr>
          <w:rFonts w:hint="eastAsia" w:ascii="仿宋" w:hAnsi="仿宋" w:eastAsia="仿宋"/>
          <w:sz w:val="28"/>
          <w:szCs w:val="28"/>
        </w:rPr>
        <w:t xml:space="preserve"> </w:t>
      </w:r>
      <w:r>
        <w:rPr>
          <w:rFonts w:ascii="仿宋" w:hAnsi="仿宋" w:eastAsia="仿宋"/>
          <w:sz w:val="28"/>
          <w:szCs w:val="28"/>
        </w:rPr>
        <w:t>报告摘要</w:t>
      </w:r>
      <w:r>
        <w:rPr>
          <w:rFonts w:hint="eastAsia" w:ascii="仿宋" w:hAnsi="仿宋" w:eastAsia="仿宋"/>
          <w:sz w:val="28"/>
          <w:szCs w:val="28"/>
        </w:rPr>
        <w:t>：</w:t>
      </w:r>
      <w:r>
        <w:rPr>
          <w:rFonts w:ascii="仿宋" w:hAnsi="仿宋" w:eastAsia="仿宋"/>
          <w:sz w:val="28"/>
          <w:szCs w:val="28"/>
        </w:rPr>
        <w:t>楷体四号加粗，摘要内容用楷体四号（不加粗）。</w:t>
      </w:r>
    </w:p>
    <w:p>
      <w:pPr>
        <w:ind w:firstLine="570"/>
        <w:rPr>
          <w:rFonts w:ascii="仿宋" w:hAnsi="仿宋" w:eastAsia="仿宋"/>
          <w:sz w:val="28"/>
          <w:szCs w:val="28"/>
        </w:rPr>
      </w:pPr>
      <w:r>
        <w:rPr>
          <w:rFonts w:ascii="仿宋" w:hAnsi="仿宋" w:eastAsia="仿宋"/>
          <w:sz w:val="28"/>
          <w:szCs w:val="28"/>
        </w:rPr>
        <w:t>（3）报告题目：黑体小二居中，副标题用黑体小三居中。</w:t>
      </w:r>
    </w:p>
    <w:p>
      <w:pPr>
        <w:ind w:firstLine="570"/>
        <w:rPr>
          <w:rFonts w:ascii="仿宋" w:hAnsi="仿宋" w:eastAsia="仿宋"/>
          <w:sz w:val="28"/>
          <w:szCs w:val="28"/>
        </w:rPr>
      </w:pPr>
      <w:r>
        <w:rPr>
          <w:rFonts w:ascii="仿宋" w:hAnsi="仿宋" w:eastAsia="仿宋"/>
          <w:sz w:val="28"/>
          <w:szCs w:val="28"/>
        </w:rPr>
        <w:t>（4）正文一级标题及序号：用楷体四号加粗，</w:t>
      </w:r>
    </w:p>
    <w:p>
      <w:pPr>
        <w:ind w:firstLine="560" w:firstLineChars="200"/>
        <w:rPr>
          <w:rFonts w:ascii="仿宋" w:hAnsi="仿宋" w:eastAsia="仿宋"/>
          <w:sz w:val="28"/>
          <w:szCs w:val="28"/>
        </w:rPr>
      </w:pPr>
      <w:r>
        <w:rPr>
          <w:rFonts w:hint="eastAsia" w:ascii="仿宋" w:hAnsi="仿宋" w:eastAsia="仿宋"/>
          <w:sz w:val="28"/>
          <w:szCs w:val="28"/>
        </w:rPr>
        <w:t>（</w:t>
      </w:r>
      <w:r>
        <w:rPr>
          <w:rFonts w:ascii="仿宋" w:hAnsi="仿宋" w:eastAsia="仿宋"/>
          <w:sz w:val="28"/>
          <w:szCs w:val="28"/>
        </w:rPr>
        <w:t>5）正文二级以下标题及序号：用楷体小四加粗，正文用楷体小四。</w:t>
      </w:r>
    </w:p>
    <w:p>
      <w:pPr>
        <w:ind w:firstLine="560" w:firstLineChars="200"/>
        <w:rPr>
          <w:rFonts w:ascii="仿宋" w:hAnsi="仿宋" w:eastAsia="仿宋"/>
          <w:sz w:val="28"/>
          <w:szCs w:val="28"/>
        </w:rPr>
      </w:pPr>
      <w:r>
        <w:rPr>
          <w:rFonts w:ascii="仿宋" w:hAnsi="仿宋" w:eastAsia="仿宋"/>
          <w:sz w:val="28"/>
          <w:szCs w:val="28"/>
        </w:rPr>
        <w:t>（6）首页分析</w:t>
      </w:r>
      <w:r>
        <w:rPr>
          <w:rFonts w:hint="eastAsia" w:ascii="仿宋" w:hAnsi="仿宋" w:eastAsia="仿宋"/>
          <w:sz w:val="28"/>
          <w:szCs w:val="28"/>
        </w:rPr>
        <w:t>师</w:t>
      </w:r>
      <w:r>
        <w:rPr>
          <w:rFonts w:ascii="仿宋" w:hAnsi="仿宋" w:eastAsia="仿宋"/>
          <w:sz w:val="28"/>
          <w:szCs w:val="28"/>
        </w:rPr>
        <w:t>名字等</w:t>
      </w:r>
      <w:r>
        <w:rPr>
          <w:rFonts w:hint="eastAsia" w:ascii="仿宋" w:hAnsi="仿宋" w:eastAsia="仿宋"/>
          <w:sz w:val="28"/>
          <w:szCs w:val="28"/>
        </w:rPr>
        <w:t>：</w:t>
      </w:r>
      <w:r>
        <w:rPr>
          <w:rFonts w:ascii="仿宋" w:hAnsi="仿宋" w:eastAsia="仿宋"/>
          <w:sz w:val="28"/>
          <w:szCs w:val="28"/>
        </w:rPr>
        <w:t>宋体小四。</w:t>
      </w:r>
    </w:p>
    <w:p>
      <w:pPr>
        <w:ind w:firstLine="560" w:firstLineChars="200"/>
        <w:rPr>
          <w:rFonts w:ascii="仿宋" w:hAnsi="仿宋" w:eastAsia="仿宋"/>
          <w:sz w:val="28"/>
          <w:szCs w:val="28"/>
        </w:rPr>
      </w:pPr>
      <w:r>
        <w:rPr>
          <w:rFonts w:ascii="仿宋" w:hAnsi="仿宋" w:eastAsia="仿宋"/>
          <w:sz w:val="28"/>
          <w:szCs w:val="28"/>
        </w:rPr>
        <w:t>（7）正文行间距：一般以1.5倍为主要参考。</w:t>
      </w:r>
    </w:p>
    <w:p>
      <w:pPr>
        <w:ind w:firstLine="562" w:firstLineChars="200"/>
        <w:rPr>
          <w:rFonts w:ascii="仿宋" w:hAnsi="仿宋" w:eastAsia="仿宋"/>
          <w:b/>
          <w:sz w:val="28"/>
          <w:szCs w:val="28"/>
        </w:rPr>
      </w:pPr>
      <w:r>
        <w:rPr>
          <w:rFonts w:hint="eastAsia" w:ascii="仿宋" w:hAnsi="仿宋" w:eastAsia="仿宋"/>
          <w:b/>
          <w:sz w:val="28"/>
          <w:szCs w:val="28"/>
        </w:rPr>
        <w:t>（五）</w:t>
      </w:r>
      <w:r>
        <w:rPr>
          <w:rFonts w:ascii="仿宋" w:hAnsi="仿宋" w:eastAsia="仿宋"/>
          <w:b/>
          <w:sz w:val="28"/>
          <w:szCs w:val="28"/>
        </w:rPr>
        <w:t>正文部分的内容</w:t>
      </w:r>
    </w:p>
    <w:p>
      <w:pPr>
        <w:ind w:firstLine="560" w:firstLineChars="200"/>
        <w:rPr>
          <w:rFonts w:ascii="仿宋" w:hAnsi="仿宋" w:eastAsia="仿宋"/>
          <w:sz w:val="28"/>
          <w:szCs w:val="28"/>
        </w:rPr>
      </w:pPr>
      <w:r>
        <w:rPr>
          <w:rFonts w:hint="eastAsia" w:ascii="仿宋" w:hAnsi="仿宋" w:eastAsia="仿宋"/>
          <w:sz w:val="28"/>
          <w:szCs w:val="28"/>
        </w:rPr>
        <w:t>1、</w:t>
      </w:r>
      <w:r>
        <w:rPr>
          <w:rFonts w:ascii="仿宋" w:hAnsi="仿宋" w:eastAsia="仿宋"/>
          <w:sz w:val="28"/>
          <w:szCs w:val="28"/>
        </w:rPr>
        <w:t>标题序号第一级：1、2、3...；</w:t>
      </w:r>
    </w:p>
    <w:p>
      <w:pPr>
        <w:ind w:firstLine="560" w:firstLineChars="200"/>
        <w:rPr>
          <w:rFonts w:ascii="仿宋" w:hAnsi="仿宋" w:eastAsia="仿宋"/>
          <w:sz w:val="28"/>
          <w:szCs w:val="28"/>
        </w:rPr>
      </w:pPr>
      <w:r>
        <w:rPr>
          <w:rFonts w:ascii="仿宋" w:hAnsi="仿宋" w:eastAsia="仿宋"/>
          <w:sz w:val="28"/>
          <w:szCs w:val="28"/>
        </w:rPr>
        <w:t xml:space="preserve">           第二级：1.1、2.1、3.1...；</w:t>
      </w:r>
    </w:p>
    <w:p>
      <w:pPr>
        <w:ind w:firstLine="560" w:firstLineChars="200"/>
        <w:rPr>
          <w:rFonts w:ascii="仿宋" w:hAnsi="仿宋" w:eastAsia="仿宋"/>
          <w:sz w:val="28"/>
          <w:szCs w:val="28"/>
        </w:rPr>
      </w:pPr>
      <w:r>
        <w:rPr>
          <w:rFonts w:ascii="仿宋" w:hAnsi="仿宋" w:eastAsia="仿宋"/>
          <w:sz w:val="28"/>
          <w:szCs w:val="28"/>
        </w:rPr>
        <w:t xml:space="preserve">           第三级：1.1.1、2.1.1、3.1.1...；</w:t>
      </w:r>
    </w:p>
    <w:p>
      <w:pPr>
        <w:ind w:firstLine="2240" w:firstLineChars="800"/>
        <w:rPr>
          <w:rFonts w:ascii="仿宋" w:hAnsi="仿宋" w:eastAsia="仿宋"/>
          <w:sz w:val="28"/>
          <w:szCs w:val="28"/>
        </w:rPr>
      </w:pPr>
      <w:r>
        <w:rPr>
          <w:rFonts w:hint="eastAsia" w:ascii="仿宋" w:hAnsi="仿宋" w:eastAsia="仿宋"/>
          <w:sz w:val="28"/>
          <w:szCs w:val="28"/>
        </w:rPr>
        <w:t>第四级：(</w:t>
      </w:r>
      <w:r>
        <w:rPr>
          <w:rFonts w:ascii="仿宋" w:hAnsi="仿宋" w:eastAsia="仿宋"/>
          <w:sz w:val="28"/>
          <w:szCs w:val="28"/>
        </w:rPr>
        <w:t>1)</w:t>
      </w:r>
      <w:r>
        <w:rPr>
          <w:rFonts w:hint="eastAsia" w:ascii="仿宋" w:hAnsi="仿宋" w:eastAsia="仿宋"/>
          <w:sz w:val="28"/>
          <w:szCs w:val="28"/>
        </w:rPr>
        <w:t>、（2</w:t>
      </w:r>
      <w:r>
        <w:rPr>
          <w:rFonts w:ascii="仿宋" w:hAnsi="仿宋" w:eastAsia="仿宋"/>
          <w:sz w:val="28"/>
          <w:szCs w:val="28"/>
        </w:rPr>
        <w:t>）</w:t>
      </w:r>
      <w:r>
        <w:rPr>
          <w:rFonts w:hint="eastAsia" w:ascii="仿宋" w:hAnsi="仿宋" w:eastAsia="仿宋"/>
          <w:sz w:val="28"/>
          <w:szCs w:val="28"/>
        </w:rPr>
        <w:t>、（3）……</w:t>
      </w:r>
    </w:p>
    <w:p>
      <w:pPr>
        <w:ind w:firstLine="560" w:firstLineChars="200"/>
        <w:rPr>
          <w:rFonts w:ascii="仿宋" w:hAnsi="仿宋" w:eastAsia="仿宋"/>
          <w:sz w:val="28"/>
          <w:szCs w:val="28"/>
        </w:rPr>
      </w:pPr>
      <w:r>
        <w:rPr>
          <w:rFonts w:hint="eastAsia" w:ascii="仿宋" w:hAnsi="仿宋" w:eastAsia="仿宋"/>
          <w:sz w:val="28"/>
          <w:szCs w:val="28"/>
        </w:rPr>
        <w:t>2、</w:t>
      </w:r>
      <w:r>
        <w:rPr>
          <w:rFonts w:ascii="仿宋" w:hAnsi="仿宋" w:eastAsia="仿宋"/>
          <w:sz w:val="28"/>
          <w:szCs w:val="28"/>
        </w:rPr>
        <w:t>正文每段首行缩进两个中文字符。</w:t>
      </w:r>
    </w:p>
    <w:p>
      <w:pPr>
        <w:ind w:firstLine="560" w:firstLineChars="200"/>
        <w:rPr>
          <w:rFonts w:ascii="仿宋" w:hAnsi="仿宋" w:eastAsia="仿宋"/>
          <w:sz w:val="28"/>
          <w:szCs w:val="28"/>
        </w:rPr>
      </w:pPr>
      <w:r>
        <w:rPr>
          <w:rFonts w:ascii="仿宋" w:hAnsi="仿宋" w:eastAsia="仿宋"/>
          <w:sz w:val="28"/>
          <w:szCs w:val="28"/>
        </w:rPr>
        <w:t xml:space="preserve">3、数据引用 </w:t>
      </w:r>
    </w:p>
    <w:p>
      <w:pPr>
        <w:ind w:firstLine="560" w:firstLineChars="200"/>
        <w:rPr>
          <w:rFonts w:ascii="仿宋" w:hAnsi="仿宋" w:eastAsia="仿宋"/>
          <w:sz w:val="28"/>
          <w:szCs w:val="28"/>
        </w:rPr>
      </w:pPr>
      <w:r>
        <w:rPr>
          <w:rFonts w:hint="eastAsia" w:ascii="仿宋" w:hAnsi="仿宋" w:eastAsia="仿宋"/>
          <w:sz w:val="28"/>
          <w:szCs w:val="28"/>
        </w:rPr>
        <w:t>（</w:t>
      </w:r>
      <w:r>
        <w:rPr>
          <w:rFonts w:ascii="仿宋" w:hAnsi="仿宋" w:eastAsia="仿宋"/>
          <w:sz w:val="28"/>
          <w:szCs w:val="28"/>
        </w:rPr>
        <w:t xml:space="preserve">1）公司重大事件公告引用要说明具体的公告时间，格式为“根据***公司X年X月X日公告”。 </w:t>
      </w:r>
    </w:p>
    <w:p>
      <w:pPr>
        <w:ind w:firstLine="560" w:firstLineChars="200"/>
        <w:rPr>
          <w:rFonts w:ascii="仿宋" w:hAnsi="仿宋" w:eastAsia="仿宋"/>
          <w:sz w:val="28"/>
          <w:szCs w:val="28"/>
        </w:rPr>
      </w:pPr>
      <w:r>
        <w:rPr>
          <w:rFonts w:hint="eastAsia" w:ascii="仿宋" w:hAnsi="仿宋" w:eastAsia="仿宋"/>
          <w:sz w:val="28"/>
          <w:szCs w:val="28"/>
        </w:rPr>
        <w:t>（</w:t>
      </w:r>
      <w:r>
        <w:rPr>
          <w:rFonts w:ascii="仿宋" w:hAnsi="仿宋" w:eastAsia="仿宋"/>
          <w:sz w:val="28"/>
          <w:szCs w:val="28"/>
        </w:rPr>
        <w:t xml:space="preserve">2）报告中不能出现“根据调研数据显示”、“根据我们对产业链的调研”之类的说法，避免出现调研信息。如果在分析市场信息的基础上，对调研验证的结果认可，建议用“我们判断”词句，调研的结果只能是一种验证的依据。如必须直接表述或引用“调研数据”，应该需要证明调研活动的真实性以及相关被调研人士观点的授权。 </w:t>
      </w:r>
    </w:p>
    <w:p>
      <w:pPr>
        <w:ind w:firstLine="560" w:firstLineChars="200"/>
        <w:rPr>
          <w:rFonts w:ascii="仿宋" w:hAnsi="仿宋" w:eastAsia="仿宋"/>
          <w:sz w:val="28"/>
          <w:szCs w:val="28"/>
        </w:rPr>
      </w:pPr>
      <w:r>
        <w:rPr>
          <w:rFonts w:hint="eastAsia" w:ascii="仿宋" w:hAnsi="仿宋" w:eastAsia="仿宋"/>
          <w:sz w:val="28"/>
          <w:szCs w:val="28"/>
        </w:rPr>
        <w:t>4、</w:t>
      </w:r>
      <w:r>
        <w:rPr>
          <w:rFonts w:ascii="仿宋" w:hAnsi="仿宋" w:eastAsia="仿宋"/>
          <w:sz w:val="28"/>
          <w:szCs w:val="28"/>
        </w:rPr>
        <w:t>国家领导人、重要会议内容的引用</w:t>
      </w:r>
    </w:p>
    <w:p>
      <w:pPr>
        <w:ind w:firstLine="560" w:firstLineChars="200"/>
        <w:rPr>
          <w:rFonts w:ascii="仿宋" w:hAnsi="仿宋" w:eastAsia="仿宋"/>
          <w:sz w:val="28"/>
          <w:szCs w:val="28"/>
        </w:rPr>
      </w:pPr>
      <w:r>
        <w:rPr>
          <w:rFonts w:hint="eastAsia" w:ascii="仿宋" w:hAnsi="仿宋" w:eastAsia="仿宋"/>
          <w:sz w:val="28"/>
          <w:szCs w:val="28"/>
        </w:rPr>
        <w:t>对国家领导人、重要会议内容等的引用必须是人民网、新华网等国家授权媒体发表的文章中的原话，不能缺字漏句。</w:t>
      </w:r>
      <w:r>
        <w:rPr>
          <w:rFonts w:ascii="仿宋" w:hAnsi="仿宋" w:eastAsia="仿宋"/>
          <w:sz w:val="28"/>
          <w:szCs w:val="28"/>
        </w:rPr>
        <w:t xml:space="preserve"> </w:t>
      </w:r>
    </w:p>
    <w:p>
      <w:pPr>
        <w:ind w:firstLine="560" w:firstLineChars="200"/>
        <w:rPr>
          <w:rFonts w:ascii="仿宋" w:hAnsi="仿宋" w:eastAsia="仿宋"/>
          <w:sz w:val="28"/>
          <w:szCs w:val="28"/>
        </w:rPr>
      </w:pPr>
      <w:r>
        <w:rPr>
          <w:rFonts w:hint="eastAsia" w:ascii="仿宋" w:hAnsi="仿宋" w:eastAsia="仿宋"/>
          <w:sz w:val="28"/>
          <w:szCs w:val="28"/>
        </w:rPr>
        <w:t>5、</w:t>
      </w:r>
      <w:r>
        <w:rPr>
          <w:rFonts w:ascii="仿宋" w:hAnsi="仿宋" w:eastAsia="仿宋"/>
          <w:sz w:val="28"/>
          <w:szCs w:val="28"/>
        </w:rPr>
        <w:t>港股数据的引用</w:t>
      </w:r>
    </w:p>
    <w:p>
      <w:pPr>
        <w:ind w:firstLine="560" w:firstLineChars="200"/>
        <w:rPr>
          <w:rFonts w:ascii="仿宋" w:hAnsi="仿宋" w:eastAsia="仿宋"/>
          <w:sz w:val="28"/>
          <w:szCs w:val="28"/>
        </w:rPr>
      </w:pPr>
      <w:r>
        <w:rPr>
          <w:rFonts w:hint="eastAsia" w:ascii="仿宋" w:hAnsi="仿宋" w:eastAsia="仿宋"/>
          <w:sz w:val="28"/>
          <w:szCs w:val="28"/>
        </w:rPr>
        <w:t>（1）</w:t>
      </w:r>
      <w:r>
        <w:rPr>
          <w:rFonts w:ascii="仿宋" w:hAnsi="仿宋" w:eastAsia="仿宋"/>
          <w:sz w:val="28"/>
          <w:szCs w:val="28"/>
        </w:rPr>
        <w:t>引用财报数据时，须用FY标识财政年度，例如：敏华控股公司发布的截至二零一九年九三十日止六</w:t>
      </w:r>
      <w:r>
        <w:rPr>
          <w:rFonts w:hint="eastAsia" w:ascii="仿宋" w:hAnsi="仿宋" w:eastAsia="仿宋"/>
          <w:sz w:val="28"/>
          <w:szCs w:val="28"/>
        </w:rPr>
        <w:t>个</w:t>
      </w:r>
      <w:r>
        <w:rPr>
          <w:rFonts w:ascii="仿宋" w:hAnsi="仿宋" w:eastAsia="仿宋"/>
          <w:sz w:val="28"/>
          <w:szCs w:val="28"/>
        </w:rPr>
        <w:t xml:space="preserve">月（「二零二零財政年度上半年」之未經審核簡明綜合中期業績，针对该财报数据的引用格式为：FY2020半年报/FY2020H1。 </w:t>
      </w:r>
    </w:p>
    <w:p>
      <w:pPr>
        <w:ind w:firstLine="560" w:firstLineChars="200"/>
        <w:rPr>
          <w:rFonts w:ascii="仿宋" w:hAnsi="仿宋" w:eastAsia="仿宋"/>
          <w:sz w:val="28"/>
          <w:szCs w:val="28"/>
        </w:rPr>
      </w:pPr>
      <w:r>
        <w:rPr>
          <w:rFonts w:hint="eastAsia" w:ascii="仿宋" w:hAnsi="仿宋" w:eastAsia="仿宋"/>
          <w:sz w:val="28"/>
          <w:szCs w:val="28"/>
        </w:rPr>
        <w:t>（</w:t>
      </w:r>
      <w:r>
        <w:rPr>
          <w:rFonts w:ascii="仿宋" w:hAnsi="仿宋" w:eastAsia="仿宋"/>
          <w:sz w:val="28"/>
          <w:szCs w:val="28"/>
        </w:rPr>
        <w:t xml:space="preserve">2）盈利预测与估值表的格式如下： </w:t>
      </w:r>
    </w:p>
    <w:p>
      <w:pPr>
        <w:ind w:firstLine="281" w:firstLineChars="100"/>
        <w:rPr>
          <w:rFonts w:ascii="仿宋" w:hAnsi="仿宋" w:eastAsia="仿宋"/>
          <w:b/>
          <w:sz w:val="28"/>
        </w:rPr>
      </w:pPr>
      <w:r>
        <w:rPr>
          <w:rFonts w:hint="eastAsia" w:ascii="仿宋" w:hAnsi="仿宋" w:eastAsia="仿宋"/>
          <w:b/>
          <w:sz w:val="28"/>
        </w:rPr>
        <w:t>盈利预测与估值</w:t>
      </w:r>
    </w:p>
    <w:tbl>
      <w:tblPr>
        <w:tblStyle w:val="9"/>
        <w:tblW w:w="8660" w:type="dxa"/>
        <w:tblInd w:w="0" w:type="dxa"/>
        <w:tblLayout w:type="autofit"/>
        <w:tblCellMar>
          <w:top w:w="0" w:type="dxa"/>
          <w:left w:w="108" w:type="dxa"/>
          <w:bottom w:w="0" w:type="dxa"/>
          <w:right w:w="108" w:type="dxa"/>
        </w:tblCellMar>
      </w:tblPr>
      <w:tblGrid>
        <w:gridCol w:w="2460"/>
        <w:gridCol w:w="1240"/>
        <w:gridCol w:w="1240"/>
        <w:gridCol w:w="1240"/>
        <w:gridCol w:w="1240"/>
        <w:gridCol w:w="1240"/>
      </w:tblGrid>
      <w:tr>
        <w:trPr>
          <w:trHeight w:val="480" w:hRule="atLeast"/>
        </w:trPr>
        <w:tc>
          <w:tcPr>
            <w:tcW w:w="2460" w:type="dxa"/>
            <w:tcBorders>
              <w:top w:val="single" w:color="auto" w:sz="8" w:space="0"/>
              <w:left w:val="nil"/>
              <w:bottom w:val="single" w:color="auto" w:sz="8" w:space="0"/>
              <w:right w:val="nil"/>
            </w:tcBorders>
            <w:shd w:val="clear" w:color="auto" w:fill="auto"/>
            <w:noWrap/>
            <w:vAlign w:val="center"/>
          </w:tcPr>
          <w:p>
            <w:pPr>
              <w:rPr>
                <w:rFonts w:ascii="楷体" w:hAnsi="楷体" w:eastAsia="楷体" w:cs="宋体"/>
                <w:kern w:val="0"/>
                <w:sz w:val="22"/>
              </w:rPr>
            </w:pPr>
            <w:r>
              <w:rPr>
                <w:rFonts w:hint="eastAsia" w:ascii="楷体" w:hAnsi="楷体" w:eastAsia="楷体" w:cs="宋体"/>
                <w:kern w:val="0"/>
                <w:sz w:val="22"/>
              </w:rPr>
              <w:t>财务摘要</w:t>
            </w:r>
          </w:p>
        </w:tc>
        <w:tc>
          <w:tcPr>
            <w:tcW w:w="1240" w:type="dxa"/>
            <w:tcBorders>
              <w:top w:val="single" w:color="auto" w:sz="8" w:space="0"/>
              <w:left w:val="nil"/>
              <w:bottom w:val="single" w:color="auto" w:sz="8" w:space="0"/>
              <w:right w:val="nil"/>
            </w:tcBorders>
            <w:shd w:val="clear" w:color="auto" w:fill="auto"/>
            <w:noWrap/>
            <w:vAlign w:val="center"/>
          </w:tcPr>
          <w:p>
            <w:pPr>
              <w:rPr>
                <w:rFonts w:ascii="楷体" w:hAnsi="楷体" w:eastAsia="楷体" w:cs="宋体"/>
                <w:b/>
                <w:bCs/>
                <w:kern w:val="0"/>
                <w:sz w:val="20"/>
                <w:szCs w:val="20"/>
              </w:rPr>
            </w:pPr>
            <w:r>
              <w:rPr>
                <w:rFonts w:hint="eastAsia" w:ascii="楷体" w:hAnsi="楷体" w:eastAsia="楷体" w:cs="宋体"/>
                <w:b/>
                <w:bCs/>
                <w:kern w:val="0"/>
                <w:sz w:val="20"/>
                <w:szCs w:val="20"/>
              </w:rPr>
              <w:t>201</w:t>
            </w:r>
            <w:r>
              <w:rPr>
                <w:rFonts w:ascii="楷体" w:hAnsi="楷体" w:eastAsia="楷体" w:cs="宋体"/>
                <w:b/>
                <w:bCs/>
                <w:kern w:val="0"/>
                <w:sz w:val="20"/>
                <w:szCs w:val="20"/>
              </w:rPr>
              <w:t>8</w:t>
            </w:r>
            <w:r>
              <w:rPr>
                <w:rFonts w:hint="eastAsia" w:ascii="楷体" w:hAnsi="楷体" w:eastAsia="楷体" w:cs="宋体"/>
                <w:b/>
                <w:bCs/>
                <w:kern w:val="0"/>
                <w:sz w:val="20"/>
                <w:szCs w:val="20"/>
              </w:rPr>
              <w:t>A</w:t>
            </w:r>
          </w:p>
        </w:tc>
        <w:tc>
          <w:tcPr>
            <w:tcW w:w="1240" w:type="dxa"/>
            <w:tcBorders>
              <w:top w:val="single" w:color="auto" w:sz="8" w:space="0"/>
              <w:left w:val="nil"/>
              <w:bottom w:val="single" w:color="auto" w:sz="8" w:space="0"/>
              <w:right w:val="nil"/>
            </w:tcBorders>
            <w:shd w:val="clear" w:color="auto" w:fill="auto"/>
            <w:noWrap/>
            <w:vAlign w:val="center"/>
          </w:tcPr>
          <w:p>
            <w:pPr>
              <w:rPr>
                <w:rFonts w:ascii="楷体" w:hAnsi="楷体" w:eastAsia="楷体" w:cs="宋体"/>
                <w:b/>
                <w:bCs/>
                <w:kern w:val="0"/>
                <w:sz w:val="20"/>
                <w:szCs w:val="20"/>
              </w:rPr>
            </w:pPr>
            <w:r>
              <w:rPr>
                <w:rFonts w:hint="eastAsia" w:ascii="楷体" w:hAnsi="楷体" w:eastAsia="楷体" w:cs="宋体"/>
                <w:b/>
                <w:bCs/>
                <w:kern w:val="0"/>
                <w:sz w:val="20"/>
                <w:szCs w:val="20"/>
              </w:rPr>
              <w:t>201</w:t>
            </w:r>
            <w:r>
              <w:rPr>
                <w:rFonts w:ascii="楷体" w:hAnsi="楷体" w:eastAsia="楷体" w:cs="宋体"/>
                <w:b/>
                <w:bCs/>
                <w:kern w:val="0"/>
                <w:sz w:val="20"/>
                <w:szCs w:val="20"/>
              </w:rPr>
              <w:t>9</w:t>
            </w:r>
            <w:r>
              <w:rPr>
                <w:rFonts w:hint="eastAsia" w:ascii="楷体" w:hAnsi="楷体" w:eastAsia="楷体" w:cs="宋体"/>
                <w:b/>
                <w:bCs/>
                <w:kern w:val="0"/>
                <w:sz w:val="20"/>
                <w:szCs w:val="20"/>
              </w:rPr>
              <w:t>A</w:t>
            </w:r>
          </w:p>
        </w:tc>
        <w:tc>
          <w:tcPr>
            <w:tcW w:w="1240" w:type="dxa"/>
            <w:tcBorders>
              <w:top w:val="single" w:color="auto" w:sz="8" w:space="0"/>
              <w:left w:val="nil"/>
              <w:bottom w:val="single" w:color="auto" w:sz="8" w:space="0"/>
              <w:right w:val="nil"/>
            </w:tcBorders>
            <w:shd w:val="clear" w:color="auto" w:fill="auto"/>
            <w:noWrap/>
            <w:vAlign w:val="center"/>
          </w:tcPr>
          <w:p>
            <w:pPr>
              <w:rPr>
                <w:rFonts w:ascii="楷体" w:hAnsi="楷体" w:eastAsia="楷体" w:cs="宋体"/>
                <w:b/>
                <w:bCs/>
                <w:kern w:val="0"/>
                <w:sz w:val="20"/>
                <w:szCs w:val="20"/>
              </w:rPr>
            </w:pPr>
            <w:r>
              <w:rPr>
                <w:rFonts w:hint="eastAsia" w:ascii="楷体" w:hAnsi="楷体" w:eastAsia="楷体" w:cs="宋体"/>
                <w:b/>
                <w:bCs/>
                <w:kern w:val="0"/>
                <w:sz w:val="20"/>
                <w:szCs w:val="20"/>
              </w:rPr>
              <w:t>20</w:t>
            </w:r>
            <w:r>
              <w:rPr>
                <w:rFonts w:ascii="楷体" w:hAnsi="楷体" w:eastAsia="楷体" w:cs="宋体"/>
                <w:b/>
                <w:bCs/>
                <w:kern w:val="0"/>
                <w:sz w:val="20"/>
                <w:szCs w:val="20"/>
              </w:rPr>
              <w:t>20A</w:t>
            </w:r>
          </w:p>
        </w:tc>
        <w:tc>
          <w:tcPr>
            <w:tcW w:w="1240" w:type="dxa"/>
            <w:tcBorders>
              <w:top w:val="single" w:color="auto" w:sz="8" w:space="0"/>
              <w:left w:val="nil"/>
              <w:bottom w:val="single" w:color="auto" w:sz="8" w:space="0"/>
              <w:right w:val="nil"/>
            </w:tcBorders>
            <w:shd w:val="clear" w:color="auto" w:fill="auto"/>
            <w:noWrap/>
            <w:vAlign w:val="center"/>
          </w:tcPr>
          <w:p>
            <w:pPr>
              <w:rPr>
                <w:rFonts w:ascii="楷体" w:hAnsi="楷体" w:eastAsia="楷体" w:cs="宋体"/>
                <w:b/>
                <w:bCs/>
                <w:kern w:val="0"/>
                <w:sz w:val="20"/>
                <w:szCs w:val="20"/>
              </w:rPr>
            </w:pPr>
            <w:r>
              <w:rPr>
                <w:rFonts w:hint="eastAsia" w:ascii="楷体" w:hAnsi="楷体" w:eastAsia="楷体" w:cs="宋体"/>
                <w:b/>
                <w:bCs/>
                <w:kern w:val="0"/>
                <w:sz w:val="20"/>
                <w:szCs w:val="20"/>
              </w:rPr>
              <w:t>202</w:t>
            </w:r>
            <w:r>
              <w:rPr>
                <w:rFonts w:ascii="楷体" w:hAnsi="楷体" w:eastAsia="楷体" w:cs="宋体"/>
                <w:b/>
                <w:bCs/>
                <w:kern w:val="0"/>
                <w:sz w:val="20"/>
                <w:szCs w:val="20"/>
              </w:rPr>
              <w:t>1</w:t>
            </w:r>
            <w:r>
              <w:rPr>
                <w:rFonts w:hint="eastAsia" w:ascii="楷体" w:hAnsi="楷体" w:eastAsia="楷体" w:cs="宋体"/>
                <w:b/>
                <w:bCs/>
                <w:kern w:val="0"/>
                <w:sz w:val="20"/>
                <w:szCs w:val="20"/>
              </w:rPr>
              <w:t>E</w:t>
            </w:r>
          </w:p>
        </w:tc>
        <w:tc>
          <w:tcPr>
            <w:tcW w:w="1240" w:type="dxa"/>
            <w:tcBorders>
              <w:top w:val="single" w:color="auto" w:sz="8" w:space="0"/>
              <w:left w:val="nil"/>
              <w:bottom w:val="single" w:color="auto" w:sz="8" w:space="0"/>
              <w:right w:val="nil"/>
            </w:tcBorders>
            <w:shd w:val="clear" w:color="auto" w:fill="auto"/>
            <w:noWrap/>
            <w:vAlign w:val="center"/>
          </w:tcPr>
          <w:p>
            <w:pPr>
              <w:rPr>
                <w:rFonts w:ascii="楷体" w:hAnsi="楷体" w:eastAsia="楷体" w:cs="宋体"/>
                <w:b/>
                <w:bCs/>
                <w:kern w:val="0"/>
                <w:sz w:val="20"/>
                <w:szCs w:val="20"/>
              </w:rPr>
            </w:pPr>
            <w:r>
              <w:rPr>
                <w:rFonts w:hint="eastAsia" w:ascii="楷体" w:hAnsi="楷体" w:eastAsia="楷体" w:cs="宋体"/>
                <w:b/>
                <w:bCs/>
                <w:kern w:val="0"/>
                <w:sz w:val="20"/>
                <w:szCs w:val="20"/>
              </w:rPr>
              <w:t>202</w:t>
            </w:r>
            <w:r>
              <w:rPr>
                <w:rFonts w:ascii="楷体" w:hAnsi="楷体" w:eastAsia="楷体" w:cs="宋体"/>
                <w:b/>
                <w:bCs/>
                <w:kern w:val="0"/>
                <w:sz w:val="20"/>
                <w:szCs w:val="20"/>
              </w:rPr>
              <w:t>2</w:t>
            </w:r>
            <w:r>
              <w:rPr>
                <w:rFonts w:hint="eastAsia" w:ascii="楷体" w:hAnsi="楷体" w:eastAsia="楷体" w:cs="宋体"/>
                <w:b/>
                <w:bCs/>
                <w:kern w:val="0"/>
                <w:sz w:val="20"/>
                <w:szCs w:val="20"/>
              </w:rPr>
              <w:t>E</w:t>
            </w:r>
          </w:p>
        </w:tc>
      </w:tr>
      <w:tr>
        <w:trPr>
          <w:trHeight w:val="870" w:hRule="atLeast"/>
        </w:trPr>
        <w:tc>
          <w:tcPr>
            <w:tcW w:w="2460" w:type="dxa"/>
            <w:tcBorders>
              <w:top w:val="nil"/>
              <w:left w:val="nil"/>
              <w:bottom w:val="nil"/>
              <w:right w:val="nil"/>
            </w:tcBorders>
            <w:shd w:val="clear" w:color="auto" w:fill="auto"/>
            <w:vAlign w:val="center"/>
          </w:tcPr>
          <w:p>
            <w:pPr>
              <w:rPr>
                <w:rFonts w:ascii="楷体" w:hAnsi="楷体" w:eastAsia="楷体" w:cs="宋体"/>
                <w:kern w:val="0"/>
                <w:sz w:val="20"/>
                <w:szCs w:val="20"/>
              </w:rPr>
            </w:pPr>
            <w:r>
              <w:rPr>
                <w:rFonts w:hint="eastAsia" w:ascii="楷体" w:hAnsi="楷体" w:eastAsia="楷体" w:cs="宋体"/>
                <w:kern w:val="0"/>
                <w:sz w:val="20"/>
                <w:szCs w:val="20"/>
              </w:rPr>
              <w:t>营业收入（百万港元）</w:t>
            </w:r>
            <w:r>
              <w:rPr>
                <w:rFonts w:hint="eastAsia" w:ascii="楷体" w:hAnsi="楷体" w:eastAsia="楷体" w:cs="宋体"/>
                <w:kern w:val="0"/>
                <w:sz w:val="20"/>
                <w:szCs w:val="20"/>
              </w:rPr>
              <w:br w:type="textWrapping"/>
            </w:r>
            <w:r>
              <w:rPr>
                <w:rFonts w:hint="eastAsia" w:ascii="楷体" w:hAnsi="楷体" w:eastAsia="楷体" w:cs="宋体"/>
                <w:kern w:val="0"/>
                <w:sz w:val="20"/>
                <w:szCs w:val="20"/>
              </w:rPr>
              <w:t>YoY（%）</w:t>
            </w:r>
          </w:p>
        </w:tc>
        <w:tc>
          <w:tcPr>
            <w:tcW w:w="1240" w:type="dxa"/>
            <w:tcBorders>
              <w:top w:val="nil"/>
              <w:left w:val="nil"/>
              <w:bottom w:val="nil"/>
              <w:right w:val="nil"/>
            </w:tcBorders>
            <w:shd w:val="clear" w:color="auto" w:fill="auto"/>
            <w:vAlign w:val="center"/>
          </w:tcPr>
          <w:p>
            <w:pPr>
              <w:rPr>
                <w:rFonts w:ascii="楷体" w:hAnsi="楷体" w:eastAsia="楷体" w:cs="宋体"/>
                <w:kern w:val="0"/>
                <w:sz w:val="20"/>
                <w:szCs w:val="20"/>
              </w:rPr>
            </w:pPr>
          </w:p>
        </w:tc>
        <w:tc>
          <w:tcPr>
            <w:tcW w:w="1240" w:type="dxa"/>
            <w:tcBorders>
              <w:top w:val="nil"/>
              <w:left w:val="nil"/>
              <w:bottom w:val="nil"/>
              <w:right w:val="nil"/>
            </w:tcBorders>
            <w:shd w:val="clear" w:color="auto" w:fill="auto"/>
            <w:vAlign w:val="center"/>
          </w:tcPr>
          <w:p>
            <w:pPr>
              <w:rPr>
                <w:rFonts w:ascii="楷体" w:hAnsi="楷体" w:eastAsia="楷体" w:cs="宋体"/>
                <w:kern w:val="0"/>
                <w:sz w:val="20"/>
                <w:szCs w:val="20"/>
              </w:rPr>
            </w:pPr>
          </w:p>
        </w:tc>
        <w:tc>
          <w:tcPr>
            <w:tcW w:w="1240" w:type="dxa"/>
            <w:tcBorders>
              <w:top w:val="nil"/>
              <w:left w:val="nil"/>
              <w:bottom w:val="nil"/>
              <w:right w:val="nil"/>
            </w:tcBorders>
            <w:shd w:val="clear" w:color="auto" w:fill="auto"/>
            <w:vAlign w:val="center"/>
          </w:tcPr>
          <w:p>
            <w:pPr>
              <w:rPr>
                <w:rFonts w:ascii="楷体" w:hAnsi="楷体" w:eastAsia="楷体" w:cs="宋体"/>
                <w:kern w:val="0"/>
                <w:sz w:val="20"/>
                <w:szCs w:val="20"/>
              </w:rPr>
            </w:pPr>
          </w:p>
        </w:tc>
        <w:tc>
          <w:tcPr>
            <w:tcW w:w="1240" w:type="dxa"/>
            <w:tcBorders>
              <w:top w:val="nil"/>
              <w:left w:val="nil"/>
              <w:bottom w:val="nil"/>
              <w:right w:val="nil"/>
            </w:tcBorders>
            <w:shd w:val="clear" w:color="auto" w:fill="auto"/>
            <w:vAlign w:val="center"/>
          </w:tcPr>
          <w:p>
            <w:pPr>
              <w:rPr>
                <w:rFonts w:ascii="楷体" w:hAnsi="楷体" w:eastAsia="楷体" w:cs="宋体"/>
                <w:kern w:val="0"/>
                <w:sz w:val="20"/>
                <w:szCs w:val="20"/>
              </w:rPr>
            </w:pPr>
          </w:p>
        </w:tc>
        <w:tc>
          <w:tcPr>
            <w:tcW w:w="1240" w:type="dxa"/>
            <w:tcBorders>
              <w:top w:val="nil"/>
              <w:left w:val="nil"/>
              <w:bottom w:val="nil"/>
              <w:right w:val="nil"/>
            </w:tcBorders>
            <w:shd w:val="clear" w:color="auto" w:fill="auto"/>
            <w:vAlign w:val="center"/>
          </w:tcPr>
          <w:p>
            <w:pPr>
              <w:rPr>
                <w:rFonts w:ascii="楷体" w:hAnsi="楷体" w:eastAsia="楷体" w:cs="宋体"/>
                <w:kern w:val="0"/>
                <w:sz w:val="20"/>
                <w:szCs w:val="20"/>
              </w:rPr>
            </w:pPr>
          </w:p>
        </w:tc>
      </w:tr>
      <w:tr>
        <w:trPr>
          <w:trHeight w:val="960" w:hRule="atLeast"/>
        </w:trPr>
        <w:tc>
          <w:tcPr>
            <w:tcW w:w="2460" w:type="dxa"/>
            <w:tcBorders>
              <w:top w:val="single" w:color="auto" w:sz="4" w:space="0"/>
              <w:left w:val="nil"/>
              <w:bottom w:val="nil"/>
              <w:right w:val="nil"/>
            </w:tcBorders>
            <w:shd w:val="clear" w:color="auto" w:fill="auto"/>
            <w:vAlign w:val="center"/>
          </w:tcPr>
          <w:p>
            <w:pPr>
              <w:rPr>
                <w:rFonts w:ascii="楷体" w:hAnsi="楷体" w:eastAsia="楷体" w:cs="宋体"/>
                <w:kern w:val="0"/>
                <w:sz w:val="20"/>
                <w:szCs w:val="20"/>
              </w:rPr>
            </w:pPr>
            <w:r>
              <w:rPr>
                <w:rFonts w:hint="eastAsia" w:ascii="楷体" w:hAnsi="楷体" w:eastAsia="楷体" w:cs="宋体"/>
                <w:kern w:val="0"/>
                <w:sz w:val="20"/>
                <w:szCs w:val="20"/>
              </w:rPr>
              <w:t>归母净利润（百万港元）</w:t>
            </w:r>
            <w:r>
              <w:rPr>
                <w:rFonts w:hint="eastAsia" w:ascii="楷体" w:hAnsi="楷体" w:eastAsia="楷体" w:cs="宋体"/>
                <w:kern w:val="0"/>
                <w:sz w:val="20"/>
                <w:szCs w:val="20"/>
              </w:rPr>
              <w:br w:type="textWrapping"/>
            </w:r>
            <w:r>
              <w:rPr>
                <w:rFonts w:hint="eastAsia" w:ascii="楷体" w:hAnsi="楷体" w:eastAsia="楷体" w:cs="宋体"/>
                <w:kern w:val="0"/>
                <w:sz w:val="20"/>
                <w:szCs w:val="20"/>
              </w:rPr>
              <w:t>YoY（%）</w:t>
            </w:r>
          </w:p>
        </w:tc>
        <w:tc>
          <w:tcPr>
            <w:tcW w:w="1240" w:type="dxa"/>
            <w:tcBorders>
              <w:top w:val="single" w:color="auto" w:sz="4" w:space="0"/>
              <w:left w:val="nil"/>
              <w:bottom w:val="nil"/>
              <w:right w:val="nil"/>
            </w:tcBorders>
            <w:shd w:val="clear" w:color="auto" w:fill="auto"/>
            <w:vAlign w:val="center"/>
          </w:tcPr>
          <w:p>
            <w:pPr>
              <w:rPr>
                <w:rFonts w:ascii="楷体" w:hAnsi="楷体" w:eastAsia="楷体" w:cs="宋体"/>
                <w:kern w:val="0"/>
                <w:sz w:val="20"/>
                <w:szCs w:val="20"/>
              </w:rPr>
            </w:pPr>
          </w:p>
        </w:tc>
        <w:tc>
          <w:tcPr>
            <w:tcW w:w="1240" w:type="dxa"/>
            <w:tcBorders>
              <w:top w:val="single" w:color="auto" w:sz="4" w:space="0"/>
              <w:left w:val="nil"/>
              <w:bottom w:val="nil"/>
              <w:right w:val="nil"/>
            </w:tcBorders>
            <w:shd w:val="clear" w:color="auto" w:fill="auto"/>
            <w:vAlign w:val="center"/>
          </w:tcPr>
          <w:p>
            <w:pPr>
              <w:rPr>
                <w:rFonts w:ascii="楷体" w:hAnsi="楷体" w:eastAsia="楷体" w:cs="宋体"/>
                <w:kern w:val="0"/>
                <w:sz w:val="20"/>
                <w:szCs w:val="20"/>
              </w:rPr>
            </w:pPr>
          </w:p>
        </w:tc>
        <w:tc>
          <w:tcPr>
            <w:tcW w:w="1240" w:type="dxa"/>
            <w:tcBorders>
              <w:top w:val="single" w:color="auto" w:sz="4" w:space="0"/>
              <w:left w:val="nil"/>
              <w:bottom w:val="nil"/>
              <w:right w:val="nil"/>
            </w:tcBorders>
            <w:shd w:val="clear" w:color="auto" w:fill="auto"/>
            <w:vAlign w:val="center"/>
          </w:tcPr>
          <w:p>
            <w:pPr>
              <w:rPr>
                <w:rFonts w:ascii="楷体" w:hAnsi="楷体" w:eastAsia="楷体" w:cs="宋体"/>
                <w:kern w:val="0"/>
                <w:sz w:val="20"/>
                <w:szCs w:val="20"/>
              </w:rPr>
            </w:pPr>
          </w:p>
        </w:tc>
        <w:tc>
          <w:tcPr>
            <w:tcW w:w="1240" w:type="dxa"/>
            <w:tcBorders>
              <w:top w:val="single" w:color="auto" w:sz="4" w:space="0"/>
              <w:left w:val="nil"/>
              <w:bottom w:val="nil"/>
              <w:right w:val="nil"/>
            </w:tcBorders>
            <w:shd w:val="clear" w:color="auto" w:fill="auto"/>
            <w:vAlign w:val="center"/>
          </w:tcPr>
          <w:p>
            <w:pPr>
              <w:rPr>
                <w:rFonts w:ascii="楷体" w:hAnsi="楷体" w:eastAsia="楷体" w:cs="宋体"/>
                <w:kern w:val="0"/>
                <w:sz w:val="20"/>
                <w:szCs w:val="20"/>
              </w:rPr>
            </w:pPr>
          </w:p>
        </w:tc>
        <w:tc>
          <w:tcPr>
            <w:tcW w:w="1240" w:type="dxa"/>
            <w:tcBorders>
              <w:top w:val="single" w:color="auto" w:sz="4" w:space="0"/>
              <w:left w:val="nil"/>
              <w:bottom w:val="nil"/>
              <w:right w:val="nil"/>
            </w:tcBorders>
            <w:shd w:val="clear" w:color="auto" w:fill="auto"/>
            <w:vAlign w:val="center"/>
          </w:tcPr>
          <w:p>
            <w:pPr>
              <w:rPr>
                <w:rFonts w:ascii="楷体" w:hAnsi="楷体" w:eastAsia="楷体" w:cs="宋体"/>
                <w:kern w:val="0"/>
                <w:sz w:val="20"/>
                <w:szCs w:val="20"/>
              </w:rPr>
            </w:pPr>
          </w:p>
        </w:tc>
      </w:tr>
      <w:tr>
        <w:trPr>
          <w:trHeight w:val="1020" w:hRule="atLeast"/>
        </w:trPr>
        <w:tc>
          <w:tcPr>
            <w:tcW w:w="2460" w:type="dxa"/>
            <w:tcBorders>
              <w:top w:val="single" w:color="auto" w:sz="4" w:space="0"/>
              <w:left w:val="nil"/>
              <w:bottom w:val="nil"/>
              <w:right w:val="nil"/>
            </w:tcBorders>
            <w:shd w:val="clear" w:color="auto" w:fill="auto"/>
            <w:vAlign w:val="center"/>
          </w:tcPr>
          <w:p>
            <w:pPr>
              <w:rPr>
                <w:rFonts w:ascii="楷体" w:hAnsi="楷体" w:eastAsia="楷体" w:cs="宋体"/>
                <w:kern w:val="0"/>
                <w:sz w:val="20"/>
                <w:szCs w:val="20"/>
              </w:rPr>
            </w:pPr>
            <w:r>
              <w:rPr>
                <w:rFonts w:hint="eastAsia" w:ascii="楷体" w:hAnsi="楷体" w:eastAsia="楷体" w:cs="宋体"/>
                <w:kern w:val="0"/>
                <w:sz w:val="20"/>
                <w:szCs w:val="20"/>
              </w:rPr>
              <w:t>毛利率（%）</w:t>
            </w:r>
            <w:r>
              <w:rPr>
                <w:rFonts w:hint="eastAsia" w:ascii="楷体" w:hAnsi="楷体" w:eastAsia="楷体" w:cs="宋体"/>
                <w:kern w:val="0"/>
                <w:sz w:val="20"/>
                <w:szCs w:val="20"/>
              </w:rPr>
              <w:br w:type="textWrapping"/>
            </w:r>
            <w:r>
              <w:rPr>
                <w:rFonts w:hint="eastAsia" w:ascii="楷体" w:hAnsi="楷体" w:eastAsia="楷体" w:cs="宋体"/>
                <w:kern w:val="0"/>
                <w:sz w:val="20"/>
                <w:szCs w:val="20"/>
              </w:rPr>
              <w:t>每股收益（港元）</w:t>
            </w:r>
          </w:p>
        </w:tc>
        <w:tc>
          <w:tcPr>
            <w:tcW w:w="1240" w:type="dxa"/>
            <w:tcBorders>
              <w:top w:val="single" w:color="auto" w:sz="4" w:space="0"/>
              <w:left w:val="nil"/>
              <w:bottom w:val="nil"/>
              <w:right w:val="nil"/>
            </w:tcBorders>
            <w:shd w:val="clear" w:color="auto" w:fill="auto"/>
            <w:vAlign w:val="center"/>
          </w:tcPr>
          <w:p>
            <w:pPr>
              <w:rPr>
                <w:rFonts w:ascii="楷体" w:hAnsi="楷体" w:eastAsia="楷体" w:cs="宋体"/>
                <w:kern w:val="0"/>
                <w:sz w:val="20"/>
                <w:szCs w:val="20"/>
              </w:rPr>
            </w:pPr>
          </w:p>
        </w:tc>
        <w:tc>
          <w:tcPr>
            <w:tcW w:w="1240" w:type="dxa"/>
            <w:tcBorders>
              <w:top w:val="single" w:color="auto" w:sz="4" w:space="0"/>
              <w:left w:val="nil"/>
              <w:bottom w:val="nil"/>
              <w:right w:val="nil"/>
            </w:tcBorders>
            <w:shd w:val="clear" w:color="auto" w:fill="auto"/>
            <w:vAlign w:val="center"/>
          </w:tcPr>
          <w:p>
            <w:pPr>
              <w:rPr>
                <w:rFonts w:ascii="楷体" w:hAnsi="楷体" w:eastAsia="楷体" w:cs="宋体"/>
                <w:kern w:val="0"/>
                <w:sz w:val="20"/>
                <w:szCs w:val="20"/>
              </w:rPr>
            </w:pPr>
          </w:p>
        </w:tc>
        <w:tc>
          <w:tcPr>
            <w:tcW w:w="1240" w:type="dxa"/>
            <w:tcBorders>
              <w:top w:val="single" w:color="auto" w:sz="4" w:space="0"/>
              <w:left w:val="nil"/>
              <w:bottom w:val="nil"/>
              <w:right w:val="nil"/>
            </w:tcBorders>
            <w:shd w:val="clear" w:color="auto" w:fill="auto"/>
            <w:vAlign w:val="center"/>
          </w:tcPr>
          <w:p>
            <w:pPr>
              <w:rPr>
                <w:rFonts w:ascii="楷体" w:hAnsi="楷体" w:eastAsia="楷体" w:cs="宋体"/>
                <w:kern w:val="0"/>
                <w:sz w:val="20"/>
                <w:szCs w:val="20"/>
              </w:rPr>
            </w:pPr>
          </w:p>
        </w:tc>
        <w:tc>
          <w:tcPr>
            <w:tcW w:w="1240" w:type="dxa"/>
            <w:tcBorders>
              <w:top w:val="single" w:color="auto" w:sz="4" w:space="0"/>
              <w:left w:val="nil"/>
              <w:bottom w:val="nil"/>
              <w:right w:val="nil"/>
            </w:tcBorders>
            <w:shd w:val="clear" w:color="auto" w:fill="auto"/>
            <w:vAlign w:val="center"/>
          </w:tcPr>
          <w:p>
            <w:pPr>
              <w:rPr>
                <w:rFonts w:ascii="楷体" w:hAnsi="楷体" w:eastAsia="楷体" w:cs="宋体"/>
                <w:kern w:val="0"/>
                <w:sz w:val="20"/>
                <w:szCs w:val="20"/>
              </w:rPr>
            </w:pPr>
          </w:p>
        </w:tc>
        <w:tc>
          <w:tcPr>
            <w:tcW w:w="1240" w:type="dxa"/>
            <w:tcBorders>
              <w:top w:val="single" w:color="auto" w:sz="4" w:space="0"/>
              <w:left w:val="nil"/>
              <w:bottom w:val="nil"/>
              <w:right w:val="nil"/>
            </w:tcBorders>
            <w:shd w:val="clear" w:color="auto" w:fill="auto"/>
            <w:vAlign w:val="center"/>
          </w:tcPr>
          <w:p>
            <w:pPr>
              <w:rPr>
                <w:rFonts w:ascii="楷体" w:hAnsi="楷体" w:eastAsia="楷体" w:cs="宋体"/>
                <w:kern w:val="0"/>
                <w:sz w:val="20"/>
                <w:szCs w:val="20"/>
              </w:rPr>
            </w:pPr>
          </w:p>
        </w:tc>
      </w:tr>
      <w:tr>
        <w:trPr>
          <w:trHeight w:val="540" w:hRule="atLeast"/>
        </w:trPr>
        <w:tc>
          <w:tcPr>
            <w:tcW w:w="2460" w:type="dxa"/>
            <w:tcBorders>
              <w:top w:val="single" w:color="auto" w:sz="4" w:space="0"/>
              <w:left w:val="nil"/>
              <w:bottom w:val="nil"/>
              <w:right w:val="nil"/>
            </w:tcBorders>
            <w:shd w:val="clear" w:color="auto" w:fill="auto"/>
            <w:noWrap/>
            <w:vAlign w:val="center"/>
          </w:tcPr>
          <w:p>
            <w:pPr>
              <w:rPr>
                <w:rFonts w:ascii="楷体" w:hAnsi="楷体" w:eastAsia="楷体" w:cs="宋体"/>
                <w:kern w:val="0"/>
                <w:sz w:val="20"/>
                <w:szCs w:val="20"/>
              </w:rPr>
            </w:pPr>
            <w:r>
              <w:rPr>
                <w:rFonts w:hint="eastAsia" w:ascii="楷体" w:hAnsi="楷体" w:eastAsia="楷体" w:cs="宋体"/>
                <w:kern w:val="0"/>
                <w:sz w:val="20"/>
                <w:szCs w:val="20"/>
              </w:rPr>
              <w:t>ROE</w:t>
            </w:r>
          </w:p>
        </w:tc>
        <w:tc>
          <w:tcPr>
            <w:tcW w:w="1240" w:type="dxa"/>
            <w:tcBorders>
              <w:top w:val="single" w:color="auto" w:sz="4" w:space="0"/>
              <w:left w:val="nil"/>
              <w:bottom w:val="nil"/>
              <w:right w:val="nil"/>
            </w:tcBorders>
            <w:shd w:val="clear" w:color="auto" w:fill="auto"/>
            <w:noWrap/>
            <w:vAlign w:val="center"/>
          </w:tcPr>
          <w:p>
            <w:pPr>
              <w:rPr>
                <w:rFonts w:ascii="楷体" w:hAnsi="楷体" w:eastAsia="楷体" w:cs="宋体"/>
                <w:kern w:val="0"/>
                <w:sz w:val="20"/>
                <w:szCs w:val="20"/>
              </w:rPr>
            </w:pPr>
          </w:p>
        </w:tc>
        <w:tc>
          <w:tcPr>
            <w:tcW w:w="1240" w:type="dxa"/>
            <w:tcBorders>
              <w:top w:val="single" w:color="auto" w:sz="4" w:space="0"/>
              <w:left w:val="nil"/>
              <w:bottom w:val="nil"/>
              <w:right w:val="nil"/>
            </w:tcBorders>
            <w:shd w:val="clear" w:color="auto" w:fill="auto"/>
            <w:noWrap/>
            <w:vAlign w:val="center"/>
          </w:tcPr>
          <w:p>
            <w:pPr>
              <w:rPr>
                <w:rFonts w:ascii="楷体" w:hAnsi="楷体" w:eastAsia="楷体" w:cs="宋体"/>
                <w:kern w:val="0"/>
                <w:sz w:val="20"/>
                <w:szCs w:val="20"/>
              </w:rPr>
            </w:pPr>
          </w:p>
        </w:tc>
        <w:tc>
          <w:tcPr>
            <w:tcW w:w="1240" w:type="dxa"/>
            <w:tcBorders>
              <w:top w:val="single" w:color="auto" w:sz="4" w:space="0"/>
              <w:left w:val="nil"/>
              <w:bottom w:val="nil"/>
              <w:right w:val="nil"/>
            </w:tcBorders>
            <w:shd w:val="clear" w:color="auto" w:fill="auto"/>
            <w:noWrap/>
            <w:vAlign w:val="center"/>
          </w:tcPr>
          <w:p>
            <w:pPr>
              <w:rPr>
                <w:rFonts w:ascii="楷体" w:hAnsi="楷体" w:eastAsia="楷体" w:cs="宋体"/>
                <w:kern w:val="0"/>
                <w:sz w:val="20"/>
                <w:szCs w:val="20"/>
              </w:rPr>
            </w:pPr>
          </w:p>
        </w:tc>
        <w:tc>
          <w:tcPr>
            <w:tcW w:w="1240" w:type="dxa"/>
            <w:tcBorders>
              <w:top w:val="single" w:color="auto" w:sz="4" w:space="0"/>
              <w:left w:val="nil"/>
              <w:bottom w:val="nil"/>
              <w:right w:val="nil"/>
            </w:tcBorders>
            <w:shd w:val="clear" w:color="auto" w:fill="auto"/>
            <w:noWrap/>
            <w:vAlign w:val="center"/>
          </w:tcPr>
          <w:p>
            <w:pPr>
              <w:rPr>
                <w:rFonts w:ascii="楷体" w:hAnsi="楷体" w:eastAsia="楷体" w:cs="宋体"/>
                <w:kern w:val="0"/>
                <w:sz w:val="20"/>
                <w:szCs w:val="20"/>
              </w:rPr>
            </w:pPr>
          </w:p>
        </w:tc>
        <w:tc>
          <w:tcPr>
            <w:tcW w:w="1240" w:type="dxa"/>
            <w:tcBorders>
              <w:top w:val="single" w:color="auto" w:sz="4" w:space="0"/>
              <w:left w:val="nil"/>
              <w:bottom w:val="nil"/>
              <w:right w:val="nil"/>
            </w:tcBorders>
            <w:shd w:val="clear" w:color="auto" w:fill="auto"/>
            <w:noWrap/>
            <w:vAlign w:val="center"/>
          </w:tcPr>
          <w:p>
            <w:pPr>
              <w:rPr>
                <w:rFonts w:ascii="楷体" w:hAnsi="楷体" w:eastAsia="楷体" w:cs="宋体"/>
                <w:kern w:val="0"/>
                <w:sz w:val="20"/>
                <w:szCs w:val="20"/>
              </w:rPr>
            </w:pPr>
          </w:p>
        </w:tc>
      </w:tr>
      <w:tr>
        <w:trPr>
          <w:trHeight w:val="525" w:hRule="atLeast"/>
        </w:trPr>
        <w:tc>
          <w:tcPr>
            <w:tcW w:w="2460" w:type="dxa"/>
            <w:tcBorders>
              <w:top w:val="single" w:color="auto" w:sz="4" w:space="0"/>
              <w:left w:val="nil"/>
              <w:bottom w:val="single" w:color="auto" w:sz="8" w:space="0"/>
              <w:right w:val="nil"/>
            </w:tcBorders>
            <w:shd w:val="clear" w:color="auto" w:fill="auto"/>
            <w:noWrap/>
            <w:vAlign w:val="center"/>
          </w:tcPr>
          <w:p>
            <w:pPr>
              <w:rPr>
                <w:rFonts w:ascii="楷体" w:hAnsi="楷体" w:eastAsia="楷体" w:cs="宋体"/>
                <w:kern w:val="0"/>
                <w:sz w:val="20"/>
                <w:szCs w:val="20"/>
              </w:rPr>
            </w:pPr>
            <w:r>
              <w:rPr>
                <w:rFonts w:hint="eastAsia" w:ascii="楷体" w:hAnsi="楷体" w:eastAsia="楷体" w:cs="宋体"/>
                <w:kern w:val="0"/>
                <w:sz w:val="20"/>
                <w:szCs w:val="20"/>
              </w:rPr>
              <w:t>市盈率</w:t>
            </w:r>
          </w:p>
        </w:tc>
        <w:tc>
          <w:tcPr>
            <w:tcW w:w="1240" w:type="dxa"/>
            <w:tcBorders>
              <w:top w:val="single" w:color="auto" w:sz="4" w:space="0"/>
              <w:left w:val="nil"/>
              <w:bottom w:val="single" w:color="auto" w:sz="8" w:space="0"/>
              <w:right w:val="nil"/>
            </w:tcBorders>
            <w:shd w:val="clear" w:color="auto" w:fill="auto"/>
            <w:noWrap/>
            <w:vAlign w:val="center"/>
          </w:tcPr>
          <w:p>
            <w:pPr>
              <w:rPr>
                <w:rFonts w:ascii="楷体" w:hAnsi="楷体" w:eastAsia="楷体" w:cs="宋体"/>
                <w:kern w:val="0"/>
                <w:sz w:val="20"/>
                <w:szCs w:val="20"/>
              </w:rPr>
            </w:pPr>
          </w:p>
        </w:tc>
        <w:tc>
          <w:tcPr>
            <w:tcW w:w="1240" w:type="dxa"/>
            <w:tcBorders>
              <w:top w:val="single" w:color="auto" w:sz="4" w:space="0"/>
              <w:left w:val="nil"/>
              <w:bottom w:val="single" w:color="auto" w:sz="8" w:space="0"/>
              <w:right w:val="nil"/>
            </w:tcBorders>
            <w:shd w:val="clear" w:color="auto" w:fill="auto"/>
            <w:noWrap/>
            <w:vAlign w:val="center"/>
          </w:tcPr>
          <w:p>
            <w:pPr>
              <w:rPr>
                <w:rFonts w:ascii="楷体" w:hAnsi="楷体" w:eastAsia="楷体" w:cs="宋体"/>
                <w:kern w:val="0"/>
                <w:sz w:val="20"/>
                <w:szCs w:val="20"/>
              </w:rPr>
            </w:pPr>
          </w:p>
        </w:tc>
        <w:tc>
          <w:tcPr>
            <w:tcW w:w="1240" w:type="dxa"/>
            <w:tcBorders>
              <w:top w:val="single" w:color="auto" w:sz="4" w:space="0"/>
              <w:left w:val="nil"/>
              <w:bottom w:val="single" w:color="auto" w:sz="8" w:space="0"/>
              <w:right w:val="nil"/>
            </w:tcBorders>
            <w:shd w:val="clear" w:color="auto" w:fill="auto"/>
            <w:noWrap/>
            <w:vAlign w:val="center"/>
          </w:tcPr>
          <w:p>
            <w:pPr>
              <w:rPr>
                <w:rFonts w:ascii="楷体" w:hAnsi="楷体" w:eastAsia="楷体" w:cs="宋体"/>
                <w:kern w:val="0"/>
                <w:sz w:val="20"/>
                <w:szCs w:val="20"/>
              </w:rPr>
            </w:pPr>
          </w:p>
        </w:tc>
        <w:tc>
          <w:tcPr>
            <w:tcW w:w="1240" w:type="dxa"/>
            <w:tcBorders>
              <w:top w:val="single" w:color="auto" w:sz="4" w:space="0"/>
              <w:left w:val="nil"/>
              <w:bottom w:val="single" w:color="auto" w:sz="8" w:space="0"/>
              <w:right w:val="nil"/>
            </w:tcBorders>
            <w:shd w:val="clear" w:color="auto" w:fill="auto"/>
            <w:noWrap/>
            <w:vAlign w:val="center"/>
          </w:tcPr>
          <w:p>
            <w:pPr>
              <w:rPr>
                <w:rFonts w:ascii="楷体" w:hAnsi="楷体" w:eastAsia="楷体" w:cs="宋体"/>
                <w:kern w:val="0"/>
                <w:sz w:val="20"/>
                <w:szCs w:val="20"/>
              </w:rPr>
            </w:pPr>
          </w:p>
        </w:tc>
        <w:tc>
          <w:tcPr>
            <w:tcW w:w="1240" w:type="dxa"/>
            <w:tcBorders>
              <w:top w:val="single" w:color="auto" w:sz="4" w:space="0"/>
              <w:left w:val="nil"/>
              <w:bottom w:val="single" w:color="auto" w:sz="8" w:space="0"/>
              <w:right w:val="nil"/>
            </w:tcBorders>
            <w:shd w:val="clear" w:color="auto" w:fill="auto"/>
            <w:noWrap/>
            <w:vAlign w:val="center"/>
          </w:tcPr>
          <w:p>
            <w:pPr>
              <w:rPr>
                <w:rFonts w:ascii="楷体" w:hAnsi="楷体" w:eastAsia="楷体" w:cs="宋体"/>
                <w:kern w:val="0"/>
                <w:sz w:val="20"/>
                <w:szCs w:val="20"/>
              </w:rPr>
            </w:pPr>
          </w:p>
        </w:tc>
      </w:tr>
    </w:tbl>
    <w:p>
      <w:pPr>
        <w:rPr>
          <w:rFonts w:ascii="楷体" w:hAnsi="楷体" w:eastAsia="楷体"/>
          <w:sz w:val="24"/>
          <w:szCs w:val="24"/>
        </w:rPr>
      </w:pPr>
      <w:r>
        <w:rPr>
          <w:rFonts w:hint="eastAsia" w:ascii="楷体" w:hAnsi="楷体" w:eastAsia="楷体"/>
          <w:sz w:val="24"/>
          <w:szCs w:val="24"/>
        </w:rPr>
        <w:t>资料来源：Wind，华龙证券研究所</w:t>
      </w:r>
    </w:p>
    <w:p>
      <w:pPr>
        <w:ind w:firstLine="562" w:firstLineChars="200"/>
        <w:rPr>
          <w:rFonts w:ascii="楷体" w:hAnsi="楷体" w:eastAsia="楷体"/>
          <w:sz w:val="24"/>
          <w:szCs w:val="24"/>
        </w:rPr>
      </w:pPr>
      <w:r>
        <w:rPr>
          <w:rFonts w:hint="eastAsia" w:ascii="仿宋" w:hAnsi="仿宋" w:eastAsia="仿宋"/>
          <w:b/>
          <w:sz w:val="28"/>
          <w:szCs w:val="28"/>
        </w:rPr>
        <w:t>（六）</w:t>
      </w:r>
      <w:r>
        <w:rPr>
          <w:rFonts w:ascii="仿宋" w:hAnsi="仿宋" w:eastAsia="仿宋"/>
          <w:b/>
          <w:sz w:val="28"/>
          <w:szCs w:val="28"/>
        </w:rPr>
        <w:t>免责</w:t>
      </w:r>
      <w:r>
        <w:rPr>
          <w:rFonts w:hint="eastAsia" w:ascii="仿宋" w:hAnsi="仿宋" w:eastAsia="仿宋"/>
          <w:b/>
          <w:sz w:val="28"/>
          <w:szCs w:val="28"/>
        </w:rPr>
        <w:t>声</w:t>
      </w:r>
      <w:r>
        <w:rPr>
          <w:rFonts w:ascii="仿宋" w:hAnsi="仿宋" w:eastAsia="仿宋"/>
          <w:b/>
          <w:sz w:val="28"/>
          <w:szCs w:val="28"/>
        </w:rPr>
        <w:t>明条款</w:t>
      </w:r>
    </w:p>
    <w:p>
      <w:pPr>
        <w:ind w:firstLine="560" w:firstLineChars="200"/>
        <w:rPr>
          <w:rFonts w:ascii="仿宋" w:hAnsi="仿宋" w:eastAsia="仿宋"/>
          <w:sz w:val="28"/>
          <w:szCs w:val="28"/>
        </w:rPr>
      </w:pPr>
      <w:r>
        <w:rPr>
          <w:rFonts w:hint="eastAsia" w:ascii="仿宋" w:hAnsi="仿宋" w:eastAsia="仿宋"/>
          <w:sz w:val="28"/>
          <w:szCs w:val="28"/>
        </w:rPr>
        <w:t>报告最后一页为分析师和公司免责声明。</w:t>
      </w:r>
    </w:p>
    <w:p>
      <w:pPr>
        <w:adjustRightInd w:val="0"/>
        <w:snapToGrid w:val="0"/>
        <w:spacing w:line="360" w:lineRule="auto"/>
        <w:rPr>
          <w:rFonts w:ascii="宋体" w:hAnsi="宋体" w:eastAsia="宋体" w:cs="Times New Roman"/>
          <w:b/>
          <w:color w:val="1F497D"/>
          <w:szCs w:val="28"/>
        </w:rPr>
      </w:pPr>
    </w:p>
    <w:p>
      <w:pPr>
        <w:adjustRightInd w:val="0"/>
        <w:snapToGrid w:val="0"/>
        <w:spacing w:line="360" w:lineRule="auto"/>
        <w:rPr>
          <w:rFonts w:ascii="仿宋" w:hAnsi="仿宋" w:eastAsia="仿宋" w:cs="Times New Roman"/>
          <w:b/>
          <w:sz w:val="28"/>
          <w:szCs w:val="28"/>
        </w:rPr>
      </w:pPr>
      <w:r>
        <w:rPr>
          <w:rFonts w:ascii="仿宋" w:hAnsi="仿宋" w:eastAsia="仿宋" w:cs="Times New Roman"/>
          <w:b/>
          <w:sz w:val="28"/>
          <w:szCs w:val="28"/>
        </w:rPr>
        <w:t>分析师声明</w:t>
      </w:r>
      <w:r>
        <w:rPr>
          <w:rFonts w:hint="eastAsia" w:ascii="仿宋" w:hAnsi="仿宋" w:eastAsia="仿宋" w:cs="Times New Roman"/>
          <w:b/>
          <w:sz w:val="28"/>
          <w:szCs w:val="28"/>
        </w:rPr>
        <w:t>：</w:t>
      </w:r>
    </w:p>
    <w:p>
      <w:pPr>
        <w:adjustRightInd w:val="0"/>
        <w:snapToGrid w:val="0"/>
        <w:spacing w:line="360" w:lineRule="auto"/>
        <w:ind w:firstLine="560" w:firstLineChars="200"/>
        <w:rPr>
          <w:rFonts w:ascii="仿宋" w:hAnsi="仿宋" w:eastAsia="仿宋" w:cs="Times New Roman"/>
          <w:sz w:val="28"/>
          <w:szCs w:val="28"/>
        </w:rPr>
      </w:pPr>
      <w:r>
        <w:rPr>
          <w:rFonts w:ascii="仿宋" w:hAnsi="仿宋" w:eastAsia="仿宋" w:cs="Times New Roman"/>
          <w:sz w:val="28"/>
          <w:szCs w:val="28"/>
        </w:rPr>
        <w:t>本人具有中国证券业协会授予的证券投资咨询执业资格并注册为证券分析师，以勤勉</w:t>
      </w:r>
      <w:r>
        <w:rPr>
          <w:rFonts w:hint="eastAsia" w:ascii="仿宋" w:hAnsi="仿宋" w:eastAsia="仿宋" w:cs="Times New Roman"/>
          <w:sz w:val="28"/>
          <w:szCs w:val="28"/>
        </w:rPr>
        <w:t>尽责</w:t>
      </w:r>
      <w:r>
        <w:rPr>
          <w:rFonts w:ascii="仿宋" w:hAnsi="仿宋" w:eastAsia="仿宋" w:cs="Times New Roman"/>
          <w:sz w:val="28"/>
          <w:szCs w:val="28"/>
        </w:rPr>
        <w:t>的职业态度，独立、客观</w:t>
      </w:r>
      <w:r>
        <w:rPr>
          <w:rFonts w:hint="eastAsia" w:ascii="仿宋" w:hAnsi="仿宋" w:eastAsia="仿宋" w:cs="Times New Roman"/>
          <w:sz w:val="28"/>
          <w:szCs w:val="28"/>
        </w:rPr>
        <w:t>、公正</w:t>
      </w:r>
      <w:r>
        <w:rPr>
          <w:rFonts w:ascii="仿宋" w:hAnsi="仿宋" w:eastAsia="仿宋" w:cs="Times New Roman"/>
          <w:sz w:val="28"/>
          <w:szCs w:val="28"/>
        </w:rPr>
        <w:t>地出具本报告</w:t>
      </w:r>
      <w:r>
        <w:rPr>
          <w:rFonts w:hint="eastAsia" w:ascii="仿宋" w:hAnsi="仿宋" w:eastAsia="仿宋" w:cs="Times New Roman"/>
          <w:sz w:val="28"/>
          <w:szCs w:val="28"/>
        </w:rPr>
        <w:t>，</w:t>
      </w:r>
      <w:r>
        <w:rPr>
          <w:rFonts w:ascii="仿宋" w:hAnsi="仿宋" w:eastAsia="仿宋" w:cs="Times New Roman"/>
          <w:sz w:val="28"/>
          <w:szCs w:val="28"/>
        </w:rPr>
        <w:t>不受本公司相关业务部门、证券发行人士、上市公司、基金管理公司、资产管理公司等利益相关者的干涉和</w:t>
      </w:r>
      <w:r>
        <w:rPr>
          <w:rFonts w:hint="eastAsia" w:ascii="仿宋" w:hAnsi="仿宋" w:eastAsia="仿宋" w:cs="Times New Roman"/>
          <w:sz w:val="28"/>
          <w:szCs w:val="28"/>
        </w:rPr>
        <w:t>影响</w:t>
      </w:r>
      <w:r>
        <w:rPr>
          <w:rFonts w:ascii="仿宋" w:hAnsi="仿宋" w:eastAsia="仿宋" w:cs="Times New Roman"/>
          <w:sz w:val="28"/>
          <w:szCs w:val="28"/>
        </w:rPr>
        <w:t>。本报告清晰准确地反映了本人的研究观点。本人不会因本报告中的具体推荐意见或观点而直接或间接收到任何形式的补偿。据此入市</w:t>
      </w:r>
      <w:r>
        <w:rPr>
          <w:rFonts w:hint="eastAsia" w:ascii="仿宋" w:hAnsi="仿宋" w:eastAsia="仿宋" w:cs="Times New Roman"/>
          <w:sz w:val="28"/>
          <w:szCs w:val="28"/>
        </w:rPr>
        <w:t>，风险自担。</w:t>
      </w:r>
      <w:r>
        <w:rPr>
          <w:rFonts w:ascii="仿宋" w:hAnsi="仿宋" w:eastAsia="仿宋" w:cs="Times New Roman"/>
          <w:sz w:val="28"/>
          <w:szCs w:val="28"/>
        </w:rPr>
        <w:t xml:space="preserve"> </w:t>
      </w:r>
    </w:p>
    <w:p>
      <w:pPr>
        <w:adjustRightInd w:val="0"/>
        <w:snapToGrid w:val="0"/>
        <w:spacing w:line="360" w:lineRule="auto"/>
        <w:rPr>
          <w:rFonts w:ascii="仿宋" w:hAnsi="仿宋" w:eastAsia="仿宋" w:cs="Times New Roman"/>
          <w:sz w:val="28"/>
          <w:szCs w:val="28"/>
        </w:rPr>
      </w:pPr>
      <w:r>
        <w:rPr>
          <w:rFonts w:hint="eastAsia" w:ascii="仿宋" w:hAnsi="仿宋" w:eastAsia="仿宋"/>
          <w:b/>
          <w:sz w:val="28"/>
          <w:szCs w:val="28"/>
        </w:rPr>
        <w:t>公司免责声明：</w:t>
      </w:r>
    </w:p>
    <w:p>
      <w:pPr>
        <w:adjustRightInd w:val="0"/>
        <w:snapToGrid w:val="0"/>
        <w:spacing w:line="360" w:lineRule="auto"/>
        <w:ind w:firstLine="560" w:firstLineChars="200"/>
        <w:rPr>
          <w:rFonts w:ascii="仿宋" w:hAnsi="仿宋" w:eastAsia="仿宋" w:cs="Times New Roman"/>
          <w:sz w:val="28"/>
          <w:szCs w:val="28"/>
        </w:rPr>
      </w:pPr>
      <w:r>
        <w:rPr>
          <w:rFonts w:hint="eastAsia" w:ascii="仿宋" w:hAnsi="仿宋" w:eastAsia="仿宋" w:cs="Times New Roman"/>
          <w:sz w:val="28"/>
          <w:szCs w:val="28"/>
        </w:rPr>
        <w:t>本报告信息均来源于公开资料，我公司对这些信息的准确性和完整性不作任何保证。编制及撰写本报告的所有分析师或研究人员在此保证，本研究报告中任何关于宏观经济、产业行业、上市公司投资价值等研究对象的观点均如实反映研究分析人员的个人观点。报告中的内容和意见仅供参考，并不构成对所述证券买卖价格的建议或询价。我公司及分析研究人员对使用本报告及其内容所引发的任何直接或间接损失及其他影响概不负责。</w:t>
      </w:r>
    </w:p>
    <w:p>
      <w:pPr>
        <w:adjustRightInd w:val="0"/>
        <w:snapToGrid w:val="0"/>
        <w:spacing w:line="360" w:lineRule="auto"/>
        <w:ind w:firstLine="560" w:firstLineChars="200"/>
        <w:rPr>
          <w:rFonts w:ascii="仿宋" w:hAnsi="仿宋" w:eastAsia="仿宋" w:cs="Times New Roman"/>
          <w:sz w:val="28"/>
          <w:szCs w:val="28"/>
        </w:rPr>
      </w:pPr>
      <w:r>
        <w:rPr>
          <w:rFonts w:hint="eastAsia" w:ascii="仿宋" w:hAnsi="仿宋" w:eastAsia="仿宋" w:cs="Times New Roman"/>
          <w:sz w:val="28"/>
          <w:szCs w:val="28"/>
        </w:rPr>
        <w:t>本报告版权归华龙证券股份有限公司所有，未经书面许可任何机构和个人不得以任何形式翻版、复制、刊登。任何人使用本报告，视为同意以上声明。引用本报告必须注明出处“华龙证券”，且不能对本报告作出有悖本意的删除或修改。</w:t>
      </w:r>
    </w:p>
    <w:p>
      <w:pPr>
        <w:ind w:firstLine="562" w:firstLineChars="200"/>
        <w:rPr>
          <w:rFonts w:ascii="仿宋" w:hAnsi="仿宋" w:eastAsia="仿宋"/>
          <w:b/>
          <w:sz w:val="28"/>
          <w:szCs w:val="28"/>
        </w:rPr>
      </w:pPr>
      <w:r>
        <w:rPr>
          <w:rFonts w:hint="eastAsia" w:ascii="仿宋" w:hAnsi="仿宋" w:eastAsia="仿宋"/>
          <w:b/>
          <w:sz w:val="28"/>
          <w:szCs w:val="28"/>
        </w:rPr>
        <w:t>（七）</w:t>
      </w:r>
      <w:r>
        <w:rPr>
          <w:rFonts w:ascii="仿宋" w:hAnsi="仿宋" w:eastAsia="仿宋"/>
          <w:b/>
          <w:sz w:val="28"/>
          <w:szCs w:val="28"/>
        </w:rPr>
        <w:t>图表目录</w:t>
      </w:r>
    </w:p>
    <w:p>
      <w:pPr>
        <w:ind w:firstLine="560" w:firstLineChars="200"/>
        <w:rPr>
          <w:rFonts w:ascii="仿宋" w:hAnsi="仿宋" w:eastAsia="仿宋"/>
          <w:sz w:val="28"/>
          <w:szCs w:val="28"/>
        </w:rPr>
      </w:pPr>
      <w:r>
        <w:rPr>
          <w:rFonts w:hint="eastAsia" w:ascii="仿宋" w:hAnsi="仿宋" w:eastAsia="仿宋"/>
          <w:sz w:val="28"/>
          <w:szCs w:val="28"/>
        </w:rPr>
        <w:t>在报告正文结束后附图表目录。</w:t>
      </w:r>
    </w:p>
    <w:p>
      <w:pPr>
        <w:ind w:firstLine="562" w:firstLineChars="200"/>
        <w:rPr>
          <w:rFonts w:ascii="仿宋" w:hAnsi="仿宋" w:eastAsia="仿宋"/>
          <w:b/>
          <w:sz w:val="28"/>
          <w:szCs w:val="28"/>
        </w:rPr>
      </w:pPr>
      <w:r>
        <w:rPr>
          <w:rFonts w:hint="eastAsia" w:ascii="仿宋" w:hAnsi="仿宋" w:eastAsia="仿宋"/>
          <w:b/>
          <w:sz w:val="28"/>
          <w:szCs w:val="28"/>
        </w:rPr>
        <w:t>（八）</w:t>
      </w:r>
      <w:r>
        <w:rPr>
          <w:rFonts w:ascii="仿宋" w:hAnsi="仿宋" w:eastAsia="仿宋"/>
          <w:b/>
          <w:sz w:val="28"/>
          <w:szCs w:val="28"/>
        </w:rPr>
        <w:t>报告文件格式</w:t>
      </w:r>
    </w:p>
    <w:p>
      <w:pPr>
        <w:ind w:firstLine="560" w:firstLineChars="200"/>
        <w:rPr>
          <w:rFonts w:ascii="仿宋" w:hAnsi="仿宋" w:eastAsia="仿宋"/>
          <w:sz w:val="28"/>
          <w:szCs w:val="28"/>
        </w:rPr>
      </w:pPr>
      <w:r>
        <w:rPr>
          <w:rFonts w:hint="eastAsia" w:ascii="仿宋" w:hAnsi="仿宋" w:eastAsia="仿宋"/>
          <w:sz w:val="28"/>
          <w:szCs w:val="28"/>
        </w:rPr>
        <w:t>一律为</w:t>
      </w:r>
      <w:r>
        <w:rPr>
          <w:rFonts w:ascii="仿宋" w:hAnsi="仿宋" w:eastAsia="仿宋"/>
          <w:sz w:val="28"/>
          <w:szCs w:val="28"/>
        </w:rPr>
        <w:t>PDF格式，适当运用EXCEL格式。</w:t>
      </w:r>
    </w:p>
    <w:p>
      <w:pPr>
        <w:ind w:firstLine="560" w:firstLineChars="200"/>
        <w:rPr>
          <w:rFonts w:ascii="仿宋" w:hAnsi="仿宋" w:eastAsia="仿宋"/>
          <w:sz w:val="28"/>
          <w:szCs w:val="28"/>
        </w:rPr>
      </w:pPr>
    </w:p>
    <w:p>
      <w:pPr>
        <w:ind w:firstLine="560" w:firstLineChars="200"/>
        <w:rPr>
          <w:rFonts w:ascii="仿宋" w:hAnsi="仿宋" w:eastAsia="仿宋"/>
          <w:sz w:val="28"/>
          <w:szCs w:val="28"/>
        </w:rPr>
      </w:pPr>
      <w:r>
        <w:rPr>
          <w:rFonts w:ascii="仿宋" w:hAnsi="仿宋" w:eastAsia="仿宋"/>
          <w:sz w:val="28"/>
          <w:szCs w:val="28"/>
        </w:rPr>
        <w:t xml:space="preserve">                                       公司研究所</w:t>
      </w:r>
    </w:p>
    <w:p>
      <w:pPr>
        <w:ind w:firstLine="560" w:firstLineChars="200"/>
        <w:rPr>
          <w:rFonts w:ascii="仿宋" w:hAnsi="仿宋" w:eastAsia="仿宋"/>
          <w:sz w:val="28"/>
          <w:szCs w:val="28"/>
        </w:rPr>
      </w:pPr>
      <w:r>
        <w:rPr>
          <w:rFonts w:ascii="仿宋" w:hAnsi="仿宋" w:eastAsia="仿宋"/>
          <w:sz w:val="28"/>
          <w:szCs w:val="28"/>
        </w:rPr>
        <w:t xml:space="preserve">                                    2021年4月19日</w:t>
      </w: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0000000000000000000"/>
    <w:charset w:val="86"/>
    <w:family w:val="auto"/>
    <w:pitch w:val="default"/>
    <w:sig w:usb0="00000000" w:usb1="00000000" w:usb2="00000016" w:usb3="00000000" w:csb0="0004000F" w:csb1="00000000"/>
  </w:font>
  <w:font w:name="等线 Light">
    <w:altName w:val="汉仪中等线KW"/>
    <w:panose1 w:val="00000000000000000000"/>
    <w:charset w:val="86"/>
    <w:family w:val="auto"/>
    <w:pitch w:val="default"/>
    <w:sig w:usb0="00000000" w:usb1="00000000" w:usb2="00000016" w:usb3="00000000" w:csb0="0004000F" w:csb1="00000000"/>
  </w:font>
  <w:font w:name="仿宋">
    <w:altName w:val="方正仿宋_GBK"/>
    <w:panose1 w:val="02010609060101010101"/>
    <w:charset w:val="86"/>
    <w:family w:val="modern"/>
    <w:pitch w:val="default"/>
    <w:sig w:usb0="00000000" w:usb1="00000000" w:usb2="00000016" w:usb3="00000000" w:csb0="00040001" w:csb1="00000000"/>
  </w:font>
  <w:font w:name="楷体">
    <w:altName w:val="汉仪楷体KW"/>
    <w:panose1 w:val="02010609060101010101"/>
    <w:charset w:val="86"/>
    <w:family w:val="modern"/>
    <w:pitch w:val="default"/>
    <w:sig w:usb0="00000000" w:usb1="00000000" w:usb2="00000016" w:usb3="00000000" w:csb0="00040001"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方正仿宋_GBK">
    <w:panose1 w:val="02000000000000000000"/>
    <w:charset w:val="86"/>
    <w:family w:val="auto"/>
    <w:pitch w:val="default"/>
    <w:sig w:usb0="A00002BF" w:usb1="38CF7CFA" w:usb2="00082016" w:usb3="00000000" w:csb0="00040001" w:csb1="00000000"/>
  </w:font>
  <w:font w:name="冬青黑体简体中文">
    <w:panose1 w:val="020B0300000000000000"/>
    <w:charset w:val="86"/>
    <w:family w:val="auto"/>
    <w:pitch w:val="default"/>
    <w:sig w:usb0="A00002BF" w:usb1="1ACF7CFA" w:usb2="00000016" w:usb3="00000000" w:csb0="00060007" w:csb1="00000000"/>
  </w:font>
  <w:font w:name="等线 Light">
    <w:altName w:val="汉仪中等线KW"/>
    <w:panose1 w:val="00000000000000000000"/>
    <w:charset w:val="00"/>
    <w:family w:val="auto"/>
    <w:pitch w:val="default"/>
    <w:sig w:usb0="00000000" w:usb1="00000000" w:usb2="00000000" w:usb3="00000000" w:csb0="00000000" w:csb1="00000000"/>
  </w:font>
  <w:font w:name="汉仪楷体KW">
    <w:panose1 w:val="00020600040101010101"/>
    <w:charset w:val="86"/>
    <w:family w:val="auto"/>
    <w:pitch w:val="default"/>
    <w:sig w:usb0="A00002BF" w:usb1="18EF7CFA" w:usb2="00000016" w:usb3="00000000" w:csb0="00040000" w:csb1="00000000"/>
  </w:font>
  <w:font w:name="汉仪书宋二KW">
    <w:panose1 w:val="00020600040101010101"/>
    <w:charset w:val="86"/>
    <w:family w:val="auto"/>
    <w:pitch w:val="default"/>
    <w:sig w:usb0="A00002BF" w:usb1="18EF7CFA" w:usb2="00000016"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0"/>
    </w:sdtPr>
    <w:sdtContent>
      <w:p>
        <w:pPr>
          <w:pStyle w:val="6"/>
          <w:jc w:val="center"/>
        </w:pPr>
        <w:r>
          <w:fldChar w:fldCharType="begin"/>
        </w:r>
        <w:r>
          <w:instrText xml:space="preserve">PAGE   \* MERGEFORMAT</w:instrText>
        </w:r>
        <w:r>
          <w:fldChar w:fldCharType="separate"/>
        </w:r>
        <w:r>
          <w:rPr>
            <w:lang w:val="zh-CN"/>
          </w:rPr>
          <w:t>12</w:t>
        </w:r>
        <w:r>
          <w:fldChar w:fldCharType="end"/>
        </w:r>
      </w:p>
    </w:sdtContent>
  </w:sdt>
  <w:p>
    <w:pPr>
      <w:pStyle w:val="6"/>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6C33"/>
    <w:rsid w:val="000619B7"/>
    <w:rsid w:val="000A6D11"/>
    <w:rsid w:val="000B3808"/>
    <w:rsid w:val="001740EA"/>
    <w:rsid w:val="001938DE"/>
    <w:rsid w:val="001E0117"/>
    <w:rsid w:val="001E03F6"/>
    <w:rsid w:val="002A6C33"/>
    <w:rsid w:val="002F0C19"/>
    <w:rsid w:val="003D4156"/>
    <w:rsid w:val="00456EC7"/>
    <w:rsid w:val="00456F51"/>
    <w:rsid w:val="00467F4D"/>
    <w:rsid w:val="004A0834"/>
    <w:rsid w:val="004D4728"/>
    <w:rsid w:val="004F6D26"/>
    <w:rsid w:val="0052244B"/>
    <w:rsid w:val="005F19DE"/>
    <w:rsid w:val="006475C0"/>
    <w:rsid w:val="00753DAB"/>
    <w:rsid w:val="00796C0E"/>
    <w:rsid w:val="007C7041"/>
    <w:rsid w:val="00821E1D"/>
    <w:rsid w:val="00863902"/>
    <w:rsid w:val="00890141"/>
    <w:rsid w:val="008C7CDF"/>
    <w:rsid w:val="009429A5"/>
    <w:rsid w:val="00952856"/>
    <w:rsid w:val="00A25DCE"/>
    <w:rsid w:val="00A832A8"/>
    <w:rsid w:val="00B51DA4"/>
    <w:rsid w:val="00B562E7"/>
    <w:rsid w:val="00B930D6"/>
    <w:rsid w:val="00BA4B13"/>
    <w:rsid w:val="00BC310F"/>
    <w:rsid w:val="00C378D5"/>
    <w:rsid w:val="00C759BE"/>
    <w:rsid w:val="00DE28B8"/>
    <w:rsid w:val="00E127D3"/>
    <w:rsid w:val="00EE1BB9"/>
    <w:rsid w:val="00EF5436"/>
    <w:rsid w:val="00F00CAB"/>
    <w:rsid w:val="00F121B2"/>
    <w:rsid w:val="C4BF33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2"/>
    <w:unhideWhenUsed/>
    <w:qFormat/>
    <w:uiPriority w:val="9"/>
    <w:pPr>
      <w:keepNext/>
      <w:keepLines/>
      <w:spacing w:before="260" w:after="260" w:line="416" w:lineRule="auto"/>
      <w:outlineLvl w:val="2"/>
    </w:pPr>
    <w:rPr>
      <w:b/>
      <w:bCs/>
      <w:sz w:val="32"/>
      <w:szCs w:val="32"/>
    </w:rPr>
  </w:style>
  <w:style w:type="character" w:default="1" w:styleId="8">
    <w:name w:val="Default Paragraph Font"/>
    <w:unhideWhenUsed/>
    <w:qFormat/>
    <w:uiPriority w:val="1"/>
  </w:style>
  <w:style w:type="table" w:default="1" w:styleId="9">
    <w:name w:val="Normal Table"/>
    <w:unhideWhenUsed/>
    <w:qFormat/>
    <w:uiPriority w:val="99"/>
    <w:tblPr>
      <w:tblCellMar>
        <w:top w:w="0" w:type="dxa"/>
        <w:left w:w="108" w:type="dxa"/>
        <w:bottom w:w="0" w:type="dxa"/>
        <w:right w:w="108" w:type="dxa"/>
      </w:tblCellMar>
    </w:tblPr>
  </w:style>
  <w:style w:type="paragraph" w:styleId="5">
    <w:name w:val="Balloon Text"/>
    <w:basedOn w:val="1"/>
    <w:link w:val="13"/>
    <w:unhideWhenUsed/>
    <w:qFormat/>
    <w:uiPriority w:val="99"/>
    <w:rPr>
      <w:sz w:val="18"/>
      <w:szCs w:val="18"/>
    </w:rPr>
  </w:style>
  <w:style w:type="paragraph" w:styleId="6">
    <w:name w:val="footer"/>
    <w:basedOn w:val="1"/>
    <w:link w:val="15"/>
    <w:unhideWhenUsed/>
    <w:qFormat/>
    <w:uiPriority w:val="99"/>
    <w:pPr>
      <w:tabs>
        <w:tab w:val="center" w:pos="4153"/>
        <w:tab w:val="right" w:pos="8306"/>
      </w:tabs>
      <w:snapToGrid w:val="0"/>
      <w:jc w:val="left"/>
    </w:pPr>
    <w:rPr>
      <w:sz w:val="18"/>
      <w:szCs w:val="18"/>
    </w:rPr>
  </w:style>
  <w:style w:type="paragraph" w:styleId="7">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10">
    <w:name w:val="标题 1 Char"/>
    <w:basedOn w:val="8"/>
    <w:link w:val="2"/>
    <w:qFormat/>
    <w:uiPriority w:val="9"/>
    <w:rPr>
      <w:b/>
      <w:bCs/>
      <w:kern w:val="44"/>
      <w:sz w:val="44"/>
      <w:szCs w:val="44"/>
    </w:rPr>
  </w:style>
  <w:style w:type="character" w:customStyle="1" w:styleId="11">
    <w:name w:val="标题 2 Char"/>
    <w:basedOn w:val="8"/>
    <w:link w:val="3"/>
    <w:qFormat/>
    <w:uiPriority w:val="9"/>
    <w:rPr>
      <w:rFonts w:asciiTheme="majorHAnsi" w:hAnsiTheme="majorHAnsi" w:eastAsiaTheme="majorEastAsia" w:cstheme="majorBidi"/>
      <w:b/>
      <w:bCs/>
      <w:sz w:val="32"/>
      <w:szCs w:val="32"/>
    </w:rPr>
  </w:style>
  <w:style w:type="character" w:customStyle="1" w:styleId="12">
    <w:name w:val="标题 3 Char"/>
    <w:basedOn w:val="8"/>
    <w:link w:val="4"/>
    <w:qFormat/>
    <w:uiPriority w:val="9"/>
    <w:rPr>
      <w:b/>
      <w:bCs/>
      <w:sz w:val="32"/>
      <w:szCs w:val="32"/>
    </w:rPr>
  </w:style>
  <w:style w:type="character" w:customStyle="1" w:styleId="13">
    <w:name w:val="批注框文本 Char"/>
    <w:basedOn w:val="8"/>
    <w:link w:val="5"/>
    <w:semiHidden/>
    <w:qFormat/>
    <w:uiPriority w:val="99"/>
    <w:rPr>
      <w:sz w:val="18"/>
      <w:szCs w:val="18"/>
    </w:rPr>
  </w:style>
  <w:style w:type="character" w:customStyle="1" w:styleId="14">
    <w:name w:val="页眉 Char"/>
    <w:basedOn w:val="8"/>
    <w:link w:val="7"/>
    <w:qFormat/>
    <w:uiPriority w:val="99"/>
    <w:rPr>
      <w:sz w:val="18"/>
      <w:szCs w:val="18"/>
    </w:rPr>
  </w:style>
  <w:style w:type="character" w:customStyle="1" w:styleId="15">
    <w:name w:val="页脚 Char"/>
    <w:basedOn w:val="8"/>
    <w:link w:val="6"/>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979</Words>
  <Characters>5581</Characters>
  <Lines>46</Lines>
  <Paragraphs>13</Paragraphs>
  <TotalTime>0</TotalTime>
  <ScaleCrop>false</ScaleCrop>
  <LinksUpToDate>false</LinksUpToDate>
  <CharactersWithSpaces>6547</CharactersWithSpaces>
  <Application>WPS Office_4.0.0.6524_F1E327BC-269C-435d-A152-05C5408002CA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2021-04-20T14:07:00Z</dcterms:created>
  <dc:creator>邢甜</dc:creator>
  <cp:lastModifiedBy>xushaoqian</cp:lastModifiedBy>
  <cp:lastPrinted>2021-04-20T15:02:00Z</cp:lastPrinted>
  <dcterms:modified xsi:type="dcterms:W3CDTF">2022-03-05T13:18:38Z</dcterms:modified>
  <cp:revision>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2052-4.0.0.6524</vt:lpwstr>
  </property>
</Properties>
</file>