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ascii="黑体" w:hAnsi="黑体" w:eastAsia="黑体" w:cs="黑体"/>
          <w:b w:val="0"/>
          <w:bCs w:val="0"/>
          <w:sz w:val="32"/>
          <w:szCs w:val="32"/>
          <w:lang w:val="en-US" w:eastAsia="zh-CN"/>
        </w:rPr>
      </w:pPr>
      <w:bookmarkStart w:id="0" w:name="_Toc23788"/>
      <w:bookmarkStart w:id="1" w:name="_Toc26044"/>
      <w:bookmarkStart w:id="2" w:name="_Toc21400"/>
      <w:bookmarkStart w:id="3" w:name="_Toc16225"/>
      <w:bookmarkStart w:id="4" w:name="_Toc30111"/>
      <w:r>
        <w:rPr>
          <w:rFonts w:hint="eastAsia" w:ascii="黑体" w:hAnsi="黑体" w:eastAsia="黑体" w:cs="黑体"/>
          <w:b w:val="0"/>
          <w:bCs w:val="0"/>
          <w:sz w:val="32"/>
          <w:szCs w:val="32"/>
          <w:lang w:val="en-US" w:eastAsia="zh-CN"/>
        </w:rPr>
        <w:t>摘要</w:t>
      </w:r>
      <w:bookmarkEnd w:id="0"/>
      <w:bookmarkEnd w:id="1"/>
      <w:bookmarkEnd w:id="2"/>
      <w:bookmarkEnd w:id="3"/>
      <w:bookmarkEnd w:id="4"/>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自我国国债期货市场重启以来，市场运行平稳，发展迅速，国债期货交易规模不断扩大，交易品种不断的丰富，且在2020年3月起国债期货市场投资者限制放宽，允许商业银行、保险机构资金进入国债期货市场，为国债期货市场注入大量的流动性，使得市场活跃度大幅增加，有效性在逐渐增强，这为在国债期货市场进行统计套利奠定了基础。国债期货的套利交易可以提高国债期货市场的效率，为国债市场提供更加有效的参考，而在目前对于国债期货套利的研究以及应用较少，故此本文以国债期货跨品种套利进行研究，以期为投资者提供合理的套利策略建议，丰富国债期货跨品种套利研究，促进国债期货市场以及国债市场的发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lang w:val="en-US" w:eastAsia="zh-CN"/>
        </w:rPr>
      </w:pPr>
      <w:r>
        <w:rPr>
          <w:rFonts w:hint="eastAsia" w:ascii="宋体" w:hAnsi="宋体" w:eastAsia="宋体" w:cs="宋体"/>
          <w:color w:val="000000"/>
          <w:kern w:val="0"/>
          <w:sz w:val="24"/>
          <w:szCs w:val="24"/>
          <w:lang w:val="en-US" w:eastAsia="zh-CN" w:bidi="ar"/>
        </w:rPr>
        <w:t>本文是基于统计套利原理的国债期货跨品种套利，以2年期国债期货与5年期国债期货合约为套利标的，对TS2009和TF2009合约的3分钟收盘价进行分析，发现二者之间存在着长期的均衡关系，通过建立协整模型确定套利合约的配比以及去中心化价差序列，然后构建AR(3)-GARCH(1,1)模型确定开仓、平仓原则。在具体交易阈值的设计上，</w:t>
      </w:r>
      <w:r>
        <w:rPr>
          <w:rFonts w:hint="eastAsia" w:ascii="宋体" w:hAnsi="宋体" w:eastAsia="宋体" w:cs="宋体"/>
          <w:sz w:val="24"/>
        </w:rPr>
        <w:t>利用</w:t>
      </w:r>
      <w:r>
        <w:rPr>
          <w:rFonts w:hint="eastAsia" w:ascii="宋体" w:hAnsi="宋体" w:eastAsia="宋体" w:cs="宋体"/>
          <w:sz w:val="24"/>
          <w:lang w:val="en-US" w:eastAsia="zh-CN"/>
        </w:rPr>
        <w:t>之前学者研究的经验阈值</w:t>
      </w:r>
      <w:r>
        <w:rPr>
          <w:rFonts w:hint="eastAsia" w:ascii="宋体" w:hAnsi="宋体" w:eastAsia="宋体" w:cs="宋体"/>
          <w:sz w:val="24"/>
        </w:rPr>
        <w:t>来确定止损值，同时以夏普比率最大化为目标利用穷举法寻求最优</w:t>
      </w:r>
      <w:r>
        <w:rPr>
          <w:rFonts w:hint="eastAsia" w:ascii="宋体" w:hAnsi="宋体" w:eastAsia="宋体" w:cs="宋体"/>
          <w:sz w:val="24"/>
          <w:lang w:val="en-US" w:eastAsia="zh-CN"/>
        </w:rPr>
        <w:t>对称交易</w:t>
      </w:r>
      <w:r>
        <w:rPr>
          <w:rFonts w:hint="eastAsia" w:ascii="宋体" w:hAnsi="宋体" w:eastAsia="宋体" w:cs="宋体"/>
          <w:sz w:val="24"/>
        </w:rPr>
        <w:t>阈值</w:t>
      </w:r>
      <w:r>
        <w:rPr>
          <w:rFonts w:hint="eastAsia" w:ascii="宋体" w:hAnsi="宋体" w:eastAsia="宋体" w:cs="宋体"/>
          <w:sz w:val="24"/>
          <w:lang w:val="en-US" w:eastAsia="zh-CN"/>
        </w:rPr>
        <w:t>和非对称交易阈值；通过不同交易阈值套利策略的样本内套利效果的分析，比较发现基于</w:t>
      </w:r>
      <w:r>
        <w:rPr>
          <w:rFonts w:hint="eastAsia" w:ascii="宋体" w:hAnsi="宋体" w:eastAsia="宋体" w:cs="宋体"/>
          <w:color w:val="000000"/>
          <w:kern w:val="0"/>
          <w:sz w:val="24"/>
          <w:szCs w:val="24"/>
          <w:lang w:val="en-US" w:eastAsia="zh-CN" w:bidi="ar"/>
        </w:rPr>
        <w:t>AR(3)-GARCH(1,1)模型的国债期货跨品种套利策略中</w:t>
      </w:r>
      <w:r>
        <w:rPr>
          <w:rFonts w:hint="eastAsia" w:ascii="宋体" w:hAnsi="宋体" w:eastAsia="宋体" w:cs="宋体"/>
          <w:sz w:val="24"/>
          <w:lang w:val="en-US" w:eastAsia="zh-CN"/>
        </w:rPr>
        <w:t>非对称交易阈值策略更优</w:t>
      </w:r>
      <w:r>
        <w:rPr>
          <w:rFonts w:hint="eastAsia" w:ascii="宋体" w:hAnsi="宋体" w:eastAsia="宋体" w:cs="宋体"/>
          <w:sz w:val="24"/>
          <w:lang w:eastAsia="zh-CN"/>
        </w:rPr>
        <w:t>，</w:t>
      </w:r>
      <w:r>
        <w:rPr>
          <w:rFonts w:hint="eastAsia" w:ascii="宋体" w:hAnsi="宋体" w:eastAsia="宋体" w:cs="宋体"/>
          <w:sz w:val="24"/>
          <w:lang w:val="en-US" w:eastAsia="zh-CN"/>
        </w:rPr>
        <w:t>确定最终的套利策略是当去中心化价差超过0.8倍的标准差时进行正向套利，当去中心化价差超过-1.3倍的标准差时进行反向套利，当去中心化价差回归到均值或超过</w:t>
      </w:r>
      <w:r>
        <w:rPr>
          <w:rFonts w:hint="eastAsia" w:ascii="宋体" w:hAnsi="宋体" w:eastAsia="宋体" w:cs="宋体"/>
          <w:position w:val="-4"/>
          <w:sz w:val="24"/>
          <w:lang w:val="en-US" w:eastAsia="zh-CN"/>
        </w:rPr>
        <w:object>
          <v:shape id="_x0000_i1025" o:spt="75" type="#_x0000_t75" style="height:12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ascii="宋体" w:hAnsi="宋体" w:eastAsia="宋体" w:cs="宋体"/>
          <w:sz w:val="24"/>
          <w:lang w:val="en-US" w:eastAsia="zh-CN"/>
        </w:rPr>
        <w:t>3.5倍的标准差时平仓。</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对套利策略套利效果进行分析，计算该策略在样本外数据中的收益表现，检验套利策略在国债期货跨品种套利交易中的有效性。结果表明，该套利策略对样本内数据进行套利效果良好，成功率达到81.81%，92天累计收益到达30.5%，将该套利策略运用在样本外数据进行套利，成功率为62.96%，25天累计收益达到11.96%，成功率虽然有所下降，但收益率在提高，说明了所构建策略是可行的。</w:t>
      </w:r>
    </w:p>
    <w:p>
      <w:pPr>
        <w:widowControl/>
        <w:spacing w:line="360" w:lineRule="auto"/>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关键词： 国债期货；跨品种套利；AR-GARCH模型；交易阈值</w:t>
      </w:r>
    </w:p>
    <w:p>
      <w:pPr>
        <w:widowControl/>
        <w:spacing w:line="360" w:lineRule="auto"/>
        <w:ind w:firstLine="480" w:firstLineChars="200"/>
        <w:jc w:val="left"/>
        <w:rPr>
          <w:rFonts w:hint="eastAsia" w:ascii="宋体" w:hAnsi="宋体" w:eastAsia="宋体" w:cs="宋体"/>
          <w:color w:val="000000"/>
          <w:kern w:val="0"/>
          <w:sz w:val="24"/>
          <w:szCs w:val="24"/>
          <w:lang w:val="en-US" w:eastAsia="zh-CN" w:bidi="ar"/>
        </w:rPr>
      </w:pPr>
    </w:p>
    <w:p>
      <w:pPr>
        <w:widowControl/>
        <w:spacing w:line="360" w:lineRule="auto"/>
        <w:jc w:val="left"/>
        <w:rPr>
          <w:rFonts w:hint="eastAsia" w:ascii="宋体" w:hAnsi="宋体" w:eastAsia="宋体" w:cs="宋体"/>
          <w:color w:val="000000"/>
          <w:kern w:val="0"/>
          <w:sz w:val="24"/>
          <w:szCs w:val="24"/>
          <w:lang w:val="en-US" w:eastAsia="zh-CN" w:bidi="ar"/>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ascii="Arial" w:hAnsi="Arial" w:cs="Arial"/>
          <w:b w:val="0"/>
          <w:bCs w:val="0"/>
          <w:sz w:val="32"/>
          <w:szCs w:val="32"/>
          <w:lang w:val="en-US" w:eastAsia="zh-CN"/>
        </w:rPr>
      </w:pPr>
      <w:bookmarkStart w:id="5" w:name="_Toc11125"/>
      <w:bookmarkStart w:id="6" w:name="_Toc25516"/>
      <w:bookmarkStart w:id="7" w:name="_Toc10166"/>
      <w:bookmarkStart w:id="8" w:name="_Toc18450"/>
      <w:bookmarkStart w:id="9" w:name="_Toc24392"/>
      <w:r>
        <w:rPr>
          <w:rFonts w:hint="default" w:ascii="Arial" w:hAnsi="Arial" w:cs="Arial"/>
          <w:b w:val="0"/>
          <w:bCs w:val="0"/>
          <w:sz w:val="32"/>
          <w:szCs w:val="32"/>
          <w:lang w:val="en-US" w:eastAsia="zh-CN"/>
        </w:rPr>
        <w:t>Abstract</w:t>
      </w:r>
      <w:bookmarkEnd w:id="5"/>
      <w:bookmarkEnd w:id="6"/>
      <w:bookmarkEnd w:id="7"/>
      <w:bookmarkEnd w:id="8"/>
      <w:bookmarkEnd w:id="9"/>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Since the restart of our national debt futures market, the market has been running steadily and rapidly. The scale of treasury bond futures trading has been expanding and the trading varieties are constantly rich. Since march2020, the restrictions on investors in the bond futures market have been relaxed, allowing commercial banks and insurance institutions to enter the Treasury bond futures market, and inject a lot of liquidity into the national debt futures market, which makes the market active The increase in amplitude and the effectiveness are gradually increasing, which lays the foundation for statistical arbitrage in the Treasury bond futures market. Arbitrage transaction of treasury bond futures can improve the efficiency of treasury bond futures market and provide more effective reference for the national debt market. At present, there are few researches and applications of arbitrage in treasury bond futures. Therefore, this paper studies the cross variety arbitrage of treasury bond futures, in order to provide investors with reasonable arbitrage strategy suggestions, enrich the research on cross variety arbitrage of treasury bond futures, and promote the Treasury bond period The development of the goods market and the national debt market.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This paper is based on the statistical arbitrage principle of the national debt futures cross variety arbitrage, taking two-year Treasury futures and five-year Treasury futures contracts as arbitrage targets, analyzes the 3-minute closing price of ts2009 and tf2009 contracts, and finds that there is a long-term equilibrium relationship between them. Through the establishment of cointegration model, the ratio of arbitrage contracts and the decentralized price difference sequence are established, and AR (3) -garch (1,1) model is constructed  determines the opening and closing principles. In the design of specific transaction threshold, the stop loss value is determined by using the empirical threshold studied by previous scholars. Meanwhile, the optimal symmetric transaction threshold and asymmetric transaction threshold are found by the exhaustive method aiming at the maximum sharp ratio. Through the analysis of arbitrage effect in the sample of different transaction threshold arbitrage strategies, it is found that AR (3) -garch (1, 1) is the best oneThe model of cross variety arbitrage strategy of treasury bond futures has better asymmetric trading threshold strategy. The final arbitrage strategy is to carry out positive arbitrage when the de centralization spread exceeds 0.8 times standard deviation, reverse arbitrage when the de centralization spread exceeds the standard deviation of -1.3 times, and close the position when the decentralized spread returns to the average or the standard deviation is more than 3.5 times.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Finally, the paper analyzes the arbitrage effect of arbitrage strategy, calculates the performance of the strategy in the data outside the sample, and tests the effectiveness of arbitrage strategy in the cross variety arbitrage transaction of treasury bond futures. The results show that the arbitrage strategy has good arbitrage effect on the data in the sample, with the success rate reaching 81.81%, the cumulative return in 92 days reaching 30.5%. The arbitrage strategy is applied to arbitrage with the data outside the sample, the success rate is 62.96%, and the cumulative return in 25 days reaches 11.96%. Although the success rate has decreased, the rate of return is improving, which indicates that the strategy is feasible.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Key words: Treasury bond futures; cross species arbitrage; AR-GARCH model; transaction threshold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right="0"/>
        <w:jc w:val="both"/>
        <w:textAlignment w:val="auto"/>
        <w:rPr>
          <w:rFonts w:hint="eastAsia" w:ascii="黑体" w:hAnsi="黑体" w:eastAsia="黑体" w:cs="黑体"/>
          <w:color w:val="000000"/>
          <w:kern w:val="0"/>
          <w:sz w:val="32"/>
          <w:szCs w:val="32"/>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360" w:afterAutospacing="0" w:line="240" w:lineRule="auto"/>
        <w:ind w:right="0"/>
        <w:jc w:val="center"/>
        <w:textAlignment w:val="auto"/>
        <w:rPr>
          <w:rFonts w:hint="eastAsia" w:ascii="黑体" w:hAnsi="黑体" w:eastAsia="黑体" w:cs="黑体"/>
          <w:color w:val="000000"/>
          <w:kern w:val="0"/>
          <w:sz w:val="32"/>
          <w:szCs w:val="32"/>
          <w:lang w:val="en-US" w:eastAsia="zh-CN" w:bidi="ar"/>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360" w:afterAutospacing="0" w:line="240" w:lineRule="auto"/>
        <w:ind w:right="0"/>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目录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TOC \o "1-3" \h \u </w:instrText>
      </w:r>
      <w:r>
        <w:rPr>
          <w:rFonts w:hint="default" w:ascii="Times New Roman" w:hAnsi="Times New Roman" w:eastAsia="宋体" w:cs="Times New Roman"/>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_Toc26044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lang w:val="en-US" w:eastAsia="zh-CN"/>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_Toc26044 </w:instrText>
      </w:r>
      <w:r>
        <w:rPr>
          <w:rFonts w:hint="eastAsia" w:ascii="宋体" w:hAnsi="宋体" w:eastAsia="宋体" w:cs="宋体"/>
          <w:sz w:val="24"/>
          <w:szCs w:val="24"/>
        </w:rPr>
        <w:fldChar w:fldCharType="separate"/>
      </w:r>
      <w:r>
        <w:rPr>
          <w:rFonts w:hint="eastAsia" w:ascii="宋体" w:hAnsi="宋体" w:eastAsia="宋体" w:cs="宋体"/>
          <w:sz w:val="24"/>
          <w:szCs w:val="24"/>
        </w:rPr>
        <w:t>I</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_Toc10166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lang w:val="en-US" w:eastAsia="zh-CN"/>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_Toc10166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_Toc12262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rPr>
        <w:t>1</w:t>
      </w:r>
      <w:r>
        <w:rPr>
          <w:rFonts w:hint="eastAsia" w:ascii="宋体" w:hAnsi="宋体" w:eastAsia="宋体" w:cs="宋体"/>
          <w:bCs w:val="0"/>
          <w:sz w:val="24"/>
          <w:szCs w:val="24"/>
          <w:lang w:val="en-US" w:eastAsia="zh-CN"/>
        </w:rPr>
        <w:t xml:space="preserve">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_Toc12262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_Toc19500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rPr>
        <w:t>1.1</w:t>
      </w:r>
      <w:r>
        <w:rPr>
          <w:rFonts w:hint="eastAsia" w:ascii="宋体" w:hAnsi="宋体" w:eastAsia="宋体" w:cs="宋体"/>
          <w:bCs w:val="0"/>
          <w:sz w:val="24"/>
          <w:szCs w:val="24"/>
          <w:lang w:val="en-US" w:eastAsia="zh-CN"/>
        </w:rPr>
        <w:t xml:space="preserve"> </w:t>
      </w:r>
      <w:r>
        <w:rPr>
          <w:rFonts w:hint="eastAsia" w:ascii="宋体" w:hAnsi="宋体" w:eastAsia="宋体" w:cs="宋体"/>
          <w:bCs w:val="0"/>
          <w:sz w:val="24"/>
          <w:szCs w:val="24"/>
        </w:rPr>
        <w:t>研究背景及意义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_Toc19500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_Toc15178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1.1.1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_Toc15178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_Toc15060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1.1.2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研究意义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_Toc15060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_Toc19319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国内外文献综述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_Toc19319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_Toc18938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1.2.1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关于不同跨品种套利</w:t>
      </w:r>
      <w:r>
        <w:rPr>
          <w:rFonts w:hint="eastAsia" w:ascii="宋体" w:hAnsi="宋体" w:eastAsia="宋体" w:cs="宋体"/>
          <w:bCs/>
          <w:sz w:val="24"/>
          <w:szCs w:val="24"/>
          <w:lang w:val="en-US" w:eastAsia="zh-CN"/>
        </w:rPr>
        <w:t>标的</w:t>
      </w:r>
      <w:r>
        <w:rPr>
          <w:rFonts w:hint="eastAsia" w:ascii="宋体" w:hAnsi="宋体" w:eastAsia="宋体" w:cs="宋体"/>
          <w:bCs/>
          <w:sz w:val="24"/>
          <w:szCs w:val="24"/>
        </w:rPr>
        <w:t>研究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_Toc18938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_Toc25249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1.2.2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关于跨品种套利方法的研究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_Toc25249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_Toc11211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1.2.3</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统计套利交易阈值研究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_Toc11211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_Toc26589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1.2.4</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文献评述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_Toc26589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_Toc14884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1.3</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论文研究内容及方法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_Toc14884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_Toc2124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1.3.</w:t>
      </w:r>
      <w:r>
        <w:rPr>
          <w:rFonts w:hint="eastAsia" w:ascii="宋体" w:hAnsi="宋体" w:eastAsia="宋体" w:cs="宋体"/>
          <w:bCs/>
          <w:sz w:val="24"/>
          <w:szCs w:val="24"/>
          <w:lang w:val="en-US" w:eastAsia="zh-CN"/>
        </w:rPr>
        <w:t xml:space="preserve">1 </w:t>
      </w:r>
      <w:r>
        <w:rPr>
          <w:rFonts w:hint="eastAsia" w:ascii="宋体" w:hAnsi="宋体" w:eastAsia="宋体" w:cs="宋体"/>
          <w:bCs/>
          <w:sz w:val="24"/>
          <w:szCs w:val="24"/>
        </w:rPr>
        <w:t>论文研究内容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_Toc1419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1.3.2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论文研究方法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_Toc29338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1.4</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论文可能的创新及不足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_Toc29338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_Toc13325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lang w:val="en-US" w:eastAsia="zh-CN"/>
        </w:rPr>
        <w:t xml:space="preserve">2 </w:t>
      </w:r>
      <w:r>
        <w:rPr>
          <w:rFonts w:hint="eastAsia" w:ascii="宋体" w:hAnsi="宋体" w:eastAsia="宋体" w:cs="宋体"/>
          <w:bCs w:val="0"/>
          <w:sz w:val="24"/>
          <w:szCs w:val="24"/>
        </w:rPr>
        <w:t>期货跨品种套利的理论基础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_Toc13325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_Toc12051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基于协整模型的跨品种统计套利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_Toc12051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_Toc14098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期货价格及其波动的度量模型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_Toc14098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_Toc16978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.2.1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期货价格及其波动的度量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_Toc16978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_Toc19337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.2.2</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AR模型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_Toc19337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_Toc12527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.2.3</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GARCH模型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_Toc12527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_Toc14290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3 交易原则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_Toc14290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_Toc3928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lang w:val="en-US" w:eastAsia="zh-CN"/>
        </w:rPr>
        <w:t xml:space="preserve">3 </w:t>
      </w:r>
      <w:r>
        <w:rPr>
          <w:rFonts w:hint="eastAsia" w:ascii="宋体" w:hAnsi="宋体" w:eastAsia="宋体" w:cs="宋体"/>
          <w:bCs w:val="0"/>
          <w:sz w:val="24"/>
          <w:szCs w:val="24"/>
        </w:rPr>
        <w:t>期货的套利交易现状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_Toc3928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_Toc20456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3</w:t>
      </w:r>
      <w:r>
        <w:rPr>
          <w:rFonts w:hint="eastAsia" w:ascii="宋体" w:hAnsi="宋体" w:eastAsia="宋体" w:cs="宋体"/>
          <w:bCs/>
          <w:sz w:val="24"/>
          <w:szCs w:val="24"/>
        </w:rPr>
        <w:t>.1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套利交易发展现状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_Toc20456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_Toc21952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3</w:t>
      </w:r>
      <w:r>
        <w:rPr>
          <w:rFonts w:hint="eastAsia" w:ascii="宋体" w:hAnsi="宋体" w:eastAsia="宋体" w:cs="宋体"/>
          <w:bCs/>
          <w:sz w:val="24"/>
          <w:szCs w:val="24"/>
        </w:rPr>
        <w:t>.</w:t>
      </w:r>
      <w:r>
        <w:rPr>
          <w:rFonts w:hint="eastAsia" w:ascii="宋体" w:hAnsi="宋体" w:eastAsia="宋体" w:cs="宋体"/>
          <w:bCs/>
          <w:sz w:val="24"/>
          <w:szCs w:val="24"/>
          <w:lang w:val="en-US" w:eastAsia="zh-CN"/>
        </w:rPr>
        <w:t xml:space="preserve">2 </w:t>
      </w:r>
      <w:r>
        <w:rPr>
          <w:rFonts w:hint="eastAsia" w:ascii="宋体" w:hAnsi="宋体" w:eastAsia="宋体" w:cs="宋体"/>
          <w:bCs/>
          <w:sz w:val="24"/>
          <w:szCs w:val="24"/>
        </w:rPr>
        <w:t>国债期货套利在我国的发展与现状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_Toc21952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_Toc22223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lang w:val="en-US" w:eastAsia="zh-CN"/>
        </w:rPr>
        <w:t xml:space="preserve">4 </w:t>
      </w:r>
      <w:r>
        <w:rPr>
          <w:rFonts w:hint="eastAsia" w:ascii="宋体" w:hAnsi="宋体" w:eastAsia="宋体" w:cs="宋体"/>
          <w:bCs w:val="0"/>
          <w:sz w:val="24"/>
          <w:szCs w:val="24"/>
        </w:rPr>
        <w:t>国债期货跨品种套利策略的设计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_Toc22223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_Toc8270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4.1套利交易对象选择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_Toc8270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_Toc4220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4.</w:t>
      </w:r>
      <w:r>
        <w:rPr>
          <w:rFonts w:hint="eastAsia" w:ascii="宋体" w:hAnsi="宋体" w:eastAsia="宋体" w:cs="宋体"/>
          <w:bCs/>
          <w:sz w:val="24"/>
          <w:szCs w:val="24"/>
          <w:lang w:val="en-US" w:eastAsia="zh-CN"/>
        </w:rPr>
        <w:t xml:space="preserve">2 </w:t>
      </w:r>
      <w:r>
        <w:rPr>
          <w:rFonts w:hint="eastAsia" w:ascii="宋体" w:hAnsi="宋体" w:eastAsia="宋体" w:cs="宋体"/>
          <w:bCs/>
          <w:sz w:val="24"/>
          <w:szCs w:val="24"/>
        </w:rPr>
        <w:t>数据选择</w:t>
      </w:r>
      <w:r>
        <w:rPr>
          <w:rFonts w:hint="eastAsia" w:ascii="宋体" w:hAnsi="宋体" w:eastAsia="宋体" w:cs="宋体"/>
          <w:bCs/>
          <w:sz w:val="24"/>
          <w:szCs w:val="24"/>
          <w:lang w:val="en-US" w:eastAsia="zh-CN"/>
        </w:rPr>
        <w:t>及检验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_Toc4220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_Toc485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4.2.1数据选择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_Toc485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_Toc12285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4.2.2 样本内数据检验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_Toc12285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_Toc1579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4.2.3 构建协整模型确定套利组合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_Toc1579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color w:val="000000"/>
          <w:kern w:val="0"/>
          <w:sz w:val="24"/>
          <w:szCs w:val="24"/>
          <w:lang w:val="en-US" w:eastAsia="zh-CN" w:bidi="ar"/>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_Toc27631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4.3 2年期和5年期国债期货价差分析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_Toc27631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_Toc9391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4.3.1 价差序列分析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_Toc9391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_Toc4987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4.3.2自相关性检验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_Toc4987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_Toc13922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4.3.3 构建AR-GARCH模型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_Toc13922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_Toc4217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4.3.3 设定套利区间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_Toc4217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_Toc18370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4.4</w:t>
      </w:r>
      <w:r>
        <w:rPr>
          <w:rFonts w:hint="eastAsia" w:ascii="宋体" w:hAnsi="宋体" w:eastAsia="宋体" w:cs="宋体"/>
          <w:bCs/>
          <w:sz w:val="24"/>
          <w:szCs w:val="24"/>
        </w:rPr>
        <w:t>跨品种套利策略</w:t>
      </w:r>
      <w:r>
        <w:rPr>
          <w:rFonts w:hint="eastAsia" w:ascii="宋体" w:hAnsi="宋体" w:eastAsia="宋体" w:cs="宋体"/>
          <w:bCs/>
          <w:sz w:val="24"/>
          <w:szCs w:val="24"/>
          <w:lang w:val="en-US" w:eastAsia="zh-CN"/>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_Toc18370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_Toc26472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4.4.1 套利策略评价指标的设定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_Toc26472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_Toc13668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4.4.2 套利成本的确定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_Toc13668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_Toc3158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4.4.3 套利交易信号设计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_Toc3158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_Toc23544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kern w:val="2"/>
          <w:sz w:val="24"/>
          <w:szCs w:val="24"/>
          <w:lang w:val="en-US" w:eastAsia="zh-CN" w:bidi="ar-SA"/>
        </w:rPr>
        <w:t>4.5 套利策略效果分析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_Toc23544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_Toc19046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4.5.1 对称交易信号策略的套利效果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_Toc19046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_Toc17016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4.5.2 非对称交易信号策略的套利效果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_Toc17016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_Toc17439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rPr>
        <w:t>5</w:t>
      </w:r>
      <w:r>
        <w:rPr>
          <w:rFonts w:hint="eastAsia" w:ascii="宋体" w:hAnsi="宋体" w:eastAsia="宋体" w:cs="宋体"/>
          <w:bCs w:val="0"/>
          <w:sz w:val="24"/>
          <w:szCs w:val="24"/>
          <w:lang w:val="en-US" w:eastAsia="zh-CN"/>
        </w:rPr>
        <w:t xml:space="preserve"> </w:t>
      </w:r>
      <w:r>
        <w:rPr>
          <w:rFonts w:hint="eastAsia" w:ascii="宋体" w:hAnsi="宋体" w:eastAsia="宋体" w:cs="宋体"/>
          <w:bCs w:val="0"/>
          <w:sz w:val="24"/>
          <w:szCs w:val="24"/>
        </w:rPr>
        <w:t>国债期货跨品种套利策略</w:t>
      </w:r>
      <w:r>
        <w:rPr>
          <w:rFonts w:hint="eastAsia" w:ascii="宋体" w:hAnsi="宋体" w:eastAsia="宋体" w:cs="宋体"/>
          <w:bCs w:val="0"/>
          <w:sz w:val="24"/>
          <w:szCs w:val="24"/>
          <w:lang w:val="en-US" w:eastAsia="zh-CN"/>
        </w:rPr>
        <w:t>样本外回测效果</w:t>
      </w:r>
      <w:r>
        <w:rPr>
          <w:rFonts w:hint="eastAsia" w:ascii="宋体" w:hAnsi="宋体" w:eastAsia="宋体" w:cs="宋体"/>
          <w:bCs w:val="0"/>
          <w:sz w:val="24"/>
          <w:szCs w:val="24"/>
        </w:rPr>
        <w:t>及</w:t>
      </w:r>
      <w:r>
        <w:rPr>
          <w:rFonts w:hint="eastAsia" w:ascii="宋体" w:hAnsi="宋体" w:eastAsia="宋体" w:cs="宋体"/>
          <w:bCs/>
          <w:kern w:val="2"/>
          <w:sz w:val="24"/>
          <w:szCs w:val="24"/>
          <w:lang w:val="en-US" w:eastAsia="zh-CN" w:bidi="ar-SA"/>
        </w:rPr>
        <w:t>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_Toc17439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_Toc9671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rPr>
        <w:t>5.</w:t>
      </w:r>
      <w:r>
        <w:rPr>
          <w:rFonts w:hint="eastAsia" w:ascii="宋体" w:hAnsi="宋体" w:eastAsia="宋体" w:cs="宋体"/>
          <w:bCs/>
          <w:sz w:val="24"/>
          <w:szCs w:val="24"/>
          <w:lang w:val="en-US" w:eastAsia="zh-CN"/>
        </w:rPr>
        <w:t xml:space="preserve">1 </w:t>
      </w:r>
      <w:r>
        <w:rPr>
          <w:rFonts w:hint="eastAsia" w:ascii="宋体" w:hAnsi="宋体" w:eastAsia="宋体" w:cs="宋体"/>
          <w:bCs/>
          <w:sz w:val="24"/>
          <w:szCs w:val="24"/>
        </w:rPr>
        <w:t>样本外回测</w:t>
      </w:r>
      <w:r>
        <w:rPr>
          <w:rFonts w:hint="eastAsia" w:ascii="宋体" w:hAnsi="宋体" w:eastAsia="宋体" w:cs="宋体"/>
          <w:bCs/>
          <w:sz w:val="24"/>
          <w:szCs w:val="24"/>
          <w:lang w:val="en-US" w:eastAsia="zh-CN"/>
        </w:rPr>
        <w:t>效果</w:t>
      </w:r>
      <w:r>
        <w:rPr>
          <w:rFonts w:hint="eastAsia" w:ascii="宋体" w:hAnsi="宋体" w:eastAsia="宋体" w:cs="宋体"/>
          <w:bCs/>
          <w:sz w:val="24"/>
          <w:szCs w:val="24"/>
        </w:rPr>
        <w:t>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_Toc9671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_Toc27746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sz w:val="24"/>
          <w:szCs w:val="24"/>
          <w:lang w:val="en-US" w:eastAsia="zh-CN"/>
        </w:rPr>
        <w:t>5.2 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_Toc27746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_Toc12909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bCs w:val="0"/>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_Toc12909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Cs w:val="24"/>
          <w:lang w:val="en-US" w:eastAsia="zh-CN" w:bidi="ar"/>
        </w:rPr>
        <w:fldChar w:fldCharType="end"/>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left="0" w:right="0" w:firstLine="480" w:firstLineChars="200"/>
        <w:jc w:val="both"/>
        <w:textAlignment w:val="auto"/>
        <w:rPr>
          <w:rFonts w:hint="default" w:ascii="Times New Roman" w:hAnsi="Times New Roman" w:eastAsia="宋体" w:cs="Times New Roman"/>
          <w:color w:val="000000"/>
          <w:kern w:val="0"/>
          <w:sz w:val="24"/>
          <w:szCs w:val="24"/>
          <w:lang w:val="en-US"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400" w:lineRule="exact"/>
        <w:ind w:right="0"/>
        <w:jc w:val="both"/>
        <w:textAlignment w:val="auto"/>
        <w:rPr>
          <w:rFonts w:hint="default" w:ascii="Times New Roman" w:hAnsi="Times New Roman" w:eastAsia="宋体" w:cs="Times New Roman"/>
          <w:color w:val="000000"/>
          <w:kern w:val="0"/>
          <w:sz w:val="24"/>
          <w:szCs w:val="24"/>
          <w:lang w:val="en-US" w:eastAsia="zh-CN" w:bidi="ar"/>
        </w:rPr>
      </w:pPr>
    </w:p>
    <w:p>
      <w:pPr>
        <w:pStyle w:val="2"/>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ascii="黑体" w:hAnsi="黑体" w:eastAsia="黑体" w:cs="黑体"/>
          <w:b w:val="0"/>
          <w:bCs w:val="0"/>
          <w:sz w:val="32"/>
          <w:szCs w:val="32"/>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10" w:name="_Toc7626"/>
      <w:bookmarkStart w:id="11" w:name="_Toc26474"/>
      <w:bookmarkStart w:id="12" w:name="_Toc8309"/>
      <w:bookmarkStart w:id="13" w:name="_Toc31316"/>
    </w:p>
    <w:p>
      <w:pPr>
        <w:pStyle w:val="2"/>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ascii="黑体" w:hAnsi="黑体" w:eastAsia="黑体" w:cs="黑体"/>
          <w:b w:val="0"/>
          <w:bCs w:val="0"/>
          <w:sz w:val="32"/>
          <w:szCs w:val="32"/>
          <w:lang w:val="en-US" w:eastAsia="zh-CN"/>
        </w:rPr>
      </w:pPr>
      <w:bookmarkStart w:id="14" w:name="_Toc12262"/>
      <w:r>
        <w:rPr>
          <w:rFonts w:hint="eastAsia" w:ascii="黑体" w:hAnsi="黑体" w:eastAsia="黑体" w:cs="黑体"/>
          <w:b w:val="0"/>
          <w:bCs w:val="0"/>
          <w:sz w:val="32"/>
          <w:szCs w:val="32"/>
        </w:rPr>
        <w:t>1</w:t>
      </w:r>
      <w:r>
        <w:rPr>
          <w:rFonts w:hint="eastAsia" w:ascii="黑体" w:hAnsi="黑体" w:eastAsia="黑体" w:cs="黑体"/>
          <w:b w:val="0"/>
          <w:bCs w:val="0"/>
          <w:sz w:val="32"/>
          <w:szCs w:val="32"/>
          <w:lang w:val="en-US" w:eastAsia="zh-CN"/>
        </w:rPr>
        <w:t xml:space="preserve"> 引言</w:t>
      </w:r>
      <w:bookmarkEnd w:id="10"/>
      <w:bookmarkEnd w:id="11"/>
      <w:bookmarkEnd w:id="12"/>
      <w:bookmarkEnd w:id="13"/>
      <w:bookmarkEnd w:id="14"/>
    </w:p>
    <w:p>
      <w:pPr>
        <w:pStyle w:val="2"/>
        <w:keepNext/>
        <w:keepLines/>
        <w:pageBreakBefore w:val="0"/>
        <w:widowControl w:val="0"/>
        <w:kinsoku/>
        <w:wordWrap/>
        <w:overflowPunct/>
        <w:topLinePunct w:val="0"/>
        <w:autoSpaceDE/>
        <w:autoSpaceDN/>
        <w:bidi w:val="0"/>
        <w:adjustRightInd/>
        <w:snapToGrid/>
        <w:spacing w:before="480" w:after="120" w:line="400" w:lineRule="exact"/>
        <w:jc w:val="left"/>
        <w:textAlignment w:val="auto"/>
        <w:outlineLvl w:val="1"/>
        <w:rPr>
          <w:rFonts w:hint="eastAsia" w:ascii="黑体" w:hAnsi="黑体" w:eastAsia="黑体" w:cs="黑体"/>
          <w:b w:val="0"/>
          <w:bCs w:val="0"/>
          <w:sz w:val="28"/>
          <w:szCs w:val="28"/>
        </w:rPr>
      </w:pPr>
      <w:bookmarkStart w:id="15" w:name="_Toc137"/>
      <w:bookmarkStart w:id="16" w:name="_Toc19500"/>
      <w:bookmarkStart w:id="17" w:name="_Toc8528"/>
      <w:bookmarkStart w:id="18" w:name="_Toc23963"/>
      <w:bookmarkStart w:id="19" w:name="_Toc1553"/>
      <w:r>
        <w:rPr>
          <w:rStyle w:val="34"/>
          <w:rFonts w:hint="eastAsia" w:ascii="黑体" w:hAnsi="黑体" w:eastAsia="黑体" w:cs="黑体"/>
          <w:b w:val="0"/>
          <w:bCs w:val="0"/>
          <w:sz w:val="28"/>
          <w:szCs w:val="28"/>
        </w:rPr>
        <w:t>1.1</w:t>
      </w:r>
      <w:r>
        <w:rPr>
          <w:rStyle w:val="34"/>
          <w:rFonts w:hint="eastAsia" w:ascii="黑体" w:hAnsi="黑体" w:eastAsia="黑体" w:cs="黑体"/>
          <w:b w:val="0"/>
          <w:bCs w:val="0"/>
          <w:sz w:val="28"/>
          <w:szCs w:val="28"/>
          <w:lang w:val="en-US" w:eastAsia="zh-CN"/>
        </w:rPr>
        <w:t xml:space="preserve"> </w:t>
      </w:r>
      <w:r>
        <w:rPr>
          <w:rStyle w:val="34"/>
          <w:rFonts w:hint="eastAsia" w:ascii="黑体" w:hAnsi="黑体" w:eastAsia="黑体" w:cs="黑体"/>
          <w:b w:val="0"/>
          <w:bCs w:val="0"/>
          <w:sz w:val="28"/>
          <w:szCs w:val="28"/>
        </w:rPr>
        <w:t>研究背景及意义</w:t>
      </w:r>
      <w:bookmarkEnd w:id="15"/>
      <w:bookmarkEnd w:id="16"/>
      <w:bookmarkEnd w:id="17"/>
      <w:bookmarkEnd w:id="18"/>
      <w:bookmarkEnd w:id="19"/>
      <w:r>
        <w:rPr>
          <w:rFonts w:hint="eastAsia" w:ascii="黑体" w:hAnsi="黑体" w:eastAsia="黑体" w:cs="黑体"/>
          <w:b w:val="0"/>
          <w:bCs w:val="0"/>
          <w:sz w:val="28"/>
          <w:szCs w:val="28"/>
        </w:rPr>
        <w:t xml:space="preserve"> </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pPr>
      <w:bookmarkStart w:id="20" w:name="_Toc18501"/>
      <w:bookmarkStart w:id="21" w:name="_Toc15178"/>
      <w:bookmarkStart w:id="22" w:name="_Toc15615"/>
      <w:bookmarkStart w:id="23" w:name="_Toc23365"/>
      <w:bookmarkStart w:id="24" w:name="_Toc26739"/>
      <w:r>
        <w:rPr>
          <w:rFonts w:hint="eastAsia" w:ascii="黑体" w:hAnsi="黑体" w:eastAsia="黑体" w:cs="黑体"/>
          <w:b w:val="0"/>
          <w:bCs/>
          <w:sz w:val="28"/>
          <w:szCs w:val="28"/>
        </w:rPr>
        <w:t>1.1.1</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研究背景</w:t>
      </w:r>
      <w:bookmarkEnd w:id="20"/>
      <w:bookmarkEnd w:id="21"/>
      <w:bookmarkEnd w:id="22"/>
      <w:bookmarkEnd w:id="23"/>
      <w:bookmarkEnd w:id="24"/>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国债期货(</w:t>
      </w:r>
      <w:r>
        <w:rPr>
          <w:rFonts w:hint="default" w:ascii="Times New Roman" w:hAnsi="Times New Roman" w:eastAsia="宋体" w:cs="Times New Roman"/>
          <w:sz w:val="24"/>
          <w:szCs w:val="24"/>
        </w:rPr>
        <w:t>Treasury futures</w:t>
      </w:r>
      <w:r>
        <w:rPr>
          <w:rFonts w:hint="eastAsia" w:ascii="宋体" w:hAnsi="宋体" w:eastAsia="宋体" w:cs="宋体"/>
          <w:sz w:val="24"/>
          <w:szCs w:val="24"/>
        </w:rPr>
        <w:t>)是一种金融衍生工具，是合约双方预先确定好买卖价格，在未来特定的时间进行钱券交割。在1992年12月上海证券交易所最早试点推出了国债期货交易，但由于当时现货市场不发达，期货交易规则、政府监管、风险防范等都不健全，透支、超仓、</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"https://baike.so.com/doc/241141-255141.html" \t "https://baike.so.com/doc/_blank" </w:instrText>
      </w:r>
      <w:r>
        <w:rPr>
          <w:rFonts w:hint="eastAsia" w:ascii="宋体" w:hAnsi="宋体" w:eastAsia="宋体" w:cs="宋体"/>
          <w:sz w:val="24"/>
          <w:szCs w:val="24"/>
        </w:rPr>
        <w:fldChar w:fldCharType="separate"/>
      </w:r>
      <w:r>
        <w:rPr>
          <w:rFonts w:hint="eastAsia" w:ascii="宋体" w:hAnsi="宋体" w:eastAsia="宋体" w:cs="宋体"/>
          <w:sz w:val="24"/>
          <w:szCs w:val="24"/>
        </w:rPr>
        <w:t>内幕交易</w:t>
      </w:r>
      <w:r>
        <w:rPr>
          <w:rFonts w:hint="eastAsia" w:ascii="宋体" w:hAnsi="宋体" w:eastAsia="宋体" w:cs="宋体"/>
          <w:sz w:val="24"/>
          <w:szCs w:val="24"/>
        </w:rPr>
        <w:fldChar w:fldCharType="end"/>
      </w:r>
      <w:r>
        <w:rPr>
          <w:rFonts w:hint="eastAsia" w:ascii="宋体" w:hAnsi="宋体" w:eastAsia="宋体" w:cs="宋体"/>
          <w:sz w:val="24"/>
          <w:szCs w:val="24"/>
        </w:rPr>
        <w:t>、恶意操纵等违规行为盛行，接连发生了“327”、“319”等国债期货恶性违规事件，直到中国证监会宣布暂停国债期货交易，在1995年5月中国首次国债期货交易试点以失败而告终，历时两年半。从1995年到2013年在这18年间我国经济不断地增长，国债市场规模不断扩大，可以上市流通的债券数量也在不断增多，国债余额相较18年前增加了几十倍，市场良好的流动性和不断完善的期限结构以及监管当局对监管制度和交易制度的不断完善，这些良好的市场环境和政策为国债期货市场的稳定运行奠定了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 xml:space="preserve"> 自我国国债期货市场重启后，市场运行平稳，发展迅速，2013年9月6日，经证监会批准5年期国债期货正式在中国金融期货交易所上市交易，紧随其后在2015年3月20日10 年期国债期货也重启交易。为适应市场</w:t>
      </w:r>
      <w:r>
        <w:rPr>
          <w:rFonts w:hint="eastAsia" w:ascii="宋体" w:hAnsi="宋体" w:eastAsia="宋体" w:cs="宋体"/>
          <w:sz w:val="24"/>
          <w:szCs w:val="24"/>
          <w:lang w:val="en-US" w:eastAsia="zh-CN"/>
        </w:rPr>
        <w:t>的</w:t>
      </w:r>
      <w:r>
        <w:rPr>
          <w:rFonts w:hint="eastAsia" w:ascii="宋体" w:hAnsi="宋体" w:eastAsia="宋体" w:cs="宋体"/>
          <w:sz w:val="24"/>
          <w:szCs w:val="24"/>
        </w:rPr>
        <w:t>发展需求，2018年8月17日2年期国债期货成功上市交易。随着10年期、2年期国债期货的推出，我国国债期货市场的活跃程度、持仓规模、交割情况都较刚上市初期有了明显的进步</w:t>
      </w:r>
      <w:r>
        <w:rPr>
          <w:rFonts w:hint="eastAsia" w:ascii="宋体" w:hAnsi="宋体" w:eastAsia="宋体" w:cs="宋体"/>
          <w:sz w:val="24"/>
          <w:szCs w:val="24"/>
          <w:lang w:val="en-US" w:eastAsia="zh-CN"/>
        </w:rPr>
        <w:t>。</w:t>
      </w:r>
      <w:r>
        <w:rPr>
          <w:rFonts w:hint="eastAsia" w:ascii="宋体" w:hAnsi="宋体" w:eastAsia="宋体" w:cs="宋体"/>
          <w:sz w:val="24"/>
          <w:szCs w:val="24"/>
        </w:rPr>
        <w:t>从2020年3月起国债期货市场投资者限制放宽，允许商业银行、保险机构资金进入国债期货市场，而商业银行是国债的主要承销商，涉及的体量巨大，所以这为国债期货市场注入大量的流动性，使得市场活跃度大幅增加，市场的有效性在逐渐增强，这使得在国债期货市场进行统计套利成为了可能。虽然随着市场的有效性不断提升简单明显的套利机会在不断地减少，但是伴随着计算机科技的高速发展，使得量化交易对数据的获取效率不断提高，对数据的处理时间逐步缩短，通过计算机进行套利机会的发现、下单交易，使在有效市场也能获利成为了可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总之，经过7年发展，我国国债期货市场逐渐成熟、交易机制不断完善、国债期货的产品线不断丰富，国债期货的市场规模和市场效率不断提升均为国债期货的跨品种套利创造了条件。</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25" w:name="_Toc5058"/>
      <w:bookmarkStart w:id="26" w:name="_Toc15060"/>
      <w:bookmarkStart w:id="27" w:name="_Toc30238"/>
      <w:bookmarkStart w:id="28" w:name="_Toc29716"/>
      <w:bookmarkStart w:id="29" w:name="_Toc5566"/>
      <w:r>
        <w:rPr>
          <w:rFonts w:hint="eastAsia" w:ascii="黑体" w:hAnsi="黑体" w:eastAsia="黑体" w:cs="黑体"/>
          <w:b w:val="0"/>
          <w:bCs/>
          <w:sz w:val="28"/>
          <w:szCs w:val="28"/>
        </w:rPr>
        <w:t>1.1.2</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研究意义</w:t>
      </w:r>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套期保值者、投机者和套利者是期货市场的参与主体，其中套利者是市场的重要组成部分。一方面，因为套利者的存在对于完善国债期货的定价机制有很大的作用，使得国债期货的价格更合理更趋向于真实价格；另一方面对于增强国债期货市场流动性也有着重要作用。本文是基于统计套利原理来构建国债期货跨品种套利方案，以期为投资者提供合理的套利策略，这对于理论发展和实际应用均有一定的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市场效率的不断提高，套利机会的寻找难度越来越大，一般价格的偏离只是瞬间，通过传统的人工寻找套利机会已经成为历史，越来越多的投资者将放眼于量化投资，通过计算机来寻找套利机会。本文将在现有的协整理论的基础上运用GARCH模型</w:t>
      </w:r>
      <w:r>
        <w:rPr>
          <w:rFonts w:hint="eastAsia" w:ascii="宋体" w:hAnsi="宋体" w:eastAsia="宋体" w:cs="宋体"/>
          <w:sz w:val="24"/>
          <w:szCs w:val="24"/>
          <w:lang w:val="en-US" w:eastAsia="zh-CN"/>
        </w:rPr>
        <w:t>弥补</w:t>
      </w:r>
      <w:r>
        <w:rPr>
          <w:rFonts w:hint="eastAsia" w:ascii="宋体" w:hAnsi="宋体" w:eastAsia="宋体" w:cs="宋体"/>
          <w:sz w:val="24"/>
          <w:szCs w:val="24"/>
        </w:rPr>
        <w:t>恒定方差的缺陷，同时希望将投资的风险与收益考虑到策略中，一方面将策略的风险和收益进行分析，期望为投资者提供有借鉴意义的策略，另一方面丰富了国内对国债期货跨品种量化交易策略的研究。同时将充分利用计算机技术加速数据的处理，实现了对交易信号的快速识别，并且有效地克服人性贪婪和恐惧的弱点。</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30" w:name="_Toc11813"/>
      <w:bookmarkStart w:id="31" w:name="_Toc12651"/>
      <w:bookmarkStart w:id="32" w:name="_Toc12364"/>
      <w:bookmarkStart w:id="33" w:name="_Toc19319"/>
      <w:bookmarkStart w:id="34" w:name="_Toc4250"/>
      <w:r>
        <w:rPr>
          <w:rFonts w:hint="eastAsia" w:ascii="黑体" w:hAnsi="黑体" w:eastAsia="黑体" w:cs="黑体"/>
          <w:b w:val="0"/>
          <w:bCs/>
          <w:sz w:val="28"/>
          <w:szCs w:val="28"/>
        </w:rPr>
        <w:t>1.2</w:t>
      </w:r>
      <w:r>
        <w:rPr>
          <w:rFonts w:hint="eastAsia" w:ascii="黑体" w:hAnsi="黑体" w:cs="黑体"/>
          <w:b w:val="0"/>
          <w:bCs/>
          <w:sz w:val="28"/>
          <w:szCs w:val="28"/>
          <w:lang w:val="en-US" w:eastAsia="zh-CN"/>
        </w:rPr>
        <w:t xml:space="preserve"> </w:t>
      </w:r>
      <w:r>
        <w:rPr>
          <w:rFonts w:hint="eastAsia" w:ascii="黑体" w:hAnsi="黑体" w:eastAsia="黑体" w:cs="黑体"/>
          <w:b w:val="0"/>
          <w:bCs/>
          <w:sz w:val="28"/>
          <w:szCs w:val="28"/>
        </w:rPr>
        <w:t>国内外文献综述</w:t>
      </w:r>
      <w:bookmarkEnd w:id="30"/>
      <w:bookmarkEnd w:id="31"/>
      <w:bookmarkEnd w:id="32"/>
      <w:bookmarkEnd w:id="33"/>
      <w:bookmarkEnd w:id="34"/>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cstheme="minorEastAsia"/>
          <w:sz w:val="24"/>
        </w:rPr>
      </w:pPr>
      <w:r>
        <w:rPr>
          <w:rFonts w:hint="eastAsia" w:asciiTheme="minorEastAsia" w:hAnsiTheme="minorEastAsia" w:cstheme="minorEastAsia"/>
          <w:color w:val="000000"/>
          <w:kern w:val="0"/>
          <w:sz w:val="24"/>
        </w:rPr>
        <w:t xml:space="preserve">随着期货市场期货品种的不断增加和期货品种之间的相关性不断增大，跨品种套利的交易量在不断上升，对跨品种套利交易的关注程度也在不断增加，目前国内外对跨品种套利进行了大量的理论研究，并不断地在不同品种期货合约间进行了的跨品种套利的尝试。同时在套利方法上也在不断创新，不断寻找更合理的套利方法以及通过对交易阈值的选择寻求最优套利策略。基于本文的研究，将现有研究大体分为不同品种期货合约跨品种套利研究、跨品种套利方法和统计套利交易阈值研究三大类。 </w:t>
      </w:r>
      <w:r>
        <w:rPr>
          <w:rFonts w:hint="eastAsia" w:asciiTheme="minorEastAsia" w:hAnsiTheme="minorEastAsia" w:cstheme="minorEastAsia"/>
          <w:sz w:val="24"/>
        </w:rPr>
        <w:t xml:space="preserve">   </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35" w:name="_Toc18938"/>
      <w:bookmarkStart w:id="36" w:name="_Toc1222"/>
      <w:bookmarkStart w:id="37" w:name="_Toc31615"/>
      <w:bookmarkStart w:id="38" w:name="_Toc29890"/>
      <w:bookmarkStart w:id="39" w:name="_Toc14769"/>
      <w:r>
        <w:rPr>
          <w:rFonts w:hint="eastAsia" w:ascii="黑体" w:hAnsi="黑体" w:eastAsia="黑体" w:cs="黑体"/>
          <w:b w:val="0"/>
          <w:bCs/>
          <w:sz w:val="28"/>
          <w:szCs w:val="28"/>
        </w:rPr>
        <w:t>1.2.1</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关于不同跨品种套利</w:t>
      </w:r>
      <w:r>
        <w:rPr>
          <w:rFonts w:hint="eastAsia" w:ascii="黑体" w:hAnsi="黑体" w:eastAsia="黑体" w:cs="黑体"/>
          <w:b w:val="0"/>
          <w:bCs/>
          <w:sz w:val="28"/>
          <w:szCs w:val="28"/>
          <w:lang w:val="en-US" w:eastAsia="zh-CN"/>
        </w:rPr>
        <w:t>标的</w:t>
      </w:r>
      <w:r>
        <w:rPr>
          <w:rFonts w:hint="eastAsia" w:ascii="黑体" w:hAnsi="黑体" w:eastAsia="黑体" w:cs="黑体"/>
          <w:b w:val="0"/>
          <w:bCs/>
          <w:sz w:val="28"/>
          <w:szCs w:val="28"/>
        </w:rPr>
        <w:t>研究</w:t>
      </w:r>
      <w:bookmarkEnd w:id="35"/>
      <w:bookmarkEnd w:id="36"/>
      <w:bookmarkEnd w:id="37"/>
      <w:bookmarkEnd w:id="38"/>
      <w:bookmarkEnd w:id="39"/>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商品期货跨品种套利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在对商品期货跨品种套利研究中最先开始研究的是存在上下游产业链关系的农产品期货的跨品种套利，随后开始了非农产品期货的跨品种套利。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在农产品领域，在国外</w:t>
      </w:r>
      <w:r>
        <w:rPr>
          <w:rFonts w:hint="default" w:ascii="Times New Roman" w:hAnsi="Times New Roman" w:eastAsia="宋体" w:cs="Times New Roman"/>
          <w:color w:val="000000"/>
          <w:kern w:val="0"/>
          <w:sz w:val="24"/>
          <w:szCs w:val="24"/>
        </w:rPr>
        <w:t>Kenyon</w:t>
      </w:r>
      <w:r>
        <w:rPr>
          <w:rFonts w:hint="eastAsia" w:ascii="宋体" w:hAnsi="宋体" w:eastAsia="宋体" w:cs="宋体"/>
          <w:color w:val="000000"/>
          <w:kern w:val="0"/>
          <w:sz w:val="24"/>
          <w:szCs w:val="24"/>
        </w:rPr>
        <w:t>和</w:t>
      </w:r>
      <w:r>
        <w:rPr>
          <w:rFonts w:hint="eastAsia" w:ascii="Times New Roman" w:hAnsi="Times New Roman" w:eastAsia="宋体" w:cs="Times New Roman"/>
          <w:color w:val="000000"/>
          <w:kern w:val="0"/>
          <w:sz w:val="24"/>
          <w:szCs w:val="24"/>
        </w:rPr>
        <w:t>Clay</w:t>
      </w:r>
      <w:r>
        <w:rPr>
          <w:rFonts w:hint="eastAsia" w:ascii="宋体" w:hAnsi="宋体" w:eastAsia="宋体" w:cs="宋体"/>
          <w:color w:val="000000"/>
          <w:kern w:val="0"/>
          <w:sz w:val="24"/>
          <w:szCs w:val="24"/>
        </w:rPr>
        <w:t>（1987）较早对豆粕和玉米的跨品种套利进行了研究，同时针对特定商品跨品种套利效果进行了比较，发现豆粕和玉米跨品种套利无论是交易平均收益还是风险上都好于生猪和饲料套利保值。</w:t>
      </w:r>
      <w:r>
        <w:rPr>
          <w:rFonts w:hint="eastAsia" w:ascii="Times New Roman" w:hAnsi="Times New Roman" w:eastAsia="宋体" w:cs="Times New Roman"/>
          <w:color w:val="000000"/>
          <w:kern w:val="0"/>
          <w:sz w:val="24"/>
          <w:szCs w:val="24"/>
        </w:rPr>
        <w:t>Simon</w:t>
      </w:r>
      <w:r>
        <w:rPr>
          <w:rFonts w:hint="eastAsia" w:ascii="宋体" w:hAnsi="宋体" w:eastAsia="宋体" w:cs="宋体"/>
          <w:color w:val="000000"/>
          <w:kern w:val="0"/>
          <w:sz w:val="24"/>
          <w:szCs w:val="24"/>
        </w:rPr>
        <w:t>（1999）通过对芝加哥商品交易所大豆、豆粕、豆油期货价格数据进行协整检验等分析，研究发现期货价差存在长期均衡关系同时这种关系有很强的的季节性并且是短暂的，对此进行跨品种套利可以获利。</w:t>
      </w:r>
      <w:r>
        <w:rPr>
          <w:rFonts w:hint="eastAsia" w:ascii="Times New Roman" w:hAnsi="Times New Roman" w:eastAsia="宋体" w:cs="Times New Roman"/>
          <w:color w:val="000000"/>
          <w:kern w:val="0"/>
          <w:sz w:val="24"/>
          <w:szCs w:val="24"/>
        </w:rPr>
        <w:t>Liu</w:t>
      </w:r>
      <w:r>
        <w:rPr>
          <w:rFonts w:hint="eastAsia" w:ascii="宋体" w:hAnsi="宋体" w:eastAsia="宋体" w:cs="宋体"/>
          <w:color w:val="000000"/>
          <w:kern w:val="0"/>
          <w:sz w:val="24"/>
          <w:szCs w:val="24"/>
        </w:rPr>
        <w:t>（2005）通过实证证明了生猪与玉米、豆粕价格之间的协整关系，同时发现三者之间存在获利的可能性，他发现可以通过套利交易管理敞口风险来减少利润波动、增加盈利性。在国内关于农产品期货的跨品种套利的研究较多，如胡宇璇（2016）通过对棕榈油期货和豆油期货进行研究，设计了商品期货跨品种套利交易策略，认为具有长期协整关系的商品期货之间存在跨品种套利机会。刘建和、梁仁方等人（2016）综合运用协整检验、误差修正模型(ECM)证明了我国大豆期货及豆粕和豆油期货三者价格之间存在长期均衡关系且三者进行跨商品套利可行，能够获得正向的套利收益率；同时通过设置不同的开平仓阈值得出了</w:t>
      </w:r>
      <w:r>
        <w:rPr>
          <w:rFonts w:hint="eastAsia" w:ascii="Times New Roman" w:hAnsi="Times New Roman" w:eastAsia="宋体" w:cs="Times New Roman"/>
          <w:color w:val="000000"/>
          <w:kern w:val="0"/>
          <w:sz w:val="24"/>
          <w:szCs w:val="24"/>
        </w:rPr>
        <w:t>Elman</w:t>
      </w:r>
      <w:r>
        <w:rPr>
          <w:rFonts w:hint="eastAsia" w:ascii="宋体" w:hAnsi="宋体" w:eastAsia="宋体" w:cs="宋体"/>
          <w:color w:val="000000"/>
          <w:kern w:val="0"/>
          <w:sz w:val="24"/>
          <w:szCs w:val="24"/>
        </w:rPr>
        <w:t>神经网络模型较均值回归模型能够得到更好的套利结果的结论。</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在非农产品领域，</w:t>
      </w:r>
      <w:r>
        <w:rPr>
          <w:rFonts w:hint="eastAsia" w:ascii="Times New Roman" w:hAnsi="Times New Roman" w:eastAsia="宋体" w:cs="Times New Roman"/>
          <w:color w:val="000000"/>
          <w:kern w:val="0"/>
          <w:sz w:val="24"/>
          <w:szCs w:val="24"/>
        </w:rPr>
        <w:t>Ma</w:t>
      </w:r>
      <w:r>
        <w:rPr>
          <w:rFonts w:hint="eastAsia" w:ascii="宋体" w:hAnsi="宋体" w:eastAsia="宋体" w:cs="宋体"/>
          <w:color w:val="000000"/>
          <w:kern w:val="0"/>
          <w:sz w:val="24"/>
          <w:szCs w:val="24"/>
        </w:rPr>
        <w:t>和</w:t>
      </w:r>
      <w:r>
        <w:rPr>
          <w:rFonts w:hint="eastAsia" w:ascii="Times New Roman" w:hAnsi="Times New Roman" w:eastAsia="宋体" w:cs="Times New Roman"/>
          <w:color w:val="000000"/>
          <w:kern w:val="0"/>
          <w:sz w:val="24"/>
          <w:szCs w:val="24"/>
        </w:rPr>
        <w:t>Soenen</w:t>
      </w:r>
      <w:r>
        <w:rPr>
          <w:rFonts w:hint="eastAsia" w:ascii="宋体" w:hAnsi="宋体" w:eastAsia="宋体" w:cs="宋体"/>
          <w:color w:val="000000"/>
          <w:kern w:val="0"/>
          <w:sz w:val="24"/>
          <w:szCs w:val="24"/>
        </w:rPr>
        <w:t>（1988）首次研究了贵金属跨品种套利交易，研究了黄金和白银期货之间的套利，通过对两期货价格之间的关系进行分析，发现两者价差变动活跃，且经常偏离均衡价差，而这种价差的偏离为套利提供了机会，但在考虑交易成本的情况下套利机会则明显减少。</w:t>
      </w:r>
      <w:r>
        <w:rPr>
          <w:rFonts w:hint="eastAsia" w:ascii="Times New Roman" w:hAnsi="Times New Roman" w:eastAsia="宋体" w:cs="Times New Roman"/>
          <w:color w:val="000000"/>
          <w:kern w:val="0"/>
          <w:sz w:val="24"/>
          <w:szCs w:val="24"/>
        </w:rPr>
        <w:t>Emery</w:t>
      </w:r>
      <w:r>
        <w:rPr>
          <w:rFonts w:hint="eastAsia" w:ascii="宋体" w:hAnsi="宋体" w:eastAsia="宋体" w:cs="宋体"/>
          <w:color w:val="000000"/>
          <w:kern w:val="0"/>
          <w:sz w:val="24"/>
          <w:szCs w:val="24"/>
        </w:rPr>
        <w:t>和</w:t>
      </w:r>
      <w:r>
        <w:rPr>
          <w:rFonts w:hint="eastAsia" w:ascii="Times New Roman" w:hAnsi="Times New Roman" w:eastAsia="宋体" w:cs="Times New Roman"/>
          <w:color w:val="000000"/>
          <w:kern w:val="0"/>
          <w:sz w:val="24"/>
          <w:szCs w:val="24"/>
        </w:rPr>
        <w:t>Lin</w:t>
      </w:r>
      <w:r>
        <w:rPr>
          <w:rFonts w:hint="eastAsia" w:ascii="宋体" w:hAnsi="宋体" w:eastAsia="宋体" w:cs="宋体"/>
          <w:color w:val="000000"/>
          <w:kern w:val="0"/>
          <w:sz w:val="24"/>
          <w:szCs w:val="24"/>
        </w:rPr>
        <w:t>(2002)通过对天然气期货与电力期货两个期货品种进行统计套利研究，发现这两个期货品种之间的价格存在着长期稳定均衡的关系，通过利用历史数据进行回测模拟交易，发现有套利机会存在。</w:t>
      </w:r>
      <w:r>
        <w:rPr>
          <w:rFonts w:hint="eastAsia" w:ascii="Times New Roman" w:hAnsi="Times New Roman" w:eastAsia="宋体" w:cs="Times New Roman"/>
          <w:color w:val="000000"/>
          <w:kern w:val="0"/>
          <w:sz w:val="24"/>
          <w:szCs w:val="24"/>
        </w:rPr>
        <w:t>Kanamura，Rachev和Fabozzi</w:t>
      </w:r>
      <w:r>
        <w:rPr>
          <w:rFonts w:hint="eastAsia" w:ascii="宋体" w:hAnsi="宋体" w:eastAsia="宋体" w:cs="宋体"/>
          <w:color w:val="000000"/>
          <w:kern w:val="0"/>
          <w:sz w:val="24"/>
          <w:szCs w:val="24"/>
        </w:rPr>
        <w:t>( 2010)认为跨品种套利的期货品种首先要进行价格关系分析，他们对取暖油和天然气期货价格之间的关系进行研究，同时在建立套利模型时也考虑了期货价格的季节性特征、均值回复和高波动率等特点。贾瑞斌（2017）对能源化工产业链上的原材料与产成品之间进行了套利研究，发现甲醇与聚丙烯之间存在长期均衡关系，并进行了套利方案的设计。</w:t>
      </w:r>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股指期货跨品种套利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rPr>
      </w:pPr>
      <w:r>
        <w:rPr>
          <w:rFonts w:hint="eastAsia" w:ascii="宋体" w:hAnsi="宋体" w:eastAsia="宋体" w:cs="宋体"/>
          <w:color w:val="000000"/>
          <w:kern w:val="0"/>
          <w:sz w:val="24"/>
          <w:szCs w:val="24"/>
        </w:rPr>
        <w:t>不管国内还是国外，在研究初期大多数文献都是对两种期货之间是否存在套利机会，即对跨品种套利可行性的分析研究，</w:t>
      </w:r>
      <w:r>
        <w:rPr>
          <w:rFonts w:hint="eastAsia" w:ascii="Times New Roman" w:hAnsi="Times New Roman" w:eastAsia="宋体" w:cs="Times New Roman"/>
          <w:color w:val="000000"/>
          <w:kern w:val="0"/>
          <w:sz w:val="24"/>
          <w:szCs w:val="24"/>
        </w:rPr>
        <w:t>Bollerslev和Chance</w:t>
      </w:r>
      <w:r>
        <w:rPr>
          <w:rFonts w:hint="eastAsia" w:ascii="宋体" w:hAnsi="宋体" w:eastAsia="宋体" w:cs="宋体"/>
          <w:color w:val="000000"/>
          <w:kern w:val="0"/>
          <w:sz w:val="24"/>
          <w:szCs w:val="24"/>
        </w:rPr>
        <w:t>（1988）则第一次对基于价差套利的指数期货跨品种套利进行了研究，研究发现纽交所商品指数期货合约和标普</w:t>
      </w:r>
      <w:r>
        <w:rPr>
          <w:rFonts w:hint="eastAsia" w:ascii="宋体" w:hAnsi="宋体" w:eastAsia="宋体" w:cs="宋体"/>
          <w:color w:val="000000"/>
          <w:kern w:val="0"/>
          <w:sz w:val="24"/>
          <w:szCs w:val="24"/>
          <w:lang w:val="en-US" w:eastAsia="zh-CN"/>
        </w:rPr>
        <w:t>500</w:t>
      </w:r>
      <w:r>
        <w:rPr>
          <w:rFonts w:hint="eastAsia" w:ascii="宋体" w:hAnsi="宋体" w:eastAsia="宋体" w:cs="宋体"/>
          <w:color w:val="000000"/>
          <w:kern w:val="0"/>
          <w:sz w:val="24"/>
          <w:szCs w:val="24"/>
        </w:rPr>
        <w:t>之间的价差存在长期稳</w:t>
      </w:r>
      <w:r>
        <w:rPr>
          <w:rFonts w:hint="eastAsia" w:ascii="宋体" w:hAnsi="宋体" w:eastAsia="宋体" w:cs="宋体"/>
          <w:color w:val="000000"/>
          <w:kern w:val="0"/>
          <w:sz w:val="24"/>
        </w:rPr>
        <w:t>定的关系，因而可以利用两指数期货价差是否偏离其均衡价差来寻找套利机会，实证证明了存在套利机会。</w:t>
      </w:r>
      <w:r>
        <w:rPr>
          <w:rFonts w:hint="eastAsia" w:ascii="Times New Roman" w:hAnsi="Times New Roman" w:eastAsia="宋体" w:cs="Times New Roman"/>
          <w:color w:val="000000"/>
          <w:kern w:val="0"/>
          <w:sz w:val="24"/>
          <w:szCs w:val="24"/>
        </w:rPr>
        <w:t>Brenner</w:t>
      </w:r>
      <w:r>
        <w:rPr>
          <w:rFonts w:hint="eastAsia" w:ascii="宋体" w:hAnsi="宋体" w:eastAsia="宋体" w:cs="宋体"/>
          <w:color w:val="000000"/>
          <w:kern w:val="0"/>
          <w:sz w:val="24"/>
        </w:rPr>
        <w:t>（1989）通过对大阪股指50合约和日经平均指数期货合约之间的价差关系进行研究，研究发现两者之间实际价差偏离理论价差时存在跨品种套利机会。在国内因为股指期货上市较晚一些，</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rPr>
      </w:pPr>
      <w:r>
        <w:rPr>
          <w:rFonts w:hint="eastAsia" w:ascii="宋体" w:hAnsi="宋体" w:eastAsia="宋体" w:cs="宋体"/>
          <w:color w:val="000000"/>
          <w:kern w:val="0"/>
          <w:sz w:val="24"/>
        </w:rPr>
        <w:t>仅从两种期货合约的实际价差偏离均衡价差上来看很多跨品种套利交易是存在套利机会的，但考虑到交易成本时套利的收益可能会出现不能覆盖其交易成本的可能，如</w:t>
      </w:r>
      <w:r>
        <w:rPr>
          <w:rFonts w:hint="eastAsia" w:ascii="Times New Roman" w:hAnsi="Times New Roman" w:eastAsia="宋体" w:cs="Times New Roman"/>
          <w:color w:val="000000"/>
          <w:kern w:val="0"/>
          <w:sz w:val="24"/>
          <w:szCs w:val="24"/>
        </w:rPr>
        <w:t>Butterworth和Holmes</w:t>
      </w:r>
      <w:r>
        <w:rPr>
          <w:rFonts w:hint="eastAsia" w:ascii="宋体" w:hAnsi="宋体" w:eastAsia="宋体" w:cs="宋体"/>
          <w:color w:val="000000"/>
          <w:kern w:val="0"/>
          <w:sz w:val="24"/>
        </w:rPr>
        <w:t>（1999）对英国富时100指数和英国富时250指数的期货合约进行了跨品种套利研究，通过对两期货价格之间的关系进行分析，发现两期货之间存在很多的套利机会，在不考虑交易成本的情况下可以获得利润，但是在考虑交易成本后套利结果并不令人满意，套利的收益不能覆盖其成本。</w:t>
      </w:r>
      <w:r>
        <w:rPr>
          <w:rFonts w:hint="default" w:ascii="Times New Roman" w:hAnsi="Times New Roman" w:eastAsia="宋体" w:cs="Times New Roman"/>
          <w:sz w:val="24"/>
        </w:rPr>
        <w:t>Cummins</w:t>
      </w:r>
      <w:r>
        <w:rPr>
          <w:rFonts w:hint="eastAsia" w:ascii="宋体" w:hAnsi="宋体" w:eastAsia="宋体" w:cs="宋体"/>
          <w:sz w:val="24"/>
        </w:rPr>
        <w:t>和</w:t>
      </w:r>
      <w:r>
        <w:rPr>
          <w:rFonts w:hint="default" w:ascii="Times New Roman" w:hAnsi="Times New Roman" w:eastAsia="宋体" w:cs="Times New Roman"/>
          <w:sz w:val="24"/>
        </w:rPr>
        <w:t>Bucca</w:t>
      </w:r>
      <w:r>
        <w:rPr>
          <w:rFonts w:hint="eastAsia" w:ascii="宋体" w:hAnsi="宋体" w:eastAsia="宋体" w:cs="宋体"/>
          <w:sz w:val="24"/>
        </w:rPr>
        <w:t>( 2011)则认为价差是决定套利交易机会的关键因素，而交易成本决定套利的可行性，可靠的套利模型要能够预测套利期货价格之间的基差变动，并预测交易机会，根据交易成本的变化做出及时调整。</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sz w:val="24"/>
        </w:rPr>
        <w:t>国债期货跨品种套利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国外对国债期货的研究较早且大多数集中在对国债期货定价、国债期货套期保值及期现套利上的研究，</w:t>
      </w:r>
      <w:r>
        <w:rPr>
          <w:rFonts w:hint="default" w:ascii="Times New Roman" w:hAnsi="Times New Roman" w:eastAsia="宋体" w:cs="Times New Roman"/>
          <w:color w:val="000000"/>
          <w:kern w:val="0"/>
          <w:sz w:val="24"/>
        </w:rPr>
        <w:t>Russell Poskitt</w:t>
      </w:r>
      <w:r>
        <w:rPr>
          <w:rFonts w:hint="eastAsia" w:ascii="宋体" w:hAnsi="宋体" w:eastAsia="宋体" w:cs="宋体"/>
          <w:color w:val="000000"/>
          <w:kern w:val="0"/>
          <w:sz w:val="24"/>
        </w:rPr>
        <w:t>（2002）利用交易日数据集研究了新西兰银行票据期货市场的定价和套利机会（</w:t>
      </w:r>
      <w:r>
        <w:rPr>
          <w:rFonts w:hint="default" w:ascii="Times New Roman" w:hAnsi="Times New Roman" w:eastAsia="宋体" w:cs="Times New Roman"/>
          <w:color w:val="000000"/>
          <w:kern w:val="0"/>
          <w:sz w:val="24"/>
        </w:rPr>
        <w:t>Cornell</w:t>
      </w:r>
      <w:r>
        <w:rPr>
          <w:rFonts w:hint="eastAsia" w:ascii="宋体" w:hAnsi="宋体" w:eastAsia="宋体" w:cs="宋体"/>
          <w:color w:val="000000"/>
          <w:kern w:val="0"/>
          <w:sz w:val="24"/>
        </w:rPr>
        <w:t>，1979；</w:t>
      </w:r>
      <w:r>
        <w:rPr>
          <w:rFonts w:hint="default" w:ascii="Times New Roman" w:hAnsi="Times New Roman" w:eastAsia="宋体" w:cs="Times New Roman"/>
          <w:color w:val="000000"/>
          <w:kern w:val="0"/>
          <w:sz w:val="24"/>
        </w:rPr>
        <w:t>Hegde、 Branch</w:t>
      </w:r>
      <w:r>
        <w:rPr>
          <w:rFonts w:hint="eastAsia" w:ascii="宋体" w:hAnsi="宋体" w:eastAsia="宋体" w:cs="宋体"/>
          <w:color w:val="000000"/>
          <w:kern w:val="0"/>
          <w:sz w:val="24"/>
        </w:rPr>
        <w:t>，1985），而对国债期货合约间的跨品种套利研究较少。</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在国内，国债期货在1995年试点失败以后直到2013年才再次上市交易，这使得我国国债期货市场长期缺席，对国债期货套利的研究较少，在国债期货正式上市之前更多的是对重新推出国债期货的可行性、国债期货功能及定价等定性方面的研究。直到2012年中国金融期货交易所才推出国债期货的仿真交易，对国债期货的相关研究也慢慢增多，但由于受到市场上国债期货品种单一没有条件进行跨品种交易，更多研究的是国债期货期现套利和跨期套利，直到近些年以来国债期货市场的不断完善，国债期货品种的不断增多，为国债期货的跨品种套利创造了条件。</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rPr>
      </w:pPr>
      <w:r>
        <w:rPr>
          <w:rFonts w:hint="eastAsia" w:ascii="宋体" w:hAnsi="宋体" w:eastAsia="宋体" w:cs="宋体"/>
          <w:sz w:val="24"/>
        </w:rPr>
        <w:t>在现有的文献中对利用协整方法进行国债期货套利研究的文献较多，其中如杨威（2017）基于协整方法的统计套利策略原理，构建了10年期和5年期国债期货的跨品种交易策略，并设计了一套模拟交易系统。杨艳军和陈思岑（2018）则基于GARCH方法的统计套利策略，研究了我国5年期和10年期国债期货之间的跨品种套利关系，按照市场中性的假设采取1:1的套利比例，使用GARCH（1,1）模型设计基于时间序列异方差性的统计套利方案，但在交易信号的确定上使用经验方法给出5种可能的阈值，以2倍的开仓值来确定止损信号，然后选择未考虑交易成本下绝对收益最大的阈值。刘文文（2019）通过对5年期和10年期国债期货主力合约的1分钟收盘价数据进行分析的出两者之间存在很强的相关性，经过协整检验发现二者之间存在长期均衡关系，运用误差修正模型得出两个合约的配比，同时构建三机制的门限自回归模型得出门阈值，设置套利开仓信号、平仓信号和止损信号（设置的止损信号为3倍的标准差）。通过对运用该策略的套利效果进行检验发现，样本内数据的套利效果好于样本外数据的套利效果，但整体来说该策略的效果十分有效。</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40" w:name="_Toc22904"/>
      <w:bookmarkStart w:id="41" w:name="_Toc25249"/>
      <w:bookmarkStart w:id="42" w:name="_Toc16313"/>
      <w:bookmarkStart w:id="43" w:name="_Toc31749"/>
      <w:bookmarkStart w:id="44" w:name="_Toc24401"/>
      <w:r>
        <w:rPr>
          <w:rFonts w:hint="eastAsia" w:ascii="黑体" w:hAnsi="黑体" w:eastAsia="黑体" w:cs="黑体"/>
          <w:b w:val="0"/>
          <w:bCs/>
          <w:sz w:val="28"/>
          <w:szCs w:val="28"/>
        </w:rPr>
        <w:t>1.2.2</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关于跨品种套利方法的研究</w:t>
      </w:r>
      <w:bookmarkEnd w:id="40"/>
      <w:bookmarkEnd w:id="41"/>
      <w:bookmarkEnd w:id="42"/>
      <w:bookmarkEnd w:id="43"/>
      <w:bookmarkEnd w:id="44"/>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期货的跨品种套利是通过对两期货合约价格之间的关系进行分析，从而判断两者之间是否存在套利的机会。目前跨品种基本是利用统计套利原理进行套利研究的，随着计算机科技的广泛应用和不断进步，基于统计数据进行建模（如协整方法、GARCH方法、遗传算法、神经网络等）的方法不断涌现，并愈发受到学界与投资者的重视。</w:t>
      </w:r>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传统的价差、比例套利</w:t>
      </w:r>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运用两期货比例价差进行套利更多的应用在商品期货领域，最早期更多的是产业链上下游生产比例关系套利，如</w:t>
      </w:r>
      <w:r>
        <w:rPr>
          <w:rFonts w:hint="default" w:ascii="Times New Roman" w:hAnsi="Times New Roman" w:eastAsia="宋体" w:cs="Times New Roman"/>
          <w:sz w:val="24"/>
          <w:szCs w:val="24"/>
        </w:rPr>
        <w:t>Tzang</w:t>
      </w:r>
      <w:r>
        <w:rPr>
          <w:rFonts w:hint="eastAsia" w:ascii="宋体" w:hAnsi="宋体" w:eastAsia="宋体" w:cs="宋体"/>
          <w:sz w:val="24"/>
          <w:szCs w:val="24"/>
        </w:rPr>
        <w:t>和</w:t>
      </w:r>
      <w:r>
        <w:rPr>
          <w:rFonts w:hint="eastAsia" w:ascii="Times New Roman" w:hAnsi="Times New Roman" w:eastAsia="宋体" w:cs="Times New Roman"/>
          <w:sz w:val="24"/>
          <w:szCs w:val="24"/>
        </w:rPr>
        <w:t>Leuthold</w:t>
      </w:r>
      <w:r>
        <w:rPr>
          <w:rFonts w:hint="eastAsia" w:ascii="宋体" w:hAnsi="宋体" w:eastAsia="宋体" w:cs="宋体"/>
          <w:sz w:val="24"/>
          <w:szCs w:val="24"/>
        </w:rPr>
        <w:t>（1990）对大豆、豆粕和豆油</w:t>
      </w:r>
      <w:r>
        <w:rPr>
          <w:rFonts w:hint="eastAsia" w:ascii="宋体" w:hAnsi="宋体" w:eastAsia="宋体" w:cs="宋体"/>
          <w:sz w:val="24"/>
          <w:szCs w:val="24"/>
          <w:lang w:val="en-US" w:eastAsia="zh-CN"/>
        </w:rPr>
        <w:t>期货</w:t>
      </w:r>
      <w:r>
        <w:rPr>
          <w:rFonts w:hint="eastAsia" w:ascii="宋体" w:hAnsi="宋体" w:eastAsia="宋体" w:cs="宋体"/>
          <w:sz w:val="24"/>
          <w:szCs w:val="24"/>
        </w:rPr>
        <w:t>之间的长期关系进行了研究，发现三者之间存在着长期关系，通过大豆在压榨过程中三者之间的比例建立了最优套保比例，开启了对大豆压榨套利的研究。</w:t>
      </w:r>
      <w:r>
        <w:rPr>
          <w:rFonts w:hint="eastAsia" w:ascii="Times New Roman" w:hAnsi="Times New Roman" w:eastAsia="宋体" w:cs="Times New Roman"/>
          <w:sz w:val="24"/>
          <w:szCs w:val="24"/>
        </w:rPr>
        <w:t>JohnB．Mitchen</w:t>
      </w:r>
      <w:r>
        <w:rPr>
          <w:rFonts w:hint="eastAsia" w:ascii="宋体" w:hAnsi="宋体" w:eastAsia="宋体" w:cs="宋体"/>
          <w:sz w:val="24"/>
          <w:szCs w:val="24"/>
        </w:rPr>
        <w:t>(2007)通过对豆油期货和豆粕期货之间的价差进行统计分析，发现两者之间的价差始终在一定的区间内上下波动，而且随着时间的推移这一个均衡的区间也会发生相应的变化。</w:t>
      </w:r>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基于协整模型的套利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Times New Roman" w:hAnsi="Times New Roman" w:eastAsia="宋体" w:cs="Times New Roman"/>
          <w:kern w:val="0"/>
          <w:sz w:val="24"/>
          <w:szCs w:val="24"/>
          <w:lang w:val="en-US" w:eastAsia="zh-CN" w:bidi="ar-SA"/>
        </w:rPr>
        <w:t>Engle</w:t>
      </w:r>
      <w:r>
        <w:rPr>
          <w:rFonts w:hint="eastAsia" w:ascii="宋体" w:hAnsi="宋体" w:eastAsia="宋体" w:cs="宋体"/>
          <w:color w:val="000000"/>
          <w:kern w:val="0"/>
          <w:sz w:val="24"/>
          <w:szCs w:val="24"/>
        </w:rPr>
        <w:t>和</w:t>
      </w:r>
      <w:r>
        <w:rPr>
          <w:rFonts w:hint="eastAsia" w:ascii="Times New Roman" w:hAnsi="Times New Roman" w:eastAsia="宋体" w:cs="Times New Roman"/>
          <w:kern w:val="0"/>
          <w:sz w:val="24"/>
          <w:szCs w:val="24"/>
          <w:lang w:val="en-US" w:eastAsia="zh-CN" w:bidi="ar-SA"/>
        </w:rPr>
        <w:t>Granger</w:t>
      </w:r>
      <w:r>
        <w:rPr>
          <w:rFonts w:hint="eastAsia" w:ascii="宋体" w:hAnsi="宋体" w:eastAsia="宋体" w:cs="宋体"/>
          <w:color w:val="000000"/>
          <w:kern w:val="0"/>
          <w:sz w:val="24"/>
          <w:szCs w:val="24"/>
        </w:rPr>
        <w:t>（1987）指出若非平稳变量之间存在协整关系，则变量之间可以建立误差修正模型，为统计套利策略的研究提供了理论基础。利用协整模型进行套利研究是目前比较成熟的方法之一，首先对两期货价格序列进行平稳性检验和协整检验，分析两种期货合约价格之间的长期均衡关系，利用价差的均值回归特性，在价差偏离均衡价差是存在套利机会，以此理论进行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Times New Roman" w:hAnsi="Times New Roman" w:eastAsia="宋体" w:cs="Times New Roman"/>
          <w:kern w:val="0"/>
          <w:sz w:val="24"/>
          <w:szCs w:val="24"/>
          <w:lang w:val="en-US" w:eastAsia="zh-CN" w:bidi="ar-SA"/>
        </w:rPr>
        <w:t>Alexander</w:t>
      </w:r>
      <w:r>
        <w:rPr>
          <w:rFonts w:hint="eastAsia" w:ascii="宋体" w:hAnsi="宋体" w:eastAsia="宋体" w:cs="宋体"/>
          <w:kern w:val="0"/>
          <w:sz w:val="24"/>
          <w:szCs w:val="24"/>
        </w:rPr>
        <w:t>和</w:t>
      </w:r>
      <w:r>
        <w:rPr>
          <w:rFonts w:hint="eastAsia" w:ascii="Times New Roman" w:hAnsi="Times New Roman" w:eastAsia="宋体" w:cs="Times New Roman"/>
          <w:kern w:val="0"/>
          <w:sz w:val="24"/>
          <w:szCs w:val="24"/>
          <w:lang w:val="en-US" w:eastAsia="zh-CN" w:bidi="ar-SA"/>
        </w:rPr>
        <w:t>Dimitriu</w:t>
      </w:r>
      <w:r>
        <w:rPr>
          <w:rFonts w:hint="eastAsia" w:ascii="宋体" w:hAnsi="宋体" w:eastAsia="宋体" w:cs="宋体"/>
          <w:kern w:val="0"/>
          <w:sz w:val="24"/>
          <w:szCs w:val="24"/>
        </w:rPr>
        <w:t>(2004)首次引入了协整模型，在建立传统的套利模型过程中对资产价格序列进行处理。通过对指数跟踪，发现将协整理论引入到传统套利模型中可以很好的促使整体的价差更加符合正态分布。</w:t>
      </w:r>
      <w:r>
        <w:rPr>
          <w:rFonts w:hint="eastAsia" w:ascii="Times New Roman" w:hAnsi="Times New Roman" w:eastAsia="宋体" w:cs="Times New Roman"/>
          <w:kern w:val="0"/>
          <w:sz w:val="24"/>
          <w:szCs w:val="24"/>
          <w:lang w:val="en-US" w:eastAsia="zh-CN" w:bidi="ar-SA"/>
        </w:rPr>
        <w:t>Carol Alexander</w:t>
      </w:r>
      <w:r>
        <w:rPr>
          <w:rFonts w:hint="eastAsia" w:ascii="宋体" w:hAnsi="宋体" w:eastAsia="宋体" w:cs="宋体"/>
          <w:sz w:val="24"/>
          <w:szCs w:val="24"/>
        </w:rPr>
        <w:t xml:space="preserve">和 </w:t>
      </w:r>
      <w:r>
        <w:rPr>
          <w:rFonts w:hint="eastAsia" w:ascii="Times New Roman" w:hAnsi="Times New Roman" w:eastAsia="宋体" w:cs="Times New Roman"/>
          <w:kern w:val="0"/>
          <w:sz w:val="24"/>
          <w:szCs w:val="24"/>
          <w:lang w:val="en-US" w:eastAsia="zh-CN" w:bidi="ar-SA"/>
        </w:rPr>
        <w:t>Anca Dimitriu</w:t>
      </w:r>
      <w:r>
        <w:rPr>
          <w:rFonts w:hint="eastAsia" w:ascii="宋体" w:hAnsi="宋体" w:eastAsia="宋体" w:cs="宋体"/>
          <w:sz w:val="24"/>
          <w:szCs w:val="24"/>
        </w:rPr>
        <w:t>(2005)对比了协整优化的统计套利方法和其他的统计套利方法，认为基于协整的统计套利的模型表现稳定，且属于市场中性策略，普遍优于其他统计套利方法。</w:t>
      </w:r>
      <w:r>
        <w:rPr>
          <w:rFonts w:hint="eastAsia" w:ascii="Times New Roman" w:hAnsi="Times New Roman" w:eastAsia="宋体" w:cs="Times New Roman"/>
          <w:kern w:val="0"/>
          <w:sz w:val="24"/>
          <w:szCs w:val="24"/>
          <w:lang w:val="en-US" w:eastAsia="zh-CN" w:bidi="ar-SA"/>
        </w:rPr>
        <w:t>Jacobsen</w:t>
      </w:r>
      <w:r>
        <w:rPr>
          <w:rFonts w:hint="eastAsia" w:ascii="宋体" w:hAnsi="宋体" w:eastAsia="宋体" w:cs="宋体"/>
          <w:color w:val="000000"/>
          <w:kern w:val="0"/>
          <w:sz w:val="24"/>
          <w:szCs w:val="24"/>
        </w:rPr>
        <w:t>（2008）则在之前的研究基础上引入了误差修正模型，对协整模型进行了优化和改进，为统计套利策略的研究提供了新的指导方法。</w:t>
      </w:r>
      <w:r>
        <w:rPr>
          <w:rFonts w:hint="eastAsia" w:ascii="Times New Roman" w:hAnsi="Times New Roman" w:eastAsia="宋体" w:cs="Times New Roman"/>
          <w:kern w:val="0"/>
          <w:sz w:val="24"/>
          <w:szCs w:val="24"/>
          <w:lang w:val="en-US" w:eastAsia="zh-CN" w:bidi="ar-SA"/>
        </w:rPr>
        <w:t>Caldeira和Moura</w:t>
      </w:r>
      <w:r>
        <w:rPr>
          <w:rFonts w:hint="eastAsia" w:ascii="宋体" w:hAnsi="宋体" w:eastAsia="宋体" w:cs="宋体"/>
          <w:color w:val="000000"/>
          <w:kern w:val="0"/>
          <w:sz w:val="24"/>
          <w:szCs w:val="24"/>
        </w:rPr>
        <w:t>（2013）基于协整模型，</w:t>
      </w:r>
      <w:r>
        <w:rPr>
          <w:rFonts w:hint="eastAsia" w:ascii="Times New Roman" w:hAnsi="Times New Roman" w:eastAsia="宋体" w:cs="Times New Roman"/>
          <w:kern w:val="0"/>
          <w:sz w:val="24"/>
          <w:szCs w:val="24"/>
          <w:lang w:val="en-US" w:eastAsia="zh-CN" w:bidi="ar-SA"/>
        </w:rPr>
        <w:t>Miao</w:t>
      </w:r>
      <w:r>
        <w:rPr>
          <w:rFonts w:hint="eastAsia" w:ascii="宋体" w:hAnsi="宋体" w:eastAsia="宋体" w:cs="宋体"/>
          <w:color w:val="000000"/>
          <w:kern w:val="0"/>
          <w:sz w:val="24"/>
          <w:szCs w:val="24"/>
        </w:rPr>
        <w:t>（2014）基于两阶段的相关性协整模型，构建了统计套利策略，对统计套利策略进行了实证检验，研究结果表明能获取一定的收益。在国内较早利用协整模型进行两期货合约间的跨品种套利研究的如丁秀玲、华仁海（2007）研究了豆粕</w:t>
      </w:r>
      <w:r>
        <w:rPr>
          <w:rFonts w:hint="eastAsia" w:ascii="宋体" w:hAnsi="宋体" w:eastAsia="宋体" w:cs="宋体"/>
          <w:color w:val="000000"/>
          <w:kern w:val="0"/>
          <w:sz w:val="24"/>
          <w:szCs w:val="24"/>
          <w:lang w:val="en-US" w:eastAsia="zh-CN"/>
        </w:rPr>
        <w:t>期货</w:t>
      </w:r>
      <w:r>
        <w:rPr>
          <w:rFonts w:hint="eastAsia" w:ascii="宋体" w:hAnsi="宋体" w:eastAsia="宋体" w:cs="宋体"/>
          <w:color w:val="000000"/>
          <w:kern w:val="0"/>
          <w:sz w:val="24"/>
          <w:szCs w:val="24"/>
        </w:rPr>
        <w:t>与大豆</w:t>
      </w:r>
      <w:r>
        <w:rPr>
          <w:rStyle w:val="24"/>
          <w:rFonts w:hint="eastAsia" w:ascii="宋体" w:hAnsi="宋体" w:eastAsia="宋体" w:cs="宋体"/>
          <w:sz w:val="24"/>
          <w:szCs w:val="24"/>
          <w:lang w:val="en-US" w:eastAsia="zh-CN"/>
        </w:rPr>
        <w:t>期货</w:t>
      </w:r>
      <w:r>
        <w:rPr>
          <w:rFonts w:hint="eastAsia" w:ascii="宋体" w:hAnsi="宋体" w:eastAsia="宋体" w:cs="宋体"/>
          <w:color w:val="000000"/>
          <w:kern w:val="0"/>
          <w:sz w:val="24"/>
          <w:szCs w:val="24"/>
        </w:rPr>
        <w:t xml:space="preserve">价差间的协整关系，发现两者之间存在长期稳定关系，通过回测发现利用协整模型建立套利策略可以获利。后来越来越多的学者在商品期货、金融期货、股票等市场进行了基于协整方法的统计套利研究。杨倩诗（2015）则通过对传统统计套利的改进,利用波动平稳的股票建立协整方程，进行统计套利发现，改进后的统计套利不仅提高了套利次数,而且使套利组合不局限于相关性最高的两只股票。  </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rPr>
        <w:t>3.</w:t>
      </w:r>
      <w:r>
        <w:rPr>
          <w:rFonts w:hint="eastAsia" w:ascii="宋体" w:hAnsi="宋体" w:eastAsia="宋体" w:cs="宋体"/>
          <w:sz w:val="24"/>
          <w:szCs w:val="24"/>
        </w:rPr>
        <w:t>基于GARCH模型的套利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Times New Roman" w:hAnsi="Times New Roman" w:eastAsia="宋体" w:cs="Times New Roman"/>
          <w:kern w:val="0"/>
          <w:sz w:val="24"/>
          <w:szCs w:val="24"/>
          <w:lang w:val="en-US" w:eastAsia="zh-CN" w:bidi="ar-SA"/>
        </w:rPr>
        <w:t>Bollerslev</w:t>
      </w:r>
      <w:r>
        <w:rPr>
          <w:rFonts w:hint="eastAsia" w:ascii="宋体" w:hAnsi="宋体" w:eastAsia="宋体" w:cs="宋体"/>
          <w:color w:val="000000"/>
          <w:kern w:val="0"/>
          <w:sz w:val="24"/>
          <w:szCs w:val="24"/>
        </w:rPr>
        <w:t>（1986）提出GRACH模型（广义自回归条件异方差模型），是在ARCH模型（自回归条件异方差模型）的基础上发展而来的。金融时间序列数据一般存在异方差性，且其方差在时间序列上存在着某种自相关性，这种特征称为“波动聚集”，ARCH和GARCH模型的出现正是为了解释线性模型无法解释的金融市场“波动聚集”的现象。</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在国外更多的学者是将GARCH模型应用于风险的度量，也有少数学者将其应用于套利策略。</w:t>
      </w:r>
      <w:r>
        <w:rPr>
          <w:rFonts w:hint="eastAsia" w:ascii="Times New Roman" w:hAnsi="Times New Roman" w:eastAsia="宋体" w:cs="Times New Roman"/>
          <w:kern w:val="0"/>
          <w:sz w:val="24"/>
          <w:szCs w:val="24"/>
          <w:lang w:val="en-US" w:eastAsia="zh-CN" w:bidi="ar-SA"/>
        </w:rPr>
        <w:t>Haigh和Holt</w:t>
      </w:r>
      <w:r>
        <w:rPr>
          <w:rFonts w:hint="eastAsia" w:ascii="宋体" w:hAnsi="宋体" w:eastAsia="宋体" w:cs="宋体"/>
          <w:color w:val="000000"/>
          <w:kern w:val="0"/>
          <w:sz w:val="24"/>
          <w:szCs w:val="24"/>
        </w:rPr>
        <w:t>（2002）通过利用普通最小二乘法、移动平均法和GARCH方法分别构建套利策略并进行套利效果比较，发现在不考虑交易成本的情况下，使用GARCH模型构建的套利策略的套利效果最好。</w:t>
      </w:r>
      <w:r>
        <w:rPr>
          <w:rFonts w:hint="eastAsia" w:ascii="Times New Roman" w:hAnsi="Times New Roman" w:eastAsia="宋体" w:cs="Times New Roman"/>
          <w:kern w:val="0"/>
          <w:sz w:val="24"/>
          <w:szCs w:val="24"/>
          <w:lang w:val="en-US" w:eastAsia="zh-CN" w:bidi="ar-SA"/>
        </w:rPr>
        <w:t>Nikos S．Thomaidis</w:t>
      </w:r>
      <w:r>
        <w:rPr>
          <w:rFonts w:hint="eastAsia" w:ascii="宋体" w:hAnsi="宋体" w:eastAsia="宋体" w:cs="宋体"/>
          <w:color w:val="000000"/>
          <w:kern w:val="0"/>
          <w:sz w:val="24"/>
          <w:szCs w:val="24"/>
        </w:rPr>
        <w:t>(2006)将GARCH模型和神经网络模型相结合用来研究各股票之间的套利机会，通过GARCH模型得到时变方差，从而利用时变的条件标准差来设定开平仓点和止损点；通过神经网络模型来预测未来价格走势，来决定是否要改变目前的操作方向，再将两模型相结合能够不断的改变套利标准从而发现更多的套利机会。</w:t>
      </w:r>
      <w:r>
        <w:rPr>
          <w:rFonts w:hint="eastAsia" w:ascii="Times New Roman" w:hAnsi="Times New Roman" w:eastAsia="宋体" w:cs="Times New Roman"/>
          <w:kern w:val="0"/>
          <w:sz w:val="24"/>
          <w:szCs w:val="24"/>
          <w:lang w:val="en-US" w:eastAsia="zh-CN" w:bidi="ar-SA"/>
        </w:rPr>
        <w:t>L.cui</w:t>
      </w:r>
      <w:r>
        <w:rPr>
          <w:rFonts w:hint="eastAsia" w:ascii="宋体" w:hAnsi="宋体" w:eastAsia="宋体" w:cs="宋体"/>
          <w:color w:val="000000"/>
          <w:kern w:val="0"/>
          <w:sz w:val="24"/>
          <w:szCs w:val="24"/>
        </w:rPr>
        <w:t>(2013)则基于统计套利的原理通过建立GARCH模型来研究两期货合约之间的套利，发现利用GARCH模型来分析短期价格之间的协整关系时表现效果不佳。作者通过一系列分析，引入T-GARCH模型，从而建立新的套利模型。研究发现，新模型能够建立比GARCH模型更稳定的交易信号，从而获得更稳定的交易号和更高的收益。</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color w:val="000000"/>
          <w:kern w:val="0"/>
          <w:sz w:val="24"/>
          <w:szCs w:val="24"/>
        </w:rPr>
        <w:t>在国内，李世伟（2011）和何树红等（2013）考虑到方差的时变性，对协整套利模型进行了改进，引入了GARCH模型。周亮（2017）则利用铁矿石和螺纹</w:t>
      </w:r>
      <w:r>
        <w:rPr>
          <w:rFonts w:hint="eastAsia" w:ascii="宋体" w:hAnsi="宋体" w:eastAsia="宋体" w:cs="宋体"/>
          <w:sz w:val="24"/>
          <w:szCs w:val="24"/>
        </w:rPr>
        <w:t>钢期货合约60分钟价格数据，分别建立了协整模型和GARCH模型以确定两者价差关系进行套利，结果发现GARCH模型无论在胜率还是在收益率方面都要优于普通的协整模型。</w:t>
      </w:r>
      <w:r>
        <w:rPr>
          <w:rFonts w:hint="eastAsia" w:ascii="宋体" w:hAnsi="宋体" w:eastAsia="宋体" w:cs="宋体"/>
          <w:color w:val="000000"/>
          <w:sz w:val="24"/>
          <w:szCs w:val="24"/>
        </w:rPr>
        <w:t>朱丽蓉等（2015）则将两期货存在的协整关系考虑到基于GARCH模型的套利策略构建中，研究发现，基于协整关系的 GARCH 模型在各种套利模型中是最为有效的。</w:t>
      </w:r>
      <w:r>
        <w:rPr>
          <w:rFonts w:hint="eastAsia" w:ascii="宋体" w:hAnsi="宋体" w:eastAsia="宋体" w:cs="宋体"/>
          <w:sz w:val="24"/>
          <w:szCs w:val="24"/>
        </w:rPr>
        <w:t>苗宇和朱家明（2019）则通过对沪深300与上证50股指期货收盘价数据进行检验并建立误差修正模型求得两者之间的套利比例，然后建立GARCH模型，计算出一条基于时变的标准差的线，基于这个标准差给出了以1倍的标准差作为套利模型的开仓标准，2倍的标准差作为止损标准的套利策略，发现其收益更高。而邹战勇、陈红纯和李星（2019）也通过对美国芝加哥商品交易所的大豆、玉米、小麦和大米期货的收盘价序列分别建立ARMA模型、ARCH模型与EGARCH模型对收益率的非对称性进行了研究，研究得出，国际大宗农产品期货价格存在波动非对称性，且对坏消息的敏感程度大于好消息的敏感程度。</w:t>
      </w:r>
    </w:p>
    <w:p>
      <w:pPr>
        <w:pStyle w:val="12"/>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其他套利方法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两种期货合约的价格之间并不一定总是协整线性的关系，这样基于协整理论的统计套利策略不能很好的进行套利，从而引入了神经网络模型，</w:t>
      </w:r>
      <w:r>
        <w:rPr>
          <w:rFonts w:hint="eastAsia" w:ascii="Times New Roman" w:hAnsi="Times New Roman" w:eastAsia="宋体" w:cs="Times New Roman"/>
          <w:kern w:val="0"/>
          <w:sz w:val="24"/>
          <w:szCs w:val="24"/>
          <w:lang w:val="en-US" w:eastAsia="zh-CN" w:bidi="ar-SA"/>
        </w:rPr>
        <w:t>Dunis, Laws</w:t>
      </w:r>
      <w:r>
        <w:rPr>
          <w:rFonts w:hint="eastAsia" w:ascii="宋体" w:hAnsi="宋体" w:eastAsia="宋体" w:cs="宋体"/>
          <w:color w:val="000000"/>
          <w:kern w:val="0"/>
          <w:sz w:val="24"/>
          <w:szCs w:val="24"/>
        </w:rPr>
        <w:t xml:space="preserve"> 和 </w:t>
      </w:r>
      <w:r>
        <w:rPr>
          <w:rFonts w:hint="eastAsia" w:ascii="Times New Roman" w:hAnsi="Times New Roman" w:eastAsia="宋体" w:cs="Times New Roman"/>
          <w:kern w:val="0"/>
          <w:sz w:val="24"/>
          <w:szCs w:val="24"/>
          <w:lang w:val="en-US" w:eastAsia="zh-CN" w:bidi="ar-SA"/>
        </w:rPr>
        <w:t>Evans</w:t>
      </w:r>
      <w:r>
        <w:rPr>
          <w:rFonts w:hint="eastAsia" w:ascii="宋体" w:hAnsi="宋体" w:eastAsia="宋体" w:cs="宋体"/>
          <w:color w:val="000000"/>
          <w:kern w:val="0"/>
          <w:sz w:val="24"/>
          <w:szCs w:val="24"/>
        </w:rPr>
        <w:t>(2006)运用多层感知网络、递归神经网络和高阶神经网络等模型研究了 WTI原油期货和无铅汽油期货之间的套利交易，研究发现运用高阶神经网络模型构建的套利策略不管在数据的拟合优度还是在套利收益上都要好于其他两种神经网络模型。后来</w:t>
      </w:r>
      <w:r>
        <w:rPr>
          <w:rFonts w:hint="eastAsia" w:ascii="Times New Roman" w:hAnsi="Times New Roman" w:eastAsia="宋体" w:cs="Times New Roman"/>
          <w:kern w:val="0"/>
          <w:sz w:val="24"/>
          <w:szCs w:val="24"/>
          <w:lang w:val="en-US" w:eastAsia="zh-CN" w:bidi="ar-SA"/>
        </w:rPr>
        <w:t>Christian L. Dunis</w:t>
      </w:r>
      <w:r>
        <w:rPr>
          <w:rFonts w:hint="eastAsia" w:ascii="宋体" w:hAnsi="宋体" w:eastAsia="宋体" w:cs="宋体"/>
          <w:sz w:val="24"/>
          <w:szCs w:val="24"/>
        </w:rPr>
        <w:t>等人（2008）研究了石油期货合约价差组合的建模和交易。在以前的研究基础上，还采用了一些交易过滤器来进一步改进模型的交易统计。</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靳朝翔等（2016）在确定螺纹钢，铁矿石，焦炭期货之间具有协整关系后，利用BP神经网络模型和NAR动态神经网络模型来构建套利策略，通过回测发现：NAR 动态神经网络模型优</w:t>
      </w:r>
      <w:r>
        <w:rPr>
          <w:rFonts w:hint="eastAsia" w:ascii="Times New Roman" w:hAnsi="Times New Roman" w:eastAsia="宋体" w:cs="Times New Roman"/>
          <w:kern w:val="0"/>
          <w:sz w:val="24"/>
          <w:szCs w:val="24"/>
          <w:lang w:val="en-US" w:eastAsia="zh-CN" w:bidi="ar-SA"/>
        </w:rPr>
        <w:t>于BP</w:t>
      </w:r>
      <w:r>
        <w:rPr>
          <w:rFonts w:hint="eastAsia" w:ascii="宋体" w:hAnsi="宋体" w:eastAsia="宋体" w:cs="宋体"/>
          <w:sz w:val="24"/>
          <w:szCs w:val="24"/>
        </w:rPr>
        <w:t>神经网络模型，能够获得更优的套利效果。张威波和胡艳英（2018）通过</w:t>
      </w:r>
      <w:r>
        <w:rPr>
          <w:rFonts w:hint="eastAsia" w:ascii="Times New Roman" w:hAnsi="Times New Roman" w:eastAsia="宋体" w:cs="Times New Roman"/>
          <w:kern w:val="0"/>
          <w:sz w:val="24"/>
          <w:szCs w:val="24"/>
          <w:lang w:val="en-US" w:eastAsia="zh-CN" w:bidi="ar-SA"/>
        </w:rPr>
        <w:t>豆类</w:t>
      </w:r>
      <w:r>
        <w:rPr>
          <w:rFonts w:hint="eastAsia" w:ascii="宋体" w:hAnsi="宋体" w:eastAsia="宋体" w:cs="宋体"/>
          <w:sz w:val="24"/>
          <w:szCs w:val="24"/>
        </w:rPr>
        <w:t>期货合约5分钟高频数据，构建VAR模型脉冲效应分析、方差分解分析等方法发现我国豆类期货合约高频数据存在长期均衡关系，可以基于此进行套利。唐瑞波（2019）以螺纹钢、铁矿石和焦炭期货作为跨品种套利的研究对象，研究发现利用遗传算法优化Elman神经网络建立的策略比BP神经网络和</w:t>
      </w:r>
      <w:r>
        <w:rPr>
          <w:rFonts w:hint="eastAsia" w:ascii="Times New Roman" w:hAnsi="Times New Roman" w:eastAsia="宋体" w:cs="Times New Roman"/>
          <w:kern w:val="0"/>
          <w:sz w:val="24"/>
          <w:szCs w:val="24"/>
          <w:lang w:val="en-US" w:eastAsia="zh-CN" w:bidi="ar-SA"/>
        </w:rPr>
        <w:t>Elman</w:t>
      </w:r>
      <w:r>
        <w:rPr>
          <w:rFonts w:hint="eastAsia" w:ascii="宋体" w:hAnsi="宋体" w:eastAsia="宋体" w:cs="宋体"/>
          <w:sz w:val="24"/>
          <w:szCs w:val="24"/>
        </w:rPr>
        <w:t>神经网络能够产生更高的年化收益率,且收益率在长期内保持了稳定增长。</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45" w:name="_Toc11676"/>
      <w:bookmarkStart w:id="46" w:name="_Toc14977"/>
      <w:bookmarkStart w:id="47" w:name="_Toc8723"/>
      <w:bookmarkStart w:id="48" w:name="_Toc11211"/>
      <w:bookmarkStart w:id="49" w:name="_Toc7278"/>
      <w:r>
        <w:rPr>
          <w:rFonts w:hint="eastAsia" w:ascii="黑体" w:hAnsi="黑体" w:eastAsia="黑体" w:cs="黑体"/>
          <w:b w:val="0"/>
          <w:bCs/>
          <w:sz w:val="28"/>
          <w:szCs w:val="28"/>
        </w:rPr>
        <w:t>1.2.3</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统计套利交易阈值研究</w:t>
      </w:r>
      <w:bookmarkEnd w:id="45"/>
      <w:bookmarkEnd w:id="46"/>
      <w:bookmarkEnd w:id="47"/>
      <w:bookmarkEnd w:id="48"/>
      <w:bookmarkEnd w:id="49"/>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目前对统计套利的研究除了在套利方法上不断深入研究更加精准的方法，而且在交易阈值上的研究也越来越多</w:t>
      </w:r>
      <w:r>
        <w:rPr>
          <w:rFonts w:hint="eastAsia" w:asciiTheme="minorEastAsia" w:hAnsiTheme="minorEastAsia" w:cstheme="minorEastAsia"/>
          <w:sz w:val="24"/>
          <w:lang w:eastAsia="zh-CN"/>
        </w:rPr>
        <w:t>。</w:t>
      </w:r>
      <w:r>
        <w:rPr>
          <w:rFonts w:hint="eastAsia" w:asciiTheme="minorEastAsia" w:hAnsiTheme="minorEastAsia" w:cstheme="minorEastAsia"/>
          <w:sz w:val="24"/>
        </w:rPr>
        <w:t>早期很多交易策略阈值的取值更加偏向于经验值，如以0作为平仓值，0.75、1、1.5作为开仓值，2、2.5、3作为止损值等</w:t>
      </w:r>
      <w:r>
        <w:rPr>
          <w:rFonts w:hint="eastAsia" w:asciiTheme="minorEastAsia" w:hAnsiTheme="minorEastAsia" w:cstheme="minorEastAsia"/>
          <w:sz w:val="24"/>
          <w:lang w:eastAsia="zh-CN"/>
        </w:rPr>
        <w:t>。</w:t>
      </w:r>
      <w:r>
        <w:rPr>
          <w:rFonts w:hint="eastAsia" w:asciiTheme="minorEastAsia" w:hAnsiTheme="minorEastAsia" w:cstheme="minorEastAsia"/>
          <w:sz w:val="24"/>
        </w:rPr>
        <w:t>而近些年来很多学者希望通过选择最优的阈值来寻求最优的套利策略，其中覃良文、唐国强、林静(2016)利用GARCH模型进行价差序列预警套利信号，通过穷举法历遍所有开平仓阈值来寻求标准残差套利的最优阈值和风险测度，建立最优套利方案。结果表明，以历史数据建立的最优套利方案对样本外数据进行套利，与传统利用标准正态分布置信水平确定阈值进行套利相比效果更好，其收益和套利成功率均更高，在最优阈值套利方案中量化了风险值。周亮（2017）则在设计铁矿石、螺纹钢以及焦炭期货跨品种套利策略时，引入统计套利期望函数，以套利期望收益函数能取到最大值为目标对开仓阈值进行取值，发现当开仓阈值取1时，样本内外均有不错的收益。邢知、郝继升（2018）考虑了收益—风险综合管理，从基于协整—GARCH模型的统计套利策略出发，以单位风险下期望收益最大化为优化目标对统计套利模型下的沪深300股指期货与现货的交易阈值进行了研究，使用</w:t>
      </w:r>
      <w:r>
        <w:rPr>
          <w:rFonts w:hint="default" w:ascii="Times New Roman" w:hAnsi="Times New Roman" w:cs="Times New Roman"/>
          <w:sz w:val="24"/>
        </w:rPr>
        <w:t>MATLAB</w:t>
      </w:r>
      <w:r>
        <w:rPr>
          <w:rFonts w:hint="eastAsia" w:asciiTheme="minorEastAsia" w:hAnsiTheme="minorEastAsia" w:cstheme="minorEastAsia"/>
          <w:sz w:val="24"/>
        </w:rPr>
        <w:t>2016软件进行了</w:t>
      </w:r>
      <w:r>
        <w:rPr>
          <w:rFonts w:hint="eastAsia" w:ascii="Times New Roman" w:hAnsi="Times New Roman" w:eastAsia="宋体" w:cs="Times New Roman"/>
          <w:kern w:val="0"/>
          <w:sz w:val="24"/>
          <w:szCs w:val="24"/>
          <w:lang w:val="en-US" w:eastAsia="zh-CN" w:bidi="ar-SA"/>
        </w:rPr>
        <w:t>Mote Carlo</w:t>
      </w:r>
      <w:r>
        <w:rPr>
          <w:rFonts w:hint="eastAsia" w:asciiTheme="minorEastAsia" w:hAnsiTheme="minorEastAsia" w:cstheme="minorEastAsia"/>
          <w:sz w:val="24"/>
        </w:rPr>
        <w:t>模拟，从而确定建仓阈值和止损阈值。还有一些文献累计收益最大化（方军、李星野，2019）、绝对收益最大化等为目标来进行交易阈值的求解，从而设计出最优的套利策略。</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50" w:name="_Toc25014"/>
      <w:bookmarkStart w:id="51" w:name="_Toc32107"/>
      <w:bookmarkStart w:id="52" w:name="_Toc26589"/>
      <w:bookmarkStart w:id="53" w:name="_Toc27318"/>
      <w:bookmarkStart w:id="54" w:name="_Toc15414"/>
      <w:r>
        <w:rPr>
          <w:rFonts w:hint="eastAsia" w:ascii="黑体" w:hAnsi="黑体" w:eastAsia="黑体" w:cs="黑体"/>
          <w:b w:val="0"/>
          <w:bCs/>
          <w:sz w:val="28"/>
          <w:szCs w:val="28"/>
        </w:rPr>
        <w:t>1.2.4</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文献评述</w:t>
      </w:r>
      <w:bookmarkEnd w:id="50"/>
      <w:bookmarkEnd w:id="51"/>
      <w:bookmarkEnd w:id="52"/>
      <w:bookmarkEnd w:id="53"/>
      <w:bookmarkEnd w:id="54"/>
    </w:p>
    <w:p>
      <w:pPr>
        <w:keepNext w:val="0"/>
        <w:keepLines w:val="0"/>
        <w:pageBreakBefore w:val="0"/>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cstheme="minorEastAsia"/>
          <w:sz w:val="24"/>
        </w:rPr>
      </w:pPr>
      <w:r>
        <w:rPr>
          <w:rFonts w:hint="eastAsia" w:asciiTheme="minorEastAsia" w:hAnsiTheme="minorEastAsia" w:cstheme="minorEastAsia"/>
          <w:sz w:val="24"/>
        </w:rPr>
        <w:t>从文献中总结出以下三点：第一，利用统计套利的思想建立GARCH模型来进行期货套利的效果要比协整模型套利的效果更优，其可以改变恒定方差的缺陷，使得套利结果更优。第二，相对于其他期货的跨品种套利国债的跨品种套利研究较少，同时在现有的国债期货的套利研究中相比于其他方法，GARCH方法的运用更少。第三，在套利区间设计上，现有文献中大多学者在设计套利策略时运用了经验阈值，或以收益最大化寻求最优交易信号，但是在现有的期货套利的文献中很少有学者将套利收益最优问题、收益与</w:t>
      </w:r>
      <w:r>
        <w:rPr>
          <w:rFonts w:hint="eastAsia" w:asciiTheme="minorEastAsia" w:hAnsiTheme="minorEastAsia" w:cstheme="minorEastAsia"/>
          <w:sz w:val="24"/>
          <w:lang w:val="en-US" w:eastAsia="zh-CN"/>
        </w:rPr>
        <w:t>所</w:t>
      </w:r>
      <w:r>
        <w:rPr>
          <w:rFonts w:hint="eastAsia" w:asciiTheme="minorEastAsia" w:hAnsiTheme="minorEastAsia" w:cstheme="minorEastAsia"/>
          <w:sz w:val="24"/>
        </w:rPr>
        <w:t>承受</w:t>
      </w:r>
      <w:r>
        <w:rPr>
          <w:rFonts w:hint="eastAsia" w:asciiTheme="minorEastAsia" w:hAnsiTheme="minorEastAsia" w:cstheme="minorEastAsia"/>
          <w:sz w:val="24"/>
          <w:lang w:val="en-US" w:eastAsia="zh-CN"/>
        </w:rPr>
        <w:t>的</w:t>
      </w:r>
      <w:r>
        <w:rPr>
          <w:rFonts w:hint="eastAsia" w:asciiTheme="minorEastAsia" w:hAnsiTheme="minorEastAsia" w:cstheme="minorEastAsia"/>
          <w:sz w:val="24"/>
        </w:rPr>
        <w:t>风险</w:t>
      </w:r>
      <w:r>
        <w:rPr>
          <w:rFonts w:hint="eastAsia" w:asciiTheme="minorEastAsia" w:hAnsiTheme="minorEastAsia" w:cstheme="minorEastAsia"/>
          <w:sz w:val="24"/>
          <w:lang w:val="en-US" w:eastAsia="zh-CN"/>
        </w:rPr>
        <w:t>之间</w:t>
      </w:r>
      <w:r>
        <w:rPr>
          <w:rFonts w:hint="eastAsia" w:asciiTheme="minorEastAsia" w:hAnsiTheme="minorEastAsia" w:cstheme="minorEastAsia"/>
          <w:sz w:val="24"/>
        </w:rPr>
        <w:t>关系问题，两者同时考虑到套利策略的设计中。</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在以前学者研究的基础上，本文考虑到两种期货合约套利比例对套利效果的影响，本文将根据两期货之间的协整关系来确定其套利比例，对按照市场中性假设的以1:1比例套利的策略进行改进，因此本文</w:t>
      </w:r>
      <w:r>
        <w:rPr>
          <w:rFonts w:hint="eastAsia" w:asciiTheme="minorEastAsia" w:hAnsiTheme="minorEastAsia" w:cstheme="minorEastAsia"/>
          <w:sz w:val="24"/>
          <w:lang w:val="en-US" w:eastAsia="zh-CN"/>
        </w:rPr>
        <w:t>通过对国债期货之间的价差建立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Theme="minorEastAsia" w:hAnsiTheme="minorEastAsia" w:cstheme="minorEastAsia"/>
          <w:sz w:val="24"/>
        </w:rPr>
      </w:pPr>
      <w:r>
        <w:rPr>
          <w:rFonts w:hint="eastAsia" w:asciiTheme="minorEastAsia" w:hAnsiTheme="minorEastAsia" w:cstheme="minorEastAsia"/>
          <w:sz w:val="24"/>
        </w:rPr>
        <w:t>AR-GARCH模型</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然后</w:t>
      </w:r>
      <w:r>
        <w:rPr>
          <w:rFonts w:hint="eastAsia" w:asciiTheme="minorEastAsia" w:hAnsiTheme="minorEastAsia" w:cstheme="minorEastAsia"/>
          <w:sz w:val="24"/>
        </w:rPr>
        <w:t>对国债期货跨品种套利策略进行研究，并试图将风险控制加入策略的构建之中，根据</w:t>
      </w:r>
      <w:r>
        <w:rPr>
          <w:rFonts w:hint="eastAsia" w:asciiTheme="minorEastAsia" w:hAnsiTheme="minorEastAsia" w:cstheme="minorEastAsia"/>
          <w:sz w:val="24"/>
          <w:lang w:val="en-US" w:eastAsia="zh-CN"/>
        </w:rPr>
        <w:t>经验阈值</w:t>
      </w:r>
      <w:r>
        <w:rPr>
          <w:rFonts w:hint="eastAsia" w:asciiTheme="minorEastAsia" w:hAnsiTheme="minorEastAsia" w:cstheme="minorEastAsia"/>
          <w:sz w:val="24"/>
        </w:rPr>
        <w:t>来确定止损信号，在设计开平仓信号是考虑到收益与风险</w:t>
      </w:r>
      <w:r>
        <w:rPr>
          <w:rFonts w:hint="eastAsia" w:asciiTheme="minorEastAsia" w:hAnsiTheme="minorEastAsia" w:cstheme="minorEastAsia"/>
          <w:sz w:val="24"/>
          <w:lang w:val="en-US" w:eastAsia="zh-CN"/>
        </w:rPr>
        <w:t>之间</w:t>
      </w:r>
      <w:r>
        <w:rPr>
          <w:rFonts w:hint="eastAsia" w:asciiTheme="minorEastAsia" w:hAnsiTheme="minorEastAsia" w:cstheme="minorEastAsia"/>
          <w:sz w:val="24"/>
        </w:rPr>
        <w:t>的关系，以夏普比率最大化为目标确定开平仓交易信号从而设计最优国债期货跨品种套利策略。</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b w:val="0"/>
          <w:bCs/>
          <w:sz w:val="28"/>
          <w:szCs w:val="28"/>
        </w:rPr>
      </w:pPr>
      <w:bookmarkStart w:id="55" w:name="_Toc14884"/>
      <w:bookmarkStart w:id="56" w:name="_Toc29763"/>
      <w:bookmarkStart w:id="57" w:name="_Toc21865"/>
      <w:bookmarkStart w:id="58" w:name="_Toc7061"/>
      <w:bookmarkStart w:id="59" w:name="_Toc8347"/>
      <w:r>
        <w:rPr>
          <w:rFonts w:hint="eastAsia" w:ascii="黑体" w:hAnsi="黑体" w:eastAsia="黑体" w:cs="黑体"/>
          <w:b w:val="0"/>
          <w:bCs/>
          <w:sz w:val="28"/>
          <w:szCs w:val="28"/>
        </w:rPr>
        <w:t>1.3</w:t>
      </w:r>
      <w:r>
        <w:rPr>
          <w:rFonts w:hint="eastAsia" w:ascii="黑体" w:hAnsi="黑体" w:cs="黑体"/>
          <w:b w:val="0"/>
          <w:bCs/>
          <w:sz w:val="28"/>
          <w:szCs w:val="28"/>
          <w:lang w:val="en-US" w:eastAsia="zh-CN"/>
        </w:rPr>
        <w:t xml:space="preserve"> </w:t>
      </w:r>
      <w:r>
        <w:rPr>
          <w:rFonts w:hint="eastAsia" w:ascii="黑体" w:hAnsi="黑体" w:eastAsia="黑体" w:cs="黑体"/>
          <w:b w:val="0"/>
          <w:bCs/>
          <w:sz w:val="28"/>
          <w:szCs w:val="28"/>
        </w:rPr>
        <w:t>论文研究内容及方法</w:t>
      </w:r>
      <w:bookmarkEnd w:id="55"/>
      <w:bookmarkEnd w:id="56"/>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60" w:name="_Toc19562"/>
      <w:bookmarkStart w:id="61" w:name="_Toc2124"/>
      <w:bookmarkStart w:id="62" w:name="_Toc30367"/>
      <w:bookmarkStart w:id="63" w:name="_Toc29745"/>
      <w:bookmarkStart w:id="64" w:name="_Toc30500"/>
      <w:r>
        <w:rPr>
          <w:rFonts w:hint="eastAsia" w:ascii="黑体" w:hAnsi="黑体" w:eastAsia="黑体" w:cs="黑体"/>
          <w:b w:val="0"/>
          <w:bCs/>
          <w:sz w:val="28"/>
          <w:szCs w:val="28"/>
        </w:rPr>
        <w:t>1.3.</w:t>
      </w:r>
      <w:r>
        <w:rPr>
          <w:rFonts w:hint="eastAsia" w:ascii="黑体" w:hAnsi="黑体" w:eastAsia="黑体" w:cs="黑体"/>
          <w:b w:val="0"/>
          <w:bCs/>
          <w:sz w:val="28"/>
          <w:szCs w:val="28"/>
          <w:lang w:val="en-US" w:eastAsia="zh-CN"/>
        </w:rPr>
        <w:t xml:space="preserve">1 </w:t>
      </w:r>
      <w:r>
        <w:rPr>
          <w:rFonts w:hint="eastAsia" w:ascii="黑体" w:hAnsi="黑体" w:eastAsia="黑体" w:cs="黑体"/>
          <w:b w:val="0"/>
          <w:bCs/>
          <w:sz w:val="28"/>
          <w:szCs w:val="28"/>
        </w:rPr>
        <w:t>论文研究内容</w:t>
      </w:r>
      <w:bookmarkEnd w:id="60"/>
      <w:bookmarkEnd w:id="61"/>
      <w:bookmarkEnd w:id="62"/>
      <w:bookmarkEnd w:id="63"/>
      <w:bookmarkEnd w:id="64"/>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本文共分为五个部分，具体安排如下：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第一部分介绍研究背景及研究意义，对国内外</w:t>
      </w:r>
      <w:r>
        <w:rPr>
          <w:rFonts w:hint="eastAsia" w:asciiTheme="minorEastAsia" w:hAnsiTheme="minorEastAsia" w:cstheme="minorEastAsia"/>
          <w:color w:val="000000"/>
          <w:kern w:val="0"/>
          <w:sz w:val="24"/>
        </w:rPr>
        <w:t>不同品种期货合约跨品种套利研究、跨品种套利方法和统计套利交易阈值研究</w:t>
      </w:r>
      <w:r>
        <w:rPr>
          <w:rFonts w:hint="eastAsia" w:asciiTheme="minorEastAsia" w:hAnsiTheme="minorEastAsia" w:cstheme="minorEastAsia"/>
          <w:sz w:val="24"/>
        </w:rPr>
        <w:t>的文献进行归纳和总结，得出本文的研究方向及思路。</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rPr>
        <w:t>第</w:t>
      </w:r>
      <w:r>
        <w:rPr>
          <w:rFonts w:hint="eastAsia" w:asciiTheme="minorEastAsia" w:hAnsiTheme="minorEastAsia" w:cstheme="minorEastAsia"/>
          <w:sz w:val="24"/>
          <w:lang w:val="en-US" w:eastAsia="zh-CN"/>
        </w:rPr>
        <w:t>二</w:t>
      </w:r>
      <w:r>
        <w:rPr>
          <w:rFonts w:hint="eastAsia" w:asciiTheme="minorEastAsia" w:hAnsiTheme="minorEastAsia" w:cstheme="minorEastAsia"/>
          <w:sz w:val="24"/>
        </w:rPr>
        <w:t>部分介绍跨品种套利交易的理论基础，主要分析了跨品种套利的统计套利策略及其涉及</w:t>
      </w:r>
      <w:r>
        <w:rPr>
          <w:rFonts w:hint="eastAsia" w:asciiTheme="minorEastAsia" w:hAnsiTheme="minorEastAsia" w:cstheme="minorEastAsia"/>
          <w:color w:val="000000"/>
          <w:kern w:val="0"/>
          <w:sz w:val="24"/>
        </w:rPr>
        <w:t>的相关模型</w:t>
      </w:r>
      <w:r>
        <w:rPr>
          <w:rFonts w:hint="eastAsia" w:asciiTheme="minorEastAsia" w:hAnsiTheme="minorEastAsia" w:cstheme="minorEastAsia"/>
          <w:color w:val="000000"/>
          <w:kern w:val="0"/>
          <w:sz w:val="24"/>
          <w:lang w:eastAsia="zh-CN"/>
        </w:rPr>
        <w:t>，</w:t>
      </w:r>
      <w:r>
        <w:rPr>
          <w:rFonts w:hint="eastAsia" w:asciiTheme="minorEastAsia" w:hAnsiTheme="minorEastAsia" w:cstheme="minorEastAsia"/>
          <w:color w:val="000000"/>
          <w:kern w:val="0"/>
          <w:sz w:val="24"/>
          <w:lang w:val="en-US" w:eastAsia="zh-CN"/>
        </w:rPr>
        <w:t>说明了套利交易原则</w:t>
      </w:r>
      <w:r>
        <w:rPr>
          <w:rFonts w:hint="eastAsia" w:asciiTheme="minorEastAsia" w:hAnsiTheme="minorEastAsia" w:cstheme="minorEastAsia"/>
          <w:color w:val="000000"/>
          <w:kern w:val="0"/>
          <w:sz w:val="24"/>
        </w:rPr>
        <w:t>。</w:t>
      </w:r>
      <w:r>
        <w:rPr>
          <w:rFonts w:hint="eastAsia" w:asciiTheme="minorEastAsia" w:hAnsiTheme="minorEastAsia" w:cstheme="minorEastAsia"/>
          <w:sz w:val="24"/>
        </w:rPr>
        <w:t xml:space="preserve"> </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color w:val="000000"/>
          <w:kern w:val="0"/>
          <w:sz w:val="24"/>
        </w:rPr>
        <w:t>第</w:t>
      </w:r>
      <w:r>
        <w:rPr>
          <w:rFonts w:hint="eastAsia" w:asciiTheme="minorEastAsia" w:hAnsiTheme="minorEastAsia" w:cstheme="minorEastAsia"/>
          <w:color w:val="000000"/>
          <w:kern w:val="0"/>
          <w:sz w:val="24"/>
          <w:lang w:val="en-US" w:eastAsia="zh-CN"/>
        </w:rPr>
        <w:t>三</w:t>
      </w:r>
      <w:r>
        <w:rPr>
          <w:rFonts w:hint="eastAsia" w:asciiTheme="minorEastAsia" w:hAnsiTheme="minorEastAsia" w:cstheme="minorEastAsia"/>
          <w:color w:val="000000"/>
          <w:kern w:val="0"/>
          <w:sz w:val="24"/>
        </w:rPr>
        <w:t>部分为期货套利交易</w:t>
      </w:r>
      <w:r>
        <w:rPr>
          <w:rFonts w:hint="eastAsia" w:asciiTheme="minorEastAsia" w:hAnsiTheme="minorEastAsia" w:cstheme="minorEastAsia"/>
          <w:color w:val="000000"/>
          <w:kern w:val="0"/>
          <w:sz w:val="24"/>
          <w:lang w:val="en-US" w:eastAsia="zh-CN"/>
        </w:rPr>
        <w:t>发展现状的</w:t>
      </w:r>
      <w:r>
        <w:rPr>
          <w:rFonts w:hint="eastAsia" w:asciiTheme="minorEastAsia" w:hAnsiTheme="minorEastAsia" w:cstheme="minorEastAsia"/>
          <w:color w:val="000000"/>
          <w:kern w:val="0"/>
          <w:sz w:val="24"/>
        </w:rPr>
        <w:t>分析，主要对套利交易发展现状与问题、国债期货及其目前的套利现状和发展趋势进行分析。</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第四部分为跨品种套利策略设计及评估，首先对确定的交易对象的数据进行处理以及检验，</w:t>
      </w:r>
      <w:r>
        <w:rPr>
          <w:rFonts w:hint="eastAsia" w:asciiTheme="minorEastAsia" w:hAnsiTheme="minorEastAsia" w:cstheme="minorEastAsia"/>
          <w:sz w:val="24"/>
          <w:lang w:val="en-US" w:eastAsia="zh-CN"/>
        </w:rPr>
        <w:t>根据两种期货合约之间的协整关系来确定套利比例以及价差序列，</w:t>
      </w:r>
      <w:r>
        <w:rPr>
          <w:rFonts w:hint="eastAsia" w:asciiTheme="minorEastAsia" w:hAnsiTheme="minorEastAsia" w:cstheme="minorEastAsia"/>
          <w:sz w:val="24"/>
        </w:rPr>
        <w:t>建立国债期货跨品种套利模型</w:t>
      </w:r>
      <w:r>
        <w:rPr>
          <w:rFonts w:hint="eastAsia" w:asciiTheme="minorEastAsia" w:hAnsiTheme="minorEastAsia" w:cstheme="minorEastAsia"/>
          <w:sz w:val="24"/>
          <w:lang w:val="en-US" w:eastAsia="zh-CN"/>
        </w:rPr>
        <w:t>得到时变方差序列</w:t>
      </w:r>
      <w:r>
        <w:rPr>
          <w:rFonts w:hint="eastAsia" w:asciiTheme="minorEastAsia" w:hAnsiTheme="minorEastAsia" w:cstheme="minorEastAsia"/>
          <w:sz w:val="24"/>
        </w:rPr>
        <w:t>；然后</w:t>
      </w:r>
      <w:r>
        <w:rPr>
          <w:rFonts w:hint="eastAsia" w:asciiTheme="minorEastAsia" w:hAnsiTheme="minorEastAsia" w:cstheme="minorEastAsia"/>
          <w:sz w:val="24"/>
          <w:lang w:val="en-US" w:eastAsia="zh-CN"/>
        </w:rPr>
        <w:t>根据</w:t>
      </w:r>
      <w:r>
        <w:rPr>
          <w:rFonts w:hint="eastAsia" w:asciiTheme="minorEastAsia" w:hAnsiTheme="minorEastAsia" w:cstheme="minorEastAsia"/>
          <w:sz w:val="24"/>
        </w:rPr>
        <w:t>两种期货合约价差偏离其均衡价差</w:t>
      </w:r>
      <w:r>
        <w:rPr>
          <w:rFonts w:hint="eastAsia" w:asciiTheme="minorEastAsia" w:hAnsiTheme="minorEastAsia" w:cstheme="minorEastAsia"/>
          <w:sz w:val="24"/>
          <w:lang w:val="en-US" w:eastAsia="zh-CN"/>
        </w:rPr>
        <w:t>一定倍数的标准差</w:t>
      </w:r>
      <w:r>
        <w:rPr>
          <w:rFonts w:hint="eastAsia" w:asciiTheme="minorEastAsia" w:hAnsiTheme="minorEastAsia" w:cstheme="minorEastAsia"/>
          <w:sz w:val="24"/>
        </w:rPr>
        <w:t>设定交易信号和止损信号，建立套利策略。在交易信号的确定上，利用</w:t>
      </w:r>
      <w:r>
        <w:rPr>
          <w:rFonts w:hint="eastAsia" w:asciiTheme="minorEastAsia" w:hAnsiTheme="minorEastAsia" w:cstheme="minorEastAsia"/>
          <w:sz w:val="24"/>
          <w:lang w:val="en-US" w:eastAsia="zh-CN"/>
        </w:rPr>
        <w:t>之前学者研究的经验阈值</w:t>
      </w:r>
      <w:r>
        <w:rPr>
          <w:rFonts w:hint="eastAsia" w:asciiTheme="minorEastAsia" w:hAnsiTheme="minorEastAsia" w:cstheme="minorEastAsia"/>
          <w:sz w:val="24"/>
        </w:rPr>
        <w:t>来确定止损值，同时以夏普比率最大化为目标利用穷举法寻求最优</w:t>
      </w:r>
      <w:r>
        <w:rPr>
          <w:rFonts w:hint="eastAsia" w:asciiTheme="minorEastAsia" w:hAnsiTheme="minorEastAsia" w:cstheme="minorEastAsia"/>
          <w:sz w:val="24"/>
          <w:lang w:val="en-US" w:eastAsia="zh-CN"/>
        </w:rPr>
        <w:t>对称</w:t>
      </w:r>
      <w:r>
        <w:rPr>
          <w:rFonts w:hint="eastAsia" w:asciiTheme="minorEastAsia" w:hAnsiTheme="minorEastAsia" w:cstheme="minorEastAsia"/>
          <w:sz w:val="24"/>
        </w:rPr>
        <w:t>开平仓阈值</w:t>
      </w:r>
      <w:r>
        <w:rPr>
          <w:rFonts w:hint="eastAsia" w:asciiTheme="minorEastAsia" w:hAnsiTheme="minorEastAsia" w:cstheme="minorEastAsia"/>
          <w:sz w:val="24"/>
          <w:lang w:val="en-US" w:eastAsia="zh-CN"/>
        </w:rPr>
        <w:t>和非对称交易阈值</w:t>
      </w:r>
      <w:r>
        <w:rPr>
          <w:rFonts w:hint="eastAsia" w:asciiTheme="minorEastAsia" w:hAnsiTheme="minorEastAsia" w:cstheme="minorEastAsia"/>
          <w:sz w:val="24"/>
        </w:rPr>
        <w:t>，然后确定国债期货具体的最优套利方案。</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第五部分通过样本外数据测试评估和分析策略套利效果以及对该策略套利的收益进行比较分析，然后对该策略进行总结。</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65" w:name="_Toc29511"/>
      <w:bookmarkStart w:id="66" w:name="_Toc24051"/>
      <w:bookmarkStart w:id="67" w:name="_Toc1419"/>
      <w:bookmarkStart w:id="68" w:name="_Toc22948"/>
      <w:bookmarkStart w:id="69" w:name="_Toc2927"/>
      <w:r>
        <w:rPr>
          <w:rFonts w:hint="eastAsia" w:ascii="黑体" w:hAnsi="黑体" w:eastAsia="黑体" w:cs="黑体"/>
          <w:b w:val="0"/>
          <w:bCs/>
          <w:sz w:val="28"/>
          <w:szCs w:val="28"/>
        </w:rPr>
        <w:t>1.3.2</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论文研究方法</w:t>
      </w:r>
      <w:bookmarkEnd w:id="65"/>
      <w:bookmarkEnd w:id="66"/>
      <w:bookmarkEnd w:id="67"/>
      <w:bookmarkEnd w:id="68"/>
      <w:bookmarkEnd w:id="69"/>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1.文献研究法，通过查阅国内外套利相关的文献，对期货套利的理论得到了进一步的认识，通过对现有的跨品种套利策略进行研究，了解了当前跨品种套利最新的研究动向以及较好的套利策略，为本文的套利方案的设计提供了理论依据。</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2.计量模型分析法，在套利方案设计中利用</w:t>
      </w:r>
      <w:r>
        <w:rPr>
          <w:rFonts w:hint="default" w:ascii="Times New Roman" w:hAnsi="Times New Roman" w:cs="Times New Roman"/>
          <w:sz w:val="24"/>
        </w:rPr>
        <w:t>Eviews</w:t>
      </w:r>
      <w:r>
        <w:rPr>
          <w:rFonts w:hint="eastAsia" w:asciiTheme="minorEastAsia" w:hAnsiTheme="minorEastAsia" w:cstheme="minorEastAsia"/>
          <w:sz w:val="24"/>
        </w:rPr>
        <w:t>软件对两种国债期货样本内的价格序列分别进行平稳性检验、协整检验；在存在长期协整关系的基础上，以两期货长期协整关系式计算价差序列，然后对去中心化后的价差序列进行自相关性及ARCH检验，然后建立AR-GARCH模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3.理论与实证相结合的方法，在国债期货与量化投资的现状与发展层面结合国债期货套利所需用到的相关理论为基础，建立了两种不同的量化交易方案并进行实证研究，并对研究结果作出收益的比较分析与总结。</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4.对比分析法，在交易信号的确定中利用对比分析，使用穷举法历遍寻求所有的止损阈值、开仓阈值，将不同止损、开平仓阈值下的夏普比率进行对比分析，得出最优开平仓阈值；在套利结果分析中，对样本内外数据的套利效果进行对比分析，运用对比分析验证该方案的有效性及该策略的可行性。</w:t>
      </w:r>
    </w:p>
    <w:p>
      <w:pPr>
        <w:pStyle w:val="3"/>
        <w:keepNext/>
        <w:keepLines/>
        <w:pageBreakBefore w:val="0"/>
        <w:widowControl w:val="0"/>
        <w:kinsoku/>
        <w:wordWrap/>
        <w:overflowPunct/>
        <w:topLinePunct w:val="0"/>
        <w:autoSpaceDE/>
        <w:autoSpaceDN/>
        <w:bidi w:val="0"/>
        <w:adjustRightInd/>
        <w:snapToGrid/>
        <w:spacing w:before="480" w:after="120" w:line="400" w:lineRule="exact"/>
        <w:jc w:val="both"/>
        <w:textAlignment w:val="auto"/>
        <w:rPr>
          <w:rFonts w:hint="eastAsia" w:ascii="黑体" w:hAnsi="黑体" w:eastAsia="黑体" w:cs="黑体"/>
          <w:b w:val="0"/>
          <w:bCs/>
          <w:sz w:val="28"/>
          <w:szCs w:val="28"/>
        </w:rPr>
      </w:pPr>
      <w:bookmarkStart w:id="70" w:name="_Toc1921"/>
      <w:bookmarkStart w:id="71" w:name="_Toc21232"/>
      <w:bookmarkStart w:id="72" w:name="_Toc29338"/>
      <w:bookmarkStart w:id="73" w:name="_Toc15944"/>
      <w:bookmarkStart w:id="74" w:name="_Toc5538"/>
      <w:r>
        <w:rPr>
          <w:rFonts w:hint="eastAsia" w:ascii="黑体" w:hAnsi="黑体" w:eastAsia="黑体" w:cs="黑体"/>
          <w:b w:val="0"/>
          <w:bCs/>
          <w:sz w:val="28"/>
          <w:szCs w:val="28"/>
        </w:rPr>
        <w:t>1.4</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论文可能的创新及不足</w:t>
      </w:r>
      <w:bookmarkEnd w:id="70"/>
      <w:bookmarkEnd w:id="71"/>
      <w:bookmarkEnd w:id="72"/>
      <w:bookmarkEnd w:id="73"/>
      <w:bookmarkEnd w:id="74"/>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outlineLvl w:val="2"/>
        <w:rPr>
          <w:rFonts w:asciiTheme="minorEastAsia" w:hAnsiTheme="minorEastAsia" w:cstheme="minorEastAsia"/>
          <w:sz w:val="24"/>
        </w:rPr>
      </w:pPr>
      <w:r>
        <w:rPr>
          <w:rFonts w:hint="eastAsia" w:asciiTheme="minorEastAsia" w:hAnsiTheme="minorEastAsia" w:cstheme="minorEastAsia"/>
          <w:sz w:val="24"/>
        </w:rPr>
        <w:t xml:space="preserve"> </w:t>
      </w:r>
      <w:bookmarkStart w:id="75" w:name="_Toc28735"/>
      <w:bookmarkStart w:id="76" w:name="_Toc26933"/>
      <w:r>
        <w:rPr>
          <w:rFonts w:hint="eastAsia" w:asciiTheme="minorEastAsia" w:hAnsiTheme="minorEastAsia" w:cstheme="minorEastAsia"/>
          <w:sz w:val="24"/>
          <w:lang w:val="en-US" w:eastAsia="zh-CN"/>
        </w:rPr>
        <w:t>1.</w:t>
      </w:r>
      <w:r>
        <w:rPr>
          <w:rFonts w:hint="eastAsia" w:asciiTheme="minorEastAsia" w:hAnsiTheme="minorEastAsia" w:cstheme="minorEastAsia"/>
          <w:sz w:val="24"/>
        </w:rPr>
        <w:t>本文的可能创新总结为以下三点：</w:t>
      </w:r>
      <w:bookmarkEnd w:id="75"/>
      <w:bookmarkEnd w:id="76"/>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在现有的文献中虽然很多学者引入了GARCH模型</w:t>
      </w:r>
      <w:r>
        <w:rPr>
          <w:rFonts w:hint="eastAsia" w:asciiTheme="minorEastAsia" w:hAnsiTheme="minorEastAsia" w:cstheme="minorEastAsia"/>
          <w:sz w:val="24"/>
          <w:lang w:val="en-US" w:eastAsia="zh-CN"/>
        </w:rPr>
        <w:t>弥补了</w:t>
      </w:r>
      <w:r>
        <w:rPr>
          <w:rFonts w:hint="eastAsia" w:asciiTheme="minorEastAsia" w:hAnsiTheme="minorEastAsia" w:cstheme="minorEastAsia"/>
          <w:sz w:val="24"/>
        </w:rPr>
        <w:t>方差恒定的缺陷，同时又设定了止损阈值来控制风险，但是没有考虑收益与风险之间的关系，本文将从夏普比率最大化的角度</w:t>
      </w:r>
      <w:r>
        <w:rPr>
          <w:rFonts w:hint="eastAsia" w:asciiTheme="minorEastAsia" w:hAnsiTheme="minorEastAsia" w:cstheme="minorEastAsia"/>
          <w:sz w:val="24"/>
          <w:lang w:val="en-US" w:eastAsia="zh-CN"/>
        </w:rPr>
        <w:t>倒推</w:t>
      </w:r>
      <w:r>
        <w:rPr>
          <w:rFonts w:hint="eastAsia" w:asciiTheme="minorEastAsia" w:hAnsiTheme="minorEastAsia" w:cstheme="minorEastAsia"/>
          <w:sz w:val="24"/>
        </w:rPr>
        <w:t>交易策略，一方面考虑了单位风险下获得的收益，另一方面以夏普比率最大化为目标通过对开仓阈值参数进行调试以挑选最优的参数组合，改进了经验值的缺陷。</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（2）在交易信号的设计上将对称交易信号的策略与非对称交易信号的策略进行比较，发现非对称交易信号的策略要更优。</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（3）</w:t>
      </w:r>
      <w:r>
        <w:rPr>
          <w:rFonts w:hint="eastAsia" w:asciiTheme="minorEastAsia" w:hAnsiTheme="minorEastAsia" w:cstheme="minorEastAsia"/>
          <w:sz w:val="24"/>
        </w:rPr>
        <w:t>国内对利用GARCH模型进行国债期货跨品种套利的研究较少，本文利用两种期货合约价格间的长期稳定关系得出最佳套利组合比例，对原有的套利模型进行了改进，</w:t>
      </w:r>
      <w:r>
        <w:rPr>
          <w:rFonts w:hint="eastAsia" w:asciiTheme="minorEastAsia" w:hAnsiTheme="minorEastAsia" w:cstheme="minorEastAsia"/>
          <w:sz w:val="24"/>
          <w:lang w:val="en-US" w:eastAsia="zh-CN"/>
        </w:rPr>
        <w:t>选择</w:t>
      </w:r>
      <w:r>
        <w:rPr>
          <w:rFonts w:hint="eastAsia" w:asciiTheme="minorEastAsia" w:hAnsiTheme="minorEastAsia" w:cstheme="minorEastAsia"/>
          <w:sz w:val="24"/>
        </w:rPr>
        <w:t>更合适的模型来设计我国国债期货市场的跨品种套利策略。</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outlineLvl w:val="2"/>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 xml:space="preserve"> </w:t>
      </w:r>
      <w:bookmarkStart w:id="77" w:name="_Toc18301"/>
      <w:bookmarkStart w:id="78" w:name="_Toc28105"/>
      <w:r>
        <w:rPr>
          <w:rFonts w:hint="eastAsia" w:asciiTheme="minorEastAsia" w:hAnsiTheme="minorEastAsia" w:cstheme="minorEastAsia"/>
          <w:sz w:val="24"/>
          <w:lang w:val="en-US" w:eastAsia="zh-CN"/>
        </w:rPr>
        <w:t>2.本文的不足</w:t>
      </w:r>
      <w:bookmarkEnd w:id="77"/>
      <w:bookmarkEnd w:id="78"/>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1）本文是利用两种期货之间长期均衡关系来建立协整模型，从而确定价差序列，然而很多交易品种理论上存在长期均衡关系，但不一定能通过协整检验，故本文对套利品种之间的关系条件要求严格，策略存在一定的局限性。</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（2）本文使用的AR-GARCH模型对价差的波动预测时间过长可能存在预测无效的情况，故需要对策略进行定期更新。</w:t>
      </w:r>
    </w:p>
    <w:p>
      <w:pPr>
        <w:pStyle w:val="2"/>
        <w:keepNext/>
        <w:keepLines/>
        <w:pageBreakBefore w:val="0"/>
        <w:widowControl w:val="0"/>
        <w:numPr>
          <w:ilvl w:val="0"/>
          <w:numId w:val="0"/>
        </w:numPr>
        <w:kinsoku/>
        <w:wordWrap/>
        <w:overflowPunct/>
        <w:topLinePunct w:val="0"/>
        <w:autoSpaceDE/>
        <w:autoSpaceDN/>
        <w:bidi w:val="0"/>
        <w:adjustRightInd/>
        <w:snapToGrid/>
        <w:spacing w:before="480" w:after="360" w:line="400" w:lineRule="exact"/>
        <w:ind w:firstLine="0" w:firstLineChars="0"/>
        <w:jc w:val="center"/>
        <w:textAlignment w:val="auto"/>
        <w:rPr>
          <w:rFonts w:hint="eastAsia" w:ascii="黑体" w:hAnsi="黑体" w:eastAsia="黑体" w:cs="黑体"/>
          <w:b w:val="0"/>
          <w:bCs w:val="0"/>
          <w:sz w:val="32"/>
          <w:szCs w:val="32"/>
        </w:rPr>
      </w:pPr>
      <w:bookmarkStart w:id="79" w:name="_Toc4178"/>
      <w:bookmarkStart w:id="80" w:name="_Toc13325"/>
      <w:bookmarkStart w:id="81" w:name="_Toc30020"/>
      <w:bookmarkStart w:id="82" w:name="_Toc4845"/>
      <w:bookmarkStart w:id="83" w:name="_Toc12031"/>
      <w:r>
        <w:rPr>
          <w:rFonts w:hint="eastAsia" w:ascii="黑体" w:hAnsi="黑体" w:eastAsia="黑体" w:cs="黑体"/>
          <w:b w:val="0"/>
          <w:bCs w:val="0"/>
          <w:sz w:val="32"/>
          <w:szCs w:val="32"/>
          <w:lang w:val="en-US" w:eastAsia="zh-CN"/>
        </w:rPr>
        <w:t xml:space="preserve">2 </w:t>
      </w:r>
      <w:r>
        <w:rPr>
          <w:rFonts w:hint="eastAsia" w:ascii="黑体" w:hAnsi="黑体" w:eastAsia="黑体" w:cs="黑体"/>
          <w:b w:val="0"/>
          <w:bCs w:val="0"/>
          <w:sz w:val="32"/>
          <w:szCs w:val="32"/>
        </w:rPr>
        <w:t>期货跨品种套利的理论基础</w:t>
      </w:r>
      <w:bookmarkEnd w:id="79"/>
      <w:bookmarkEnd w:id="80"/>
      <w:bookmarkEnd w:id="81"/>
      <w:bookmarkEnd w:id="82"/>
      <w:bookmarkEnd w:id="83"/>
    </w:p>
    <w:p>
      <w:pPr>
        <w:pStyle w:val="12"/>
        <w:keepNext w:val="0"/>
        <w:keepLines w:val="0"/>
        <w:pageBreakBefore w:val="0"/>
        <w:widowControl/>
        <w:suppressLineNumbers w:val="0"/>
        <w:kinsoku/>
        <w:wordWrap w:val="0"/>
        <w:overflowPunct/>
        <w:topLinePunct w:val="0"/>
        <w:autoSpaceDE/>
        <w:autoSpaceDN/>
        <w:bidi w:val="0"/>
        <w:adjustRightInd/>
        <w:snapToGrid/>
        <w:spacing w:beforeAutospacing="0" w:afterAutospacing="0" w:line="400" w:lineRule="exact"/>
        <w:ind w:left="0" w:right="0" w:firstLine="480" w:firstLineChars="200"/>
        <w:jc w:val="both"/>
        <w:textAlignment w:val="auto"/>
        <w:rPr>
          <w:rFonts w:hint="eastAsia" w:ascii="宋体" w:hAnsi="宋体" w:eastAsia="宋体" w:cs="宋体"/>
          <w:sz w:val="24"/>
        </w:rPr>
      </w:pPr>
      <w:r>
        <w:rPr>
          <w:rFonts w:hint="eastAsia" w:ascii="宋体" w:hAnsi="宋体" w:eastAsia="宋体" w:cs="宋体"/>
          <w:sz w:val="24"/>
          <w:lang w:val="en-US" w:eastAsia="zh-CN"/>
        </w:rPr>
        <w:t>本文是基于统计套利原理的跨品种套利策略，而</w:t>
      </w:r>
      <w:r>
        <w:rPr>
          <w:rFonts w:hint="eastAsia" w:ascii="宋体" w:hAnsi="宋体" w:eastAsia="宋体" w:cs="宋体"/>
          <w:sz w:val="24"/>
        </w:rPr>
        <w:t>统计套利是经典的量化投资策略之一，在对冲基金公司中应用广泛，该类型策略的主要特点有：</w:t>
      </w:r>
      <w:r>
        <w:rPr>
          <w:rFonts w:hint="eastAsia" w:ascii="宋体" w:hAnsi="宋体" w:eastAsia="宋体" w:cs="宋体"/>
          <w:sz w:val="24"/>
          <w:lang w:eastAsia="zh-CN"/>
        </w:rPr>
        <w:t>（</w:t>
      </w:r>
      <w:r>
        <w:rPr>
          <w:rFonts w:hint="eastAsia" w:ascii="宋体" w:hAnsi="宋体" w:eastAsia="宋体" w:cs="宋体"/>
          <w:sz w:val="24"/>
          <w:lang w:val="en-US" w:eastAsia="zh-CN"/>
        </w:rPr>
        <w:t>1</w:t>
      </w:r>
      <w:r>
        <w:rPr>
          <w:rFonts w:hint="eastAsia" w:ascii="宋体" w:hAnsi="宋体" w:eastAsia="宋体" w:cs="宋体"/>
          <w:sz w:val="24"/>
          <w:lang w:eastAsia="zh-CN"/>
        </w:rPr>
        <w:t>）</w:t>
      </w:r>
      <w:r>
        <w:rPr>
          <w:rFonts w:hint="eastAsia" w:ascii="宋体" w:hAnsi="宋体" w:eastAsia="宋体" w:cs="宋体"/>
          <w:sz w:val="24"/>
        </w:rPr>
        <w:t>主要的方法为统计方法；</w:t>
      </w: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rPr>
        <w:t>统计套利一般都是程序化交易；</w:t>
      </w:r>
      <w:r>
        <w:rPr>
          <w:rFonts w:hint="eastAsia" w:ascii="宋体" w:hAnsi="宋体" w:eastAsia="宋体" w:cs="宋体"/>
          <w:sz w:val="24"/>
          <w:lang w:eastAsia="zh-CN"/>
        </w:rPr>
        <w:t>（</w:t>
      </w:r>
      <w:r>
        <w:rPr>
          <w:rFonts w:hint="eastAsia" w:ascii="宋体" w:hAnsi="宋体" w:eastAsia="宋体" w:cs="宋体"/>
          <w:sz w:val="24"/>
          <w:lang w:val="en-US" w:eastAsia="zh-CN"/>
        </w:rPr>
        <w:t>3</w:t>
      </w:r>
      <w:r>
        <w:rPr>
          <w:rFonts w:hint="eastAsia" w:ascii="宋体" w:hAnsi="宋体" w:eastAsia="宋体" w:cs="宋体"/>
          <w:sz w:val="24"/>
          <w:lang w:eastAsia="zh-CN"/>
        </w:rPr>
        <w:t>）</w:t>
      </w:r>
      <w:r>
        <w:rPr>
          <w:rFonts w:hint="eastAsia" w:ascii="宋体" w:hAnsi="宋体" w:eastAsia="宋体" w:cs="宋体"/>
          <w:sz w:val="24"/>
        </w:rPr>
        <w:t>追求市场中性；</w:t>
      </w:r>
      <w:r>
        <w:rPr>
          <w:rFonts w:hint="eastAsia" w:ascii="宋体" w:hAnsi="宋体" w:eastAsia="宋体" w:cs="宋体"/>
          <w:sz w:val="24"/>
          <w:lang w:eastAsia="zh-CN"/>
        </w:rPr>
        <w:t>（</w:t>
      </w:r>
      <w:r>
        <w:rPr>
          <w:rFonts w:hint="eastAsia" w:ascii="宋体" w:hAnsi="宋体" w:eastAsia="宋体" w:cs="宋体"/>
          <w:sz w:val="24"/>
          <w:lang w:val="en-US" w:eastAsia="zh-CN"/>
        </w:rPr>
        <w:t>4</w:t>
      </w:r>
      <w:r>
        <w:rPr>
          <w:rFonts w:hint="eastAsia" w:ascii="宋体" w:hAnsi="宋体" w:eastAsia="宋体" w:cs="宋体"/>
          <w:sz w:val="24"/>
          <w:lang w:eastAsia="zh-CN"/>
        </w:rPr>
        <w:t>）</w:t>
      </w:r>
      <w:r>
        <w:rPr>
          <w:rFonts w:hint="eastAsia" w:ascii="宋体" w:hAnsi="宋体" w:eastAsia="宋体" w:cs="宋体"/>
          <w:sz w:val="24"/>
        </w:rPr>
        <w:t>交易高频率。统计套利策略一般包括</w:t>
      </w:r>
      <w:r>
        <w:rPr>
          <w:rFonts w:hint="eastAsia" w:ascii="宋体" w:hAnsi="宋体" w:eastAsia="宋体" w:cs="宋体"/>
          <w:color w:val="000000"/>
          <w:kern w:val="0"/>
          <w:sz w:val="24"/>
        </w:rPr>
        <w:t>配对交易策略、均值回归策略、主成分分析法和协整策略</w:t>
      </w:r>
      <w:r>
        <w:rPr>
          <w:rFonts w:hint="eastAsia" w:ascii="宋体" w:hAnsi="宋体" w:eastAsia="宋体" w:cs="宋体"/>
          <w:sz w:val="24"/>
          <w:lang w:eastAsia="zh-CN"/>
        </w:rPr>
        <w:t>。</w:t>
      </w:r>
      <w:r>
        <w:rPr>
          <w:rFonts w:hint="eastAsia" w:ascii="宋体" w:hAnsi="宋体" w:eastAsia="宋体" w:cs="宋体"/>
          <w:sz w:val="24"/>
          <w:lang w:val="en-US" w:eastAsia="zh-CN"/>
        </w:rPr>
        <w:t>配对交易策略是一种市场中性策略，是指通过对历史股价走势相近的股票进行配对，在配对股票之间的价差偏离历史均值时，做空股价较高的股票同时买入股价较低的股票，当股价回归到长期均衡关系时进行反向操作，从而赚取两种股票价格收敛的报酬</w:t>
      </w:r>
      <w:r>
        <w:rPr>
          <w:rFonts w:hint="eastAsia" w:ascii="宋体" w:hAnsi="宋体" w:eastAsia="宋体" w:cs="宋体"/>
          <w:color w:val="000000"/>
          <w:kern w:val="0"/>
          <w:sz w:val="24"/>
        </w:rPr>
        <w:t>。</w:t>
      </w:r>
      <w:r>
        <w:rPr>
          <w:rFonts w:hint="eastAsia" w:ascii="宋体" w:hAnsi="宋体" w:eastAsia="宋体" w:cs="宋体"/>
          <w:color w:val="000000"/>
          <w:kern w:val="0"/>
          <w:sz w:val="24"/>
          <w:lang w:val="en-US" w:eastAsia="zh-CN"/>
        </w:rPr>
        <w:t>均值回归策</w:t>
      </w:r>
      <w:r>
        <w:rPr>
          <w:rFonts w:hint="eastAsia" w:ascii="宋体" w:hAnsi="宋体" w:eastAsia="宋体" w:cs="宋体"/>
          <w:sz w:val="24"/>
          <w:lang w:val="en-US" w:eastAsia="zh-CN"/>
        </w:rPr>
        <w:t>略是利用股票价格无论高于或低于均值都会以很高的概率向均值回归，因此在价格偏离均值时买入或卖出股票，在价格回归到均值时反向操作，从中赚取差价的套利策略。主成分分析法是利用主成分分析确定股票池的主成分变量，以此来建立套利策略。</w:t>
      </w:r>
      <w:r>
        <w:rPr>
          <w:rFonts w:hint="eastAsia" w:ascii="宋体" w:hAnsi="宋体" w:eastAsia="宋体" w:cs="宋体"/>
          <w:color w:val="000000"/>
          <w:kern w:val="0"/>
          <w:sz w:val="24"/>
          <w:lang w:val="en-US" w:eastAsia="zh-CN"/>
        </w:rPr>
        <w:t>本文是基于统计套利原理的国债期货跨品种套利，</w:t>
      </w:r>
      <w:r>
        <w:rPr>
          <w:rFonts w:hint="eastAsia" w:ascii="宋体" w:hAnsi="宋体" w:eastAsia="宋体" w:cs="宋体"/>
          <w:color w:val="000000"/>
          <w:kern w:val="0"/>
          <w:sz w:val="24"/>
        </w:rPr>
        <w:t>在此就与本文套利策略相关的协整策略进行详细阐述。</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84" w:name="_Toc21564"/>
      <w:bookmarkStart w:id="85" w:name="_Toc6769"/>
      <w:bookmarkStart w:id="86" w:name="_Toc25483"/>
      <w:bookmarkStart w:id="87" w:name="_Toc12051"/>
      <w:bookmarkStart w:id="88" w:name="_Toc28519"/>
      <w:r>
        <w:rPr>
          <w:rFonts w:hint="eastAsia" w:ascii="黑体" w:hAnsi="黑体" w:cs="黑体"/>
          <w:b w:val="0"/>
          <w:bCs/>
          <w:sz w:val="28"/>
          <w:szCs w:val="28"/>
          <w:lang w:val="en-US" w:eastAsia="zh-CN"/>
        </w:rPr>
        <w:t>2</w:t>
      </w:r>
      <w:r>
        <w:rPr>
          <w:rFonts w:hint="eastAsia" w:ascii="黑体" w:hAnsi="黑体" w:eastAsia="黑体" w:cs="黑体"/>
          <w:b w:val="0"/>
          <w:bCs/>
          <w:sz w:val="28"/>
          <w:szCs w:val="28"/>
        </w:rPr>
        <w:t>.1</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基于协整模型的跨品种统计套利</w:t>
      </w:r>
      <w:bookmarkEnd w:id="84"/>
      <w:bookmarkEnd w:id="85"/>
      <w:bookmarkEnd w:id="86"/>
      <w:bookmarkEnd w:id="87"/>
      <w:bookmarkEnd w:id="88"/>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在跨品种套利中首先选择两个相关性较强的期货合约，其价格序列具有一定的相关性，然后判断两者之间的关系从长远来看是否稳定，若依旧稳定，则说明两中期货合约价格序列之间具有协整关系。即使短期内价差偏离这种均衡关系时，长期也将回复到合理价差区间。</w:t>
      </w:r>
    </w:p>
    <w:p>
      <w:pPr>
        <w:bidi w:val="0"/>
        <w:ind w:firstLine="420" w:firstLineChars="200"/>
        <w:rPr>
          <w:rFonts w:hint="eastAsia"/>
          <w:lang w:val="en-US" w:eastAsia="zh-CN"/>
        </w:rPr>
      </w:pPr>
      <w:bookmarkStart w:id="89" w:name="_Toc27434"/>
      <w:bookmarkStart w:id="90" w:name="_Toc11431"/>
      <w:bookmarkStart w:id="91" w:name="_Toc30441"/>
      <w:bookmarkStart w:id="92" w:name="_Toc14346"/>
      <w:r>
        <w:rPr>
          <w:rFonts w:hint="eastAsia" w:asciiTheme="minorEastAsia" w:hAnsiTheme="minorEastAsia" w:eastAsiaTheme="minorEastAsia" w:cstheme="minorEastAsia"/>
          <w:lang w:val="en-US" w:eastAsia="zh-CN"/>
        </w:rPr>
        <w:t>1.</w:t>
      </w:r>
      <w:r>
        <w:rPr>
          <w:rFonts w:hint="eastAsia"/>
        </w:rPr>
        <w:t>相关性</w:t>
      </w:r>
      <w:r>
        <w:rPr>
          <w:rFonts w:hint="eastAsia"/>
          <w:lang w:val="en-US" w:eastAsia="zh-CN"/>
        </w:rPr>
        <w:t>分析</w:t>
      </w:r>
      <w:bookmarkEnd w:id="89"/>
      <w:bookmarkEnd w:id="90"/>
      <w:bookmarkEnd w:id="91"/>
      <w:bookmarkEnd w:id="92"/>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rPr>
        <w:t>一般来说，不同期货品种之间相关性越高，其反映在其价格上就会使得同涨同跌的趋势现象越明显，通过对冲操作可以对分析进行对冲，从而出现套利机会的可能性越大。两种期货X、Y的相关程度可以用相关系数r来衡量，</w:t>
      </w:r>
      <w:r>
        <w:rPr>
          <w:rFonts w:hint="eastAsia" w:asciiTheme="minorEastAsia" w:hAnsiTheme="minorEastAsia" w:cstheme="minorEastAsia"/>
          <w:sz w:val="24"/>
          <w:lang w:val="en-US" w:eastAsia="zh-CN"/>
        </w:rPr>
        <w:t>如下式（2.1）</w:t>
      </w:r>
    </w:p>
    <w:p>
      <w:pPr>
        <w:widowControl/>
        <w:spacing w:line="360" w:lineRule="auto"/>
        <w:ind w:firstLine="480" w:firstLineChars="200"/>
        <w:rPr>
          <w:rFonts w:hint="eastAsia" w:asciiTheme="minorEastAsia" w:hAnsiTheme="minorEastAsia" w:cstheme="minorEastAsia"/>
          <w:sz w:val="24"/>
          <w:lang w:eastAsia="zh-CN"/>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position w:val="-36"/>
          <w:sz w:val="24"/>
          <w:lang w:val="en-US" w:eastAsia="zh-CN"/>
        </w:rPr>
        <w:t xml:space="preserve">  </w:t>
      </w:r>
      <w:r>
        <w:rPr>
          <w:rFonts w:hint="eastAsia" w:asciiTheme="minorEastAsia" w:hAnsiTheme="minorEastAsia" w:cstheme="minorEastAsia"/>
          <w:position w:val="-36"/>
          <w:sz w:val="24"/>
        </w:rPr>
        <w:object>
          <v:shape id="_x0000_i1026" o:spt="75" type="#_x0000_t75" style="height:40.5pt;width:154.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Theme="minorEastAsia" w:hAnsiTheme="minorEastAsia" w:cstheme="minorEastAsia"/>
          <w:position w:val="-36"/>
          <w:sz w:val="24"/>
          <w:lang w:val="en-US" w:eastAsia="zh-CN"/>
        </w:rPr>
        <w:t xml:space="preserve">                 </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2.1</w:t>
      </w:r>
      <w:r>
        <w:rPr>
          <w:rFonts w:hint="eastAsia" w:asciiTheme="minorEastAsia" w:hAnsiTheme="minorEastAsia" w:cstheme="minorEastAsia"/>
          <w:sz w:val="24"/>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相</w:t>
      </w:r>
      <w:r>
        <w:rPr>
          <w:rFonts w:hint="eastAsia" w:asciiTheme="minorEastAsia" w:hAnsiTheme="minorEastAsia" w:cstheme="minorEastAsia"/>
          <w:sz w:val="24"/>
        </w:rPr>
        <w:t>关系数r取值在-1到1之间，其中-1表示两者之间完全负相关，且变动方向相反；1表示两者之间完全正相关，变动方向一致。则|r|在0到1之间，|r|越大说明两者之间的相关性越大，X、Y越相关，|r|越靠近0说明两者之间的相关性越小，越不相关。</w:t>
      </w:r>
    </w:p>
    <w:p>
      <w:pPr>
        <w:bidi w:val="0"/>
        <w:ind w:firstLine="420" w:firstLineChars="200"/>
        <w:rPr>
          <w:rFonts w:hint="eastAsia"/>
        </w:rPr>
      </w:pPr>
      <w:bookmarkStart w:id="93" w:name="_Toc14231"/>
      <w:bookmarkStart w:id="94" w:name="_Toc31059"/>
      <w:bookmarkStart w:id="95" w:name="_Toc5516"/>
      <w:bookmarkStart w:id="96" w:name="_Toc24366"/>
      <w:r>
        <w:rPr>
          <w:rFonts w:hint="eastAsia" w:asciiTheme="minorEastAsia" w:hAnsiTheme="minorEastAsia" w:eastAsiaTheme="minorEastAsia" w:cstheme="minorEastAsia"/>
          <w:lang w:val="en-US" w:eastAsia="zh-CN"/>
        </w:rPr>
        <w:t>2.</w:t>
      </w:r>
      <w:r>
        <w:rPr>
          <w:rFonts w:hint="eastAsia"/>
        </w:rPr>
        <w:t>基于协整模型的套利设计</w:t>
      </w:r>
      <w:bookmarkEnd w:id="93"/>
      <w:bookmarkEnd w:id="94"/>
      <w:bookmarkEnd w:id="95"/>
      <w:bookmarkEnd w:id="96"/>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在判断两期货价格之间存在较强的相关性后，首先对两种期货价格序列进行平稳性检验，然而</w:t>
      </w:r>
      <w:r>
        <w:rPr>
          <w:rFonts w:hint="eastAsia" w:asciiTheme="minorEastAsia" w:hAnsiTheme="minorEastAsia" w:cstheme="minorEastAsia"/>
          <w:sz w:val="24"/>
        </w:rPr>
        <w:t>金融时间序列的一个显著的特点就是其序列通常不平稳</w:t>
      </w:r>
      <w:r>
        <w:rPr>
          <w:rFonts w:hint="eastAsia" w:asciiTheme="minorEastAsia" w:hAnsiTheme="minorEastAsia" w:cstheme="minorEastAsia"/>
          <w:sz w:val="24"/>
          <w:lang w:eastAsia="zh-CN"/>
        </w:rPr>
        <w:t>，</w:t>
      </w:r>
      <w:r>
        <w:rPr>
          <w:rFonts w:hint="eastAsia" w:asciiTheme="minorEastAsia" w:hAnsiTheme="minorEastAsia" w:cstheme="minorEastAsia"/>
          <w:sz w:val="24"/>
        </w:rPr>
        <w:t>许多时候建模通常采用差分的方式消除这种非平稳的趋势。但是，这种方法限制了许多经济金融问题的探讨，消除了序列中的一些特征。</w:t>
      </w:r>
      <w:r>
        <w:rPr>
          <w:rFonts w:hint="eastAsia" w:asciiTheme="minorEastAsia" w:hAnsiTheme="minorEastAsia" w:cstheme="minorEastAsia"/>
          <w:sz w:val="24"/>
          <w:lang w:val="en-US" w:eastAsia="zh-CN"/>
        </w:rPr>
        <w:t>故</w:t>
      </w:r>
      <w:r>
        <w:rPr>
          <w:rFonts w:hint="default" w:ascii="Times New Roman" w:hAnsi="Times New Roman" w:cs="Times New Roman"/>
          <w:sz w:val="24"/>
        </w:rPr>
        <w:t>Engle</w:t>
      </w:r>
      <w:r>
        <w:rPr>
          <w:rFonts w:hint="eastAsia" w:asciiTheme="minorEastAsia" w:hAnsiTheme="minorEastAsia" w:cstheme="minorEastAsia"/>
          <w:sz w:val="24"/>
        </w:rPr>
        <w:t>和</w:t>
      </w:r>
      <w:r>
        <w:rPr>
          <w:rFonts w:hint="default" w:ascii="Times New Roman" w:hAnsi="Times New Roman" w:cs="Times New Roman"/>
          <w:sz w:val="24"/>
        </w:rPr>
        <w:t>Granger</w:t>
      </w:r>
      <w:r>
        <w:rPr>
          <w:rFonts w:hint="eastAsia" w:asciiTheme="minorEastAsia" w:hAnsiTheme="minorEastAsia" w:cstheme="minorEastAsia"/>
          <w:sz w:val="24"/>
        </w:rPr>
        <w:t>在20世纪80年代提出了协整理论，建立了非平稳序列模型的方法</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认为</w:t>
      </w:r>
      <w:r>
        <w:rPr>
          <w:rFonts w:hint="eastAsia" w:asciiTheme="minorEastAsia" w:hAnsiTheme="minorEastAsia" w:cstheme="minorEastAsia"/>
          <w:sz w:val="24"/>
        </w:rPr>
        <w:t>一些非平稳时间序列的变量通过线性组合可能形成平稳的时间序列，说明几个变量之间存在着长期稳定的均衡关系。短期受到多种因素的干扰，序列可能偏离均值，但是随着时间的推移，偏离会逐渐消失，回到均衡状态。</w:t>
      </w:r>
      <w:r>
        <w:rPr>
          <w:rFonts w:hint="eastAsia" w:asciiTheme="minorEastAsia" w:hAnsiTheme="minorEastAsia" w:cstheme="minorEastAsia"/>
          <w:sz w:val="24"/>
          <w:lang w:val="en-US" w:eastAsia="zh-CN"/>
        </w:rPr>
        <w:t>故判断两者之间是否存在长期的均衡关系，即进行协整检验。</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判断变量之间是否存在协整关系的检验方法有多种，但是首先要确定的一定是变量之间在理论上存在着联系，在理论上可能存在着长期均衡关系。具备了理论支撑后才可以对其之间的协整关系进行检验，</w:t>
      </w:r>
      <w:r>
        <w:rPr>
          <w:rFonts w:hint="eastAsia" w:asciiTheme="minorEastAsia" w:hAnsiTheme="minorEastAsia" w:cstheme="minorEastAsia"/>
          <w:sz w:val="24"/>
          <w:lang w:val="en-US" w:eastAsia="zh-CN"/>
        </w:rPr>
        <w:t>可以通过</w:t>
      </w:r>
      <w:r>
        <w:rPr>
          <w:rFonts w:hint="eastAsia" w:asciiTheme="minorEastAsia" w:hAnsiTheme="minorEastAsia" w:cstheme="minorEastAsia"/>
          <w:sz w:val="24"/>
        </w:rPr>
        <w:t>常用的方法EG检验，主要通过对变量线性组合后的回归方程的残差进行单位根检验来检验变量之间的协整关系。当变量之间存在协整关系时，线性组合的回归方程能够解释二者之间的关系，对于被解释变量其存在的不能被解释变量所解释的部分就构成了残差序列，该序列应该是平稳的。因此，检验变量之间的协整关系就可以变成检验该残差序列是否是平稳序列。</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color w:val="000000"/>
          <w:kern w:val="0"/>
          <w:sz w:val="24"/>
        </w:rPr>
      </w:pPr>
      <w:r>
        <w:rPr>
          <w:rFonts w:hint="eastAsia" w:asciiTheme="minorEastAsia" w:hAnsiTheme="minorEastAsia" w:cstheme="minorEastAsia"/>
          <w:sz w:val="24"/>
        </w:rPr>
        <w:t>若两变量时间序列之间存在协整关系，则说明两变量之间存在长期均衡关系，短期受到多种因素的干扰，序列可能偏离均值，但是随着时间的推移，偏离会逐渐消失，回到均衡状态。因此可以利用均值回归的特性进行套利，当两种期货的价格的时间序列偏离长期均衡关系的均值时，对两种期货进行买入价格较低的期货同时卖出价格较高的期货，在价格回归时做反向操作，从而实现了套利。</w:t>
      </w:r>
    </w:p>
    <w:p>
      <w:pPr>
        <w:pStyle w:val="3"/>
        <w:keepNext/>
        <w:keepLines/>
        <w:pageBreakBefore w:val="0"/>
        <w:widowControl w:val="0"/>
        <w:kinsoku/>
        <w:wordWrap/>
        <w:overflowPunct/>
        <w:topLinePunct w:val="0"/>
        <w:autoSpaceDE/>
        <w:autoSpaceDN/>
        <w:bidi w:val="0"/>
        <w:adjustRightInd/>
        <w:snapToGrid/>
        <w:spacing w:before="480" w:after="120" w:line="400" w:lineRule="atLeast"/>
        <w:jc w:val="left"/>
        <w:textAlignment w:val="auto"/>
      </w:pPr>
      <w:bookmarkStart w:id="97" w:name="_Toc14098"/>
      <w:bookmarkStart w:id="98" w:name="_Toc31129"/>
      <w:bookmarkStart w:id="99" w:name="_Toc28384"/>
      <w:bookmarkStart w:id="100" w:name="_Toc30280"/>
      <w:bookmarkStart w:id="101" w:name="_Toc1305"/>
      <w:r>
        <w:rPr>
          <w:rFonts w:hint="eastAsia" w:ascii="黑体" w:hAnsi="黑体" w:cs="黑体"/>
          <w:b w:val="0"/>
          <w:bCs/>
          <w:sz w:val="28"/>
          <w:szCs w:val="28"/>
          <w:lang w:val="en-US" w:eastAsia="zh-CN"/>
        </w:rPr>
        <w:t>2</w:t>
      </w:r>
      <w:r>
        <w:rPr>
          <w:rFonts w:hint="eastAsia" w:ascii="黑体" w:hAnsi="黑体" w:eastAsia="黑体" w:cs="黑体"/>
          <w:b w:val="0"/>
          <w:bCs/>
          <w:sz w:val="28"/>
          <w:szCs w:val="28"/>
        </w:rPr>
        <w:t>.2</w:t>
      </w:r>
      <w:r>
        <w:rPr>
          <w:rFonts w:hint="eastAsia" w:ascii="黑体" w:hAnsi="黑体" w:cs="黑体"/>
          <w:b w:val="0"/>
          <w:bCs/>
          <w:sz w:val="28"/>
          <w:szCs w:val="28"/>
          <w:lang w:val="en-US" w:eastAsia="zh-CN"/>
        </w:rPr>
        <w:t xml:space="preserve"> </w:t>
      </w:r>
      <w:r>
        <w:rPr>
          <w:rFonts w:hint="eastAsia" w:ascii="黑体" w:hAnsi="黑体" w:eastAsia="黑体" w:cs="黑体"/>
          <w:b w:val="0"/>
          <w:bCs/>
          <w:sz w:val="28"/>
          <w:szCs w:val="28"/>
        </w:rPr>
        <w:t>期货价格及其波动的度量模型</w:t>
      </w:r>
      <w:bookmarkEnd w:id="97"/>
      <w:bookmarkEnd w:id="98"/>
      <w:bookmarkEnd w:id="99"/>
      <w:bookmarkEnd w:id="100"/>
      <w:bookmarkEnd w:id="101"/>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两种期货之间的套利是利用两种期货价格之间具有较强的相关性，根据两种期货价格之差偏离均衡价差的程度确定套利区间从而进行套利策略设计，因此本文核心是利用价差序列的波动性来进行套利，当价差的波动超过某一指标时开启价差的交易，即买入一种国债期货同时卖出另一种国债期货。在这个套利的过程除了对价差波动率的度量外，最基础的参数为套利比率、套利区间设计。</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102" w:name="_Toc27416"/>
      <w:bookmarkStart w:id="103" w:name="_Toc16978"/>
      <w:bookmarkStart w:id="104" w:name="_Toc9845"/>
      <w:bookmarkStart w:id="105" w:name="_Toc1295"/>
      <w:bookmarkStart w:id="106" w:name="_Toc4320"/>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.2.1</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期货价格及其波动的度量</w:t>
      </w:r>
      <w:bookmarkEnd w:id="102"/>
      <w:bookmarkEnd w:id="103"/>
      <w:bookmarkEnd w:id="104"/>
      <w:bookmarkEnd w:id="105"/>
      <w:bookmarkEnd w:id="106"/>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宋体" w:hAnsi="宋体" w:eastAsia="宋体" w:cs="宋体"/>
          <w:sz w:val="24"/>
        </w:rPr>
        <w:t>例如期货A其价格序列为</w:t>
      </w:r>
      <w:r>
        <w:rPr>
          <w:rFonts w:hint="eastAsia" w:ascii="宋体" w:hAnsi="宋体" w:eastAsia="宋体" w:cs="宋体"/>
          <w:sz w:val="24"/>
        </w:rPr>
        <w:object>
          <v:shape id="_x0000_i1027" o:spt="75" type="#_x0000_t75" style="height:16.5pt;width:15pt;" o:ole="t" filled="f" o:preferrelative="t" stroked="f" coordsize="21600,21600">
            <v:path/>
            <v:fill on="f" focussize="0,0"/>
            <v:stroke on="f" joinstyle="miter"/>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ascii="宋体" w:hAnsi="宋体" w:eastAsia="宋体" w:cs="宋体"/>
          <w:sz w:val="24"/>
        </w:rPr>
        <w:t>和期货B其价格序列为</w:t>
      </w:r>
      <w:r>
        <w:rPr>
          <w:rFonts w:hint="eastAsia" w:ascii="宋体" w:hAnsi="宋体" w:eastAsia="宋体" w:cs="宋体"/>
          <w:sz w:val="24"/>
        </w:rPr>
        <w:object>
          <v:shape id="_x0000_i1028" o:spt="75" type="#_x0000_t75" style="height:16.5pt;width:15pt;" o:ole="t" filled="f" o:preferrelative="t" stroked="f" coordsize="21600,21600">
            <v:path/>
            <v:fill on="f" focussize="0,0"/>
            <v:stroke on="f" joinstyle="miter"/>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宋体" w:hAnsi="宋体" w:eastAsia="宋体" w:cs="宋体"/>
          <w:sz w:val="24"/>
        </w:rPr>
        <w:t>,两种期货价格具有较强相关性且价格序列在理论上存在长期均衡关系，且检验通过，其协整模型为：</w:t>
      </w:r>
      <w:r>
        <w:rPr>
          <w:rFonts w:hint="eastAsia" w:ascii="宋体" w:hAnsi="宋体" w:eastAsia="宋体" w:cs="宋体"/>
          <w:sz w:val="24"/>
        </w:rPr>
        <w:object>
          <v:shape id="_x0000_i1029" o:spt="75" type="#_x0000_t75" style="height:18pt;width:85.5pt;" o:ole="t" filled="f" o:preferrelative="t" stroked="f" coordsize="21600,21600">
            <v:path/>
            <v:fill on="f" focussize="0,0"/>
            <v:stroke on="f" joinstyle="miter"/>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eastAsia="宋体" w:cs="宋体"/>
          <w:sz w:val="24"/>
        </w:rPr>
        <w:t>，其均值是Average=</w:t>
      </w:r>
      <w:r>
        <w:rPr>
          <w:rFonts w:hint="eastAsia" w:ascii="宋体" w:hAnsi="宋体" w:eastAsia="宋体" w:cs="宋体"/>
          <w:sz w:val="24"/>
        </w:rPr>
        <w:object>
          <v:shape id="_x0000_i1030" o:spt="75" type="#_x0000_t75" style="height:10.5pt;width:12pt;" o:ole="t" filled="f" o:preferrelative="t" stroked="f" coordsize="21600,21600">
            <v:path/>
            <v:fill on="f" focussize="0,0"/>
            <v:stroke on="f" joinstyle="miter"/>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宋体" w:hAnsi="宋体" w:eastAsia="宋体" w:cs="宋体"/>
          <w:sz w:val="24"/>
        </w:rPr>
        <w:t>，价差为e=|</w:t>
      </w:r>
      <w:r>
        <w:rPr>
          <w:rFonts w:hint="eastAsia" w:ascii="宋体" w:hAnsi="宋体" w:eastAsia="宋体" w:cs="宋体"/>
          <w:sz w:val="24"/>
        </w:rPr>
        <w:object>
          <v:shape id="_x0000_i1031" o:spt="75" type="#_x0000_t75" style="height:16.5pt;width:43.5pt;" o:ole="t" filled="f" o:preferrelative="t" stroked="f" coordsize="21600,21600">
            <v:path/>
            <v:fill on="f" focussize="0,0"/>
            <v:stroke on="f" joinstyle="miter"/>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宋体" w:hAnsi="宋体" w:eastAsia="宋体" w:cs="宋体"/>
          <w:sz w:val="24"/>
        </w:rPr>
        <w:t>|=|</w:t>
      </w:r>
      <w:r>
        <w:rPr>
          <w:rFonts w:hint="eastAsia" w:ascii="宋体" w:hAnsi="宋体" w:eastAsia="宋体" w:cs="宋体"/>
          <w:sz w:val="24"/>
        </w:rPr>
        <w:object>
          <v:shape id="_x0000_i1032" o:spt="75" type="#_x0000_t75" style="height:18pt;width:33pt;" o:ole="t" filled="f" o:preferrelative="t" stroked="f" coordsize="21600,21600">
            <v:path/>
            <v:fill on="f" focussize="0,0"/>
            <v:stroke on="f" joinstyle="miter"/>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宋体" w:hAnsi="宋体" w:eastAsia="宋体" w:cs="宋体"/>
          <w:sz w:val="24"/>
        </w:rPr>
        <w:t>|,去中心化价差为</w:t>
      </w:r>
      <w:r>
        <w:rPr>
          <w:rFonts w:hint="eastAsia" w:ascii="宋体" w:hAnsi="宋体" w:eastAsia="宋体" w:cs="宋体"/>
          <w:sz w:val="24"/>
        </w:rPr>
        <w:object>
          <v:shape id="_x0000_i1033" o:spt="75" type="#_x0000_t75" style="height:13.5pt;width:12pt;" o:ole="t" filled="f" o:preferrelative="t" stroked="f" coordsize="21600,21600">
            <v:path/>
            <v:fill on="f" focussize="0,0"/>
            <v:stroke on="f" joinstyle="miter"/>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宋体" w:hAnsi="宋体" w:eastAsia="宋体" w:cs="宋体"/>
          <w:sz w:val="24"/>
        </w:rPr>
        <w:t>。在金融时间序列数据波动性的衡量中，一般利用方差</w:t>
      </w:r>
      <w:r>
        <w:rPr>
          <w:rFonts w:hint="eastAsia" w:ascii="宋体" w:hAnsi="宋体" w:eastAsia="宋体" w:cs="宋体"/>
          <w:sz w:val="24"/>
        </w:rPr>
        <w:object>
          <v:shape id="_x0000_i1034" o:spt="75" type="#_x0000_t75" style="height:10.5pt;width:12pt;" o:ole="t" filled="f" o:preferrelative="t" stroked="f" coordsize="21600,21600">
            <v:path/>
            <v:fill on="f" focussize="0,0"/>
            <v:stroke on="f" joinstyle="miter"/>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ascii="宋体" w:hAnsi="宋体" w:eastAsia="宋体" w:cs="宋体"/>
          <w:sz w:val="24"/>
        </w:rPr>
        <w:t>来衡量波动性，因此在本文中方差</w:t>
      </w:r>
      <w:r>
        <w:rPr>
          <w:rFonts w:hint="eastAsia" w:ascii="宋体" w:hAnsi="宋体" w:eastAsia="宋体" w:cs="宋体"/>
          <w:sz w:val="24"/>
        </w:rPr>
        <w:object>
          <v:shape id="_x0000_i1035" o:spt="75" type="#_x0000_t75" style="height:10.5pt;width:12pt;" o:ole="t" filled="f" o:preferrelative="t" stroked="f" coordsize="21600,21600">
            <v:path/>
            <v:fill on="f" focussize="0,0"/>
            <v:stroke on="f" joinstyle="miter"/>
            <v:imagedata r:id="rId28" o:title=""/>
            <o:lock v:ext="edit" aspectratio="t"/>
            <w10:wrap type="none"/>
            <w10:anchorlock/>
          </v:shape>
          <o:OLEObject Type="Embed" ProgID="Equation.KSEE3" ShapeID="_x0000_i1035" DrawAspect="Content" ObjectID="_1468075735" r:id="rId29">
            <o:LockedField>false</o:LockedField>
          </o:OLEObject>
        </w:object>
      </w:r>
      <w:r>
        <w:rPr>
          <w:rFonts w:hint="eastAsia" w:ascii="宋体" w:hAnsi="宋体" w:eastAsia="宋体" w:cs="宋体"/>
          <w:sz w:val="24"/>
        </w:rPr>
        <w:t>来衡量价差e的波动性。</w:t>
      </w:r>
      <w:r>
        <w:rPr>
          <w:rFonts w:hint="default" w:ascii="Times New Roman" w:hAnsi="Times New Roman" w:eastAsia="宋体" w:cs="Times New Roman"/>
          <w:sz w:val="24"/>
        </w:rPr>
        <w:t>Peter R</w:t>
      </w:r>
      <w:r>
        <w:rPr>
          <w:rFonts w:hint="eastAsia" w:ascii="宋体" w:hAnsi="宋体" w:eastAsia="宋体" w:cs="宋体"/>
          <w:sz w:val="24"/>
        </w:rPr>
        <w:t xml:space="preserve"> 和</w:t>
      </w:r>
      <w:r>
        <w:rPr>
          <w:rFonts w:hint="default" w:ascii="Times New Roman" w:hAnsi="Times New Roman" w:eastAsia="宋体" w:cs="Times New Roman"/>
          <w:sz w:val="24"/>
        </w:rPr>
        <w:t>Asger</w:t>
      </w:r>
      <w:r>
        <w:rPr>
          <w:rFonts w:hint="eastAsia" w:ascii="宋体" w:hAnsi="宋体" w:eastAsia="宋体" w:cs="宋体"/>
          <w:sz w:val="24"/>
        </w:rPr>
        <w:t>（2005）通过使用6种不同的函数对样本内样本外进行评估，对比GARCH（1,1）和其他GARCH 类波动率模型预测后一天条件方差的能力，验证了复杂的波动率模型并不比简约的 GARCH（1,1）模型能更好地描述金融时间序列，且在IBM收益分析中表现得更加优异，复杂模型的优势在于更全面的考虑了模型中的不确定因素，没有使用概率不等式，这样通常容易导致保守预测，故此一般使用GARCH(1,1)就可以表示所有信息。</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107" w:name="_Toc2222"/>
      <w:bookmarkStart w:id="108" w:name="_Toc17304"/>
      <w:bookmarkStart w:id="109" w:name="_Toc19337"/>
      <w:bookmarkStart w:id="110" w:name="_Toc26583"/>
      <w:bookmarkStart w:id="111" w:name="_Toc370"/>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.2.2</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AR模型</w:t>
      </w:r>
      <w:bookmarkEnd w:id="107"/>
      <w:bookmarkEnd w:id="108"/>
      <w:bookmarkEnd w:id="109"/>
      <w:bookmarkEnd w:id="110"/>
      <w:bookmarkEnd w:id="111"/>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时间序列模型一般包括自回归模型（AR）、移动平均模型（</w:t>
      </w:r>
      <w:r>
        <w:rPr>
          <w:rFonts w:asciiTheme="minorEastAsia" w:hAnsiTheme="minorEastAsia" w:cstheme="minorEastAsia"/>
          <w:sz w:val="24"/>
        </w:rPr>
        <w:t>MA</w:t>
      </w:r>
      <w:r>
        <w:rPr>
          <w:rFonts w:hint="eastAsia" w:asciiTheme="minorEastAsia" w:hAnsiTheme="minorEastAsia" w:cstheme="minorEastAsia"/>
          <w:sz w:val="24"/>
        </w:rPr>
        <w:t>）、自回归移动平均模型（</w:t>
      </w:r>
      <w:r>
        <w:rPr>
          <w:rFonts w:asciiTheme="minorEastAsia" w:hAnsiTheme="minorEastAsia" w:cstheme="minorEastAsia"/>
          <w:sz w:val="24"/>
        </w:rPr>
        <w:t>ARMA</w:t>
      </w:r>
      <w:r>
        <w:rPr>
          <w:rFonts w:hint="eastAsia" w:asciiTheme="minorEastAsia" w:hAnsiTheme="minorEastAsia" w:cstheme="minorEastAsia"/>
          <w:sz w:val="24"/>
        </w:rPr>
        <w:t>）和积分自回归移动平均模型（</w:t>
      </w:r>
      <w:r>
        <w:rPr>
          <w:rFonts w:asciiTheme="minorEastAsia" w:hAnsiTheme="minorEastAsia" w:cstheme="minorEastAsia"/>
          <w:sz w:val="24"/>
        </w:rPr>
        <w:t>ARIMA</w:t>
      </w:r>
      <w:r>
        <w:rPr>
          <w:rFonts w:hint="eastAsia" w:asciiTheme="minorEastAsia" w:hAnsiTheme="minorEastAsia" w:cstheme="minorEastAsia"/>
          <w:sz w:val="24"/>
        </w:rPr>
        <w:t>）四种。如果随机模型中的变量仅受其滞后项和服从白噪声过程的随机扰动项的影响，则称这种模型为自回归模型（</w:t>
      </w:r>
      <w:r>
        <w:rPr>
          <w:rFonts w:asciiTheme="minorEastAsia" w:hAnsiTheme="minorEastAsia" w:cstheme="minorEastAsia"/>
          <w:sz w:val="24"/>
        </w:rPr>
        <w:t>AR</w:t>
      </w:r>
      <w:r>
        <w:rPr>
          <w:rFonts w:hint="eastAsia" w:asciiTheme="minorEastAsia" w:hAnsiTheme="minorEastAsia" w:cstheme="minorEastAsia"/>
          <w:sz w:val="24"/>
        </w:rPr>
        <w:t xml:space="preserve">），如一阶自回归模型，记为 </w:t>
      </w:r>
      <w:r>
        <w:rPr>
          <w:rFonts w:asciiTheme="minorEastAsia" w:hAnsiTheme="minorEastAsia" w:cstheme="minorEastAsia"/>
          <w:sz w:val="24"/>
        </w:rPr>
        <w:t>AR</w:t>
      </w:r>
      <w:r>
        <w:rPr>
          <w:rFonts w:hint="eastAsia" w:asciiTheme="minorEastAsia" w:hAnsiTheme="minorEastAsia" w:cstheme="minorEastAsia"/>
          <w:sz w:val="24"/>
        </w:rPr>
        <w:t>（</w:t>
      </w:r>
      <w:r>
        <w:rPr>
          <w:rFonts w:asciiTheme="minorEastAsia" w:hAnsiTheme="minorEastAsia" w:cstheme="minorEastAsia"/>
          <w:sz w:val="24"/>
        </w:rPr>
        <w:t>1</w:t>
      </w:r>
      <w:r>
        <w:rPr>
          <w:rFonts w:hint="eastAsia" w:asciiTheme="minorEastAsia" w:hAnsiTheme="minorEastAsia" w:cstheme="minorEastAsia"/>
          <w:sz w:val="24"/>
        </w:rPr>
        <w:t>）。</w:t>
      </w:r>
      <w:r>
        <w:rPr>
          <w:rFonts w:asciiTheme="minorEastAsia" w:hAnsiTheme="minorEastAsia" w:cstheme="minorEastAsia"/>
          <w:sz w:val="24"/>
        </w:rPr>
        <w:t xml:space="preserve">q </w:t>
      </w:r>
      <w:r>
        <w:rPr>
          <w:rFonts w:hint="eastAsia" w:asciiTheme="minorEastAsia" w:hAnsiTheme="minorEastAsia" w:cstheme="minorEastAsia"/>
          <w:sz w:val="24"/>
        </w:rPr>
        <w:t xml:space="preserve">阶自回归模型，记作 </w:t>
      </w:r>
      <w:r>
        <w:rPr>
          <w:rFonts w:asciiTheme="minorEastAsia" w:hAnsiTheme="minorEastAsia" w:cstheme="minorEastAsia"/>
          <w:sz w:val="24"/>
        </w:rPr>
        <w:t>AR</w:t>
      </w:r>
      <w:r>
        <w:rPr>
          <w:rFonts w:hint="eastAsia" w:asciiTheme="minorEastAsia" w:hAnsiTheme="minorEastAsia" w:cstheme="minorEastAsia"/>
          <w:sz w:val="24"/>
        </w:rPr>
        <w:t>（</w:t>
      </w:r>
      <w:r>
        <w:rPr>
          <w:rFonts w:asciiTheme="minorEastAsia" w:hAnsiTheme="minorEastAsia" w:cstheme="minorEastAsia"/>
          <w:sz w:val="24"/>
        </w:rPr>
        <w:t>q</w:t>
      </w:r>
      <w:r>
        <w:rPr>
          <w:rFonts w:hint="eastAsia" w:asciiTheme="minorEastAsia" w:hAnsiTheme="minorEastAsia" w:cstheme="minorEastAsia"/>
          <w:sz w:val="24"/>
        </w:rPr>
        <w:t xml:space="preserve">），可用下式表示： </w:t>
      </w:r>
      <w:r>
        <w:rPr>
          <w:rFonts w:hint="eastAsia" w:asciiTheme="minorEastAsia" w:hAnsiTheme="minorEastAsia" w:cstheme="minorEastAsia"/>
          <w:position w:val="-14"/>
          <w:sz w:val="24"/>
        </w:rPr>
        <w:object>
          <v:shape id="_x0000_i1036" o:spt="75" type="#_x0000_t75" style="height:21.75pt;width:171.55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Theme="minorEastAsia" w:hAnsiTheme="minorEastAsia" w:cstheme="minorEastAsia"/>
          <w:sz w:val="24"/>
          <w:lang w:val="en-US" w:eastAsia="zh-CN"/>
        </w:rPr>
        <w:t xml:space="preserve">     （2.2）</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其中</w:t>
      </w:r>
      <w:r>
        <w:rPr>
          <w:rFonts w:hint="eastAsia" w:asciiTheme="minorEastAsia" w:hAnsiTheme="minorEastAsia" w:cstheme="minorEastAsia"/>
          <w:sz w:val="24"/>
        </w:rPr>
        <w:object>
          <v:shape id="_x0000_i1037" o:spt="75" type="#_x0000_t75" style="height:18pt;width:11.25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asciiTheme="minorEastAsia" w:hAnsiTheme="minorEastAsia" w:cstheme="minorEastAsia"/>
          <w:sz w:val="24"/>
        </w:rPr>
        <w:t>为自回归参数，随机扰动项</w:t>
      </w:r>
      <w:r>
        <w:rPr>
          <w:rFonts w:hint="eastAsia" w:asciiTheme="minorEastAsia" w:hAnsiTheme="minorEastAsia" w:cstheme="minorEastAsia"/>
          <w:position w:val="-12"/>
          <w:sz w:val="24"/>
        </w:rPr>
        <w:object>
          <v:shape id="_x0000_i1038" o:spt="75" type="#_x0000_t75" style="height:18pt;width:11.6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asciiTheme="minorEastAsia" w:hAnsiTheme="minorEastAsia" w:cstheme="minorEastAsia"/>
          <w:sz w:val="24"/>
        </w:rPr>
        <w:t xml:space="preserve">服从均值为 </w:t>
      </w:r>
      <w:r>
        <w:rPr>
          <w:rFonts w:asciiTheme="minorEastAsia" w:hAnsiTheme="minorEastAsia" w:cstheme="minorEastAsia"/>
          <w:sz w:val="24"/>
        </w:rPr>
        <w:t>0</w:t>
      </w:r>
      <w:r>
        <w:rPr>
          <w:rFonts w:hint="eastAsia" w:asciiTheme="minorEastAsia" w:hAnsiTheme="minorEastAsia" w:cstheme="minorEastAsia"/>
          <w:sz w:val="24"/>
        </w:rPr>
        <w:t>、方差为</w:t>
      </w:r>
      <w:r>
        <w:rPr>
          <w:rFonts w:hint="eastAsia" w:asciiTheme="minorEastAsia" w:hAnsiTheme="minorEastAsia" w:cstheme="minorEastAsia"/>
          <w:position w:val="-12"/>
          <w:sz w:val="24"/>
        </w:rPr>
        <w:object>
          <v:shape id="_x0000_i1039" o:spt="75" type="#_x0000_t75" style="height:19.55pt;width:16.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Theme="minorEastAsia" w:hAnsiTheme="minorEastAsia" w:cstheme="minorEastAsia"/>
          <w:sz w:val="24"/>
        </w:rPr>
        <w:t>的正态分布，且是相互独立的白噪声序列。</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112" w:name="_Toc26442"/>
      <w:bookmarkStart w:id="113" w:name="_Toc20534"/>
      <w:bookmarkStart w:id="114" w:name="_Toc12527"/>
      <w:bookmarkStart w:id="115" w:name="_Toc11903"/>
      <w:bookmarkStart w:id="116" w:name="_Toc7974"/>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.2.3</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GARCH模型</w:t>
      </w:r>
      <w:bookmarkEnd w:id="112"/>
      <w:bookmarkEnd w:id="113"/>
      <w:bookmarkEnd w:id="114"/>
      <w:bookmarkEnd w:id="115"/>
      <w:bookmarkEnd w:id="116"/>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cstheme="minorEastAsia"/>
          <w:sz w:val="24"/>
          <w:lang w:val="en-US" w:eastAsia="zh-CN"/>
        </w:rPr>
        <w:t>在</w:t>
      </w:r>
      <w:r>
        <w:rPr>
          <w:rFonts w:hint="eastAsia" w:asciiTheme="minorEastAsia" w:hAnsiTheme="minorEastAsia" w:cstheme="minorEastAsia"/>
          <w:color w:val="000000" w:themeColor="text1"/>
          <w:sz w:val="24"/>
          <w:lang w:val="en-US" w:eastAsia="zh-CN"/>
          <w14:textFill>
            <w14:solidFill>
              <w14:schemeClr w14:val="tx1"/>
            </w14:solidFill>
          </w14:textFill>
        </w:rPr>
        <w:t>很多情况下，时间序列的波动存在着一种集聚性现象，即在某一段时间范围内价格波动剧烈，在下一个时间段波动平缓。这种情况下的时间序列大多存在异方差性，即使得方差并不为常数，当期的价格条件方差受上一期的方差值的影响。GARCH模型能够精准的刻画出随时间变化的条件异方差，并且拟合度高、预测效果较好。GARCH（1,1）模型假定方程依赖于其滞后值（</w:t>
      </w:r>
      <w:r>
        <w:rPr>
          <w:rFonts w:hint="eastAsia" w:asciiTheme="minorEastAsia" w:hAnsiTheme="minorEastAsia" w:cstheme="minorEastAsia"/>
          <w:color w:val="000000" w:themeColor="text1"/>
          <w:position w:val="-12"/>
          <w:sz w:val="24"/>
          <w:lang w:val="en-US" w:eastAsia="zh-CN"/>
          <w14:textFill>
            <w14:solidFill>
              <w14:schemeClr w14:val="tx1"/>
            </w14:solidFill>
          </w14:textFill>
        </w:rPr>
        <w:object>
          <v:shape id="_x0000_i1040" o:spt="75" type="#_x0000_t75" style="height:19pt;width:2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）和残差平方的滞后值（</w:t>
      </w:r>
      <w:r>
        <w:rPr>
          <w:rFonts w:hint="eastAsia" w:asciiTheme="minorEastAsia" w:hAnsiTheme="minorEastAsia" w:cstheme="minorEastAsia"/>
          <w:color w:val="000000" w:themeColor="text1"/>
          <w:position w:val="-12"/>
          <w:sz w:val="24"/>
          <w:lang w:val="en-US" w:eastAsia="zh-CN"/>
          <w14:textFill>
            <w14:solidFill>
              <w14:schemeClr w14:val="tx1"/>
            </w14:solidFill>
          </w14:textFill>
        </w:rPr>
        <w:object>
          <v:shape id="_x0000_i1041" o:spt="75" type="#_x0000_t75" style="height:19pt;width:19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），GARCH（1,1）模型由下式描述。</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cstheme="minorEastAsia"/>
          <w:color w:val="000000" w:themeColor="text1"/>
          <w:sz w:val="24"/>
          <w:lang w:val="en-US" w:eastAsia="zh-CN"/>
          <w14:textFill>
            <w14:solidFill>
              <w14:schemeClr w14:val="tx1"/>
            </w14:solidFill>
          </w14:textFill>
        </w:rPr>
        <w:t>均值方程：</w:t>
      </w:r>
      <w:r>
        <w:rPr>
          <w:rFonts w:hint="eastAsia" w:asciiTheme="minorEastAsia" w:hAnsiTheme="minorEastAsia" w:cstheme="minorEastAsia"/>
          <w:color w:val="000000" w:themeColor="text1"/>
          <w:position w:val="-12"/>
          <w:sz w:val="24"/>
          <w:lang w:val="en-US" w:eastAsia="zh-CN"/>
          <w14:textFill>
            <w14:solidFill>
              <w14:schemeClr w14:val="tx1"/>
            </w14:solidFill>
          </w14:textFill>
        </w:rPr>
        <w:object>
          <v:shape id="_x0000_i1042" o:spt="75" type="#_x0000_t75" style="height:18pt;width:73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 xml:space="preserve">                    （2.3）</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cstheme="minorEastAsia"/>
          <w:color w:val="000000" w:themeColor="text1"/>
          <w:sz w:val="24"/>
          <w:lang w:val="en-US" w:eastAsia="zh-CN"/>
          <w14:textFill>
            <w14:solidFill>
              <w14:schemeClr w14:val="tx1"/>
            </w14:solidFill>
          </w14:textFill>
        </w:rPr>
        <w:t>条件方差方程：</w:t>
      </w:r>
      <w:r>
        <w:rPr>
          <w:rFonts w:hint="eastAsia" w:asciiTheme="minorEastAsia" w:hAnsiTheme="minorEastAsia" w:cstheme="minorEastAsia"/>
          <w:color w:val="000000" w:themeColor="text1"/>
          <w:position w:val="-12"/>
          <w:sz w:val="24"/>
          <w:lang w:val="en-US" w:eastAsia="zh-CN"/>
          <w14:textFill>
            <w14:solidFill>
              <w14:schemeClr w14:val="tx1"/>
            </w14:solidFill>
          </w14:textFill>
        </w:rPr>
        <w:object>
          <v:shape id="_x0000_i1043" o:spt="75" type="#_x0000_t75" style="height:19pt;width:12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 xml:space="preserve">       （2.4）</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asciiTheme="minorEastAsia" w:hAnsiTheme="minorEastAsia" w:cstheme="minorEastAsia"/>
          <w:color w:val="000000" w:themeColor="text1"/>
          <w:sz w:val="24"/>
          <w:lang w:eastAsia="zh-CN"/>
          <w14:textFill>
            <w14:solidFill>
              <w14:schemeClr w14:val="tx1"/>
            </w14:solidFill>
          </w14:textFill>
        </w:rPr>
      </w:pPr>
      <w:r>
        <w:rPr>
          <w:rFonts w:hint="eastAsia" w:asciiTheme="minorEastAsia" w:hAnsiTheme="minorEastAsia" w:cstheme="minorEastAsia"/>
          <w:color w:val="000000" w:themeColor="text1"/>
          <w:sz w:val="24"/>
          <w:lang w:val="en-US" w:eastAsia="zh-CN"/>
          <w14:textFill>
            <w14:solidFill>
              <w14:schemeClr w14:val="tx1"/>
            </w14:solidFill>
          </w14:textFill>
        </w:rPr>
        <w:t>且</w:t>
      </w:r>
      <w:r>
        <w:rPr>
          <w:rFonts w:hint="eastAsia" w:asciiTheme="minorEastAsia" w:hAnsiTheme="minorEastAsia" w:cstheme="minorEastAsia"/>
          <w:color w:val="000000" w:themeColor="text1"/>
          <w:position w:val="-10"/>
          <w:sz w:val="24"/>
          <w:lang w:val="en-US" w:eastAsia="zh-CN"/>
          <w14:textFill>
            <w14:solidFill>
              <w14:schemeClr w14:val="tx1"/>
            </w14:solidFill>
          </w14:textFill>
        </w:rPr>
        <w:object>
          <v:shape id="_x0000_i1044" o:spt="75" type="#_x0000_t75" style="height:16pt;width:31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&lt;0,由上式（2.3）可知当期的方差依赖于三个因素：常数项</w:t>
      </w:r>
      <w:r>
        <w:rPr>
          <w:rFonts w:hint="eastAsia" w:asciiTheme="minorEastAsia" w:hAnsiTheme="minorEastAsia" w:cstheme="minorEastAsia"/>
          <w:color w:val="000000" w:themeColor="text1"/>
          <w:position w:val="-6"/>
          <w:sz w:val="24"/>
          <w:lang w:val="en-US" w:eastAsia="zh-CN"/>
          <w14:textFill>
            <w14:solidFill>
              <w14:schemeClr w14:val="tx1"/>
            </w14:solidFill>
          </w14:textFill>
        </w:rPr>
        <w:object>
          <v:shape id="_x0000_i1045" o:spt="75" type="#_x0000_t75" style="height:11pt;width:12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、ARCH项</w:t>
      </w:r>
      <w:r>
        <w:rPr>
          <w:rFonts w:hint="eastAsia" w:asciiTheme="minorEastAsia" w:hAnsiTheme="minorEastAsia" w:cstheme="minorEastAsia"/>
          <w:color w:val="000000" w:themeColor="text1"/>
          <w:position w:val="-12"/>
          <w:sz w:val="24"/>
          <w:lang w:val="en-US" w:eastAsia="zh-CN"/>
          <w14:textFill>
            <w14:solidFill>
              <w14:schemeClr w14:val="tx1"/>
            </w14:solidFill>
          </w14:textFill>
        </w:rPr>
        <w:object>
          <v:shape id="_x0000_i1046" o:spt="75" type="#_x0000_t75" style="height:19pt;width:19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asciiTheme="minorEastAsia" w:hAnsiTheme="minorEastAsia" w:cstheme="minorEastAsia"/>
          <w:color w:val="000000" w:themeColor="text1"/>
          <w:sz w:val="24"/>
          <w:lang w:val="en-US" w:eastAsia="zh-CN"/>
          <w14:textFill>
            <w14:solidFill>
              <w14:schemeClr w14:val="tx1"/>
            </w14:solidFill>
          </w14:textFill>
        </w:rPr>
        <w:t>、前一期的预测方差（GARCH项）。对时间</w:t>
      </w:r>
      <w:r>
        <w:rPr>
          <w:rFonts w:hint="eastAsia" w:asciiTheme="minorEastAsia" w:hAnsiTheme="minorEastAsia" w:cstheme="minorEastAsia"/>
          <w:color w:val="000000" w:themeColor="text1"/>
          <w:sz w:val="24"/>
          <w14:textFill>
            <w14:solidFill>
              <w14:schemeClr w14:val="tx1"/>
            </w14:solidFill>
          </w14:textFill>
        </w:rPr>
        <w:t>序列</w: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position w:val="-12"/>
          <w:sz w:val="24"/>
        </w:rPr>
        <w:object>
          <v:shape id="_x0000_i1047" o:spt="75" type="#_x0000_t75" style="height:18pt;width:11.65pt;" o:ole="t" filled="f" o:preferrelative="t" stroked="f" coordsize="21600,21600">
            <v:path/>
            <v:fill on="f" focussize="0,0"/>
            <v:stroke on="f"/>
            <v:imagedata r:id="rId35" o:title=""/>
            <o:lock v:ext="edit" aspectratio="t"/>
            <w10:wrap type="none"/>
            <w10:anchorlock/>
          </v:shape>
          <o:OLEObject Type="Embed" ProgID="Equation.KSEE3" ShapeID="_x0000_i1047" DrawAspect="Content" ObjectID="_1468075747" r:id="rId52">
            <o:LockedField>false</o:LockedField>
          </o:OLEObject>
        </w:objec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拟合</w:t>
      </w:r>
      <w:r>
        <w:rPr>
          <w:rFonts w:asciiTheme="minorEastAsia" w:hAnsiTheme="minorEastAsia" w:cstheme="minorEastAsia"/>
          <w:color w:val="000000" w:themeColor="text1"/>
          <w:sz w:val="24"/>
          <w14:textFill>
            <w14:solidFill>
              <w14:schemeClr w14:val="tx1"/>
            </w14:solidFill>
          </w14:textFill>
        </w:rPr>
        <w:t>GARCH</w:t>
      </w:r>
      <w:r>
        <w:rPr>
          <w:rFonts w:hint="eastAsia" w:asciiTheme="minorEastAsia" w:hAnsiTheme="minorEastAsia" w:cstheme="minorEastAsia"/>
          <w:color w:val="000000" w:themeColor="text1"/>
          <w:sz w:val="24"/>
          <w14:textFill>
            <w14:solidFill>
              <w14:schemeClr w14:val="tx1"/>
            </w14:solidFill>
          </w14:textFill>
        </w:rPr>
        <w:t>模型时，要求序列</w: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position w:val="-12"/>
          <w:sz w:val="24"/>
        </w:rPr>
        <w:object>
          <v:shape id="_x0000_i1048" o:spt="75" type="#_x0000_t75" style="height:18pt;width:11.65pt;" o:ole="t" filled="f" o:preferrelative="t" stroked="f" coordsize="21600,21600">
            <v:path/>
            <v:fill on="f" focussize="0,0"/>
            <v:stroke on="f"/>
            <v:imagedata r:id="rId35" o:title=""/>
            <o:lock v:ext="edit" aspectratio="t"/>
            <w10:wrap type="none"/>
            <w10:anchorlock/>
          </v:shape>
          <o:OLEObject Type="Embed" ProgID="Equation.KSEE3" ShapeID="_x0000_i1048" DrawAspect="Content" ObjectID="_1468075748" r:id="rId53">
            <o:LockedField>false</o:LockedField>
          </o:OLEObject>
        </w:objec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是均值为</w:t>
      </w:r>
      <w:r>
        <w:rPr>
          <w:rFonts w:asciiTheme="minorEastAsia" w:hAnsiTheme="minorEastAsia" w:cstheme="minorEastAsia"/>
          <w:color w:val="000000" w:themeColor="text1"/>
          <w:sz w:val="24"/>
          <w14:textFill>
            <w14:solidFill>
              <w14:schemeClr w14:val="tx1"/>
            </w14:solidFill>
          </w14:textFill>
        </w:rPr>
        <w:t>0</w:t>
      </w:r>
      <w:r>
        <w:rPr>
          <w:rFonts w:hint="eastAsia" w:asciiTheme="minorEastAsia" w:hAnsiTheme="minorEastAsia" w:cstheme="minorEastAsia"/>
          <w:color w:val="000000" w:themeColor="text1"/>
          <w:sz w:val="24"/>
          <w14:textFill>
            <w14:solidFill>
              <w14:schemeClr w14:val="tx1"/>
            </w14:solidFill>
          </w14:textFill>
        </w:rPr>
        <w:t>，纯随机的异方差序列。</w:t>
      </w:r>
      <w:r>
        <w:rPr>
          <w:rFonts w:hint="eastAsia" w:asciiTheme="minorEastAsia" w:hAnsiTheme="minorEastAsia" w:cstheme="minorEastAsia"/>
          <w:color w:val="000000" w:themeColor="text1"/>
          <w:sz w:val="24"/>
          <w:lang w:val="en-US" w:eastAsia="zh-CN"/>
          <w14:textFill>
            <w14:solidFill>
              <w14:schemeClr w14:val="tx1"/>
            </w14:solidFill>
          </w14:textFill>
        </w:rPr>
        <w:t>如果</w:t>
      </w:r>
      <w:r>
        <w:rPr>
          <w:rFonts w:hint="eastAsia" w:asciiTheme="minorEastAsia" w:hAnsiTheme="minorEastAsia" w:cstheme="minorEastAsia"/>
          <w:color w:val="000000" w:themeColor="text1"/>
          <w:sz w:val="24"/>
          <w14:textFill>
            <w14:solidFill>
              <w14:schemeClr w14:val="tx1"/>
            </w14:solidFill>
          </w14:textFill>
        </w:rPr>
        <w:t>回归方程不能充分发掘原始时间序列的信息，则</w:t>
      </w:r>
      <w:r>
        <w:rPr>
          <w:rFonts w:hint="eastAsia" w:asciiTheme="minorEastAsia" w:hAnsiTheme="minorEastAsia" w:cstheme="minorEastAsia"/>
          <w:color w:val="000000" w:themeColor="text1"/>
          <w:sz w:val="24"/>
          <w:lang w:val="en-US" w:eastAsia="zh-CN"/>
          <w14:textFill>
            <w14:solidFill>
              <w14:schemeClr w14:val="tx1"/>
            </w14:solidFill>
          </w14:textFill>
        </w:rPr>
        <w:t>说明序列</w: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position w:val="-12"/>
          <w:sz w:val="24"/>
        </w:rPr>
        <w:object>
          <v:shape id="_x0000_i1049" o:spt="75" type="#_x0000_t75" style="height:18pt;width:11.65pt;" o:ole="t" filled="f" o:preferrelative="t" stroked="f" coordsize="21600,21600">
            <v:path/>
            <v:fill on="f" focussize="0,0"/>
            <v:stroke on="f"/>
            <v:imagedata r:id="rId35" o:title=""/>
            <o:lock v:ext="edit" aspectratio="t"/>
            <w10:wrap type="none"/>
            <w10:anchorlock/>
          </v:shape>
          <o:OLEObject Type="Embed" ProgID="Equation.KSEE3" ShapeID="_x0000_i1049" DrawAspect="Content" ObjectID="_1468075749" r:id="rId54">
            <o:LockedField>false</o:LockedField>
          </o:OLEObject>
        </w:objec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有可能存在自相关，不是纯随机的过程</w:t>
      </w:r>
      <w:r>
        <w:rPr>
          <w:rFonts w:hint="eastAsia" w:asciiTheme="minorEastAsia" w:hAnsiTheme="minorEastAsia" w:cstheme="minorEastAsia"/>
          <w:color w:val="000000" w:themeColor="text1"/>
          <w:sz w:val="24"/>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因此</w:t>
      </w:r>
      <w:r>
        <w:rPr>
          <w:rFonts w:hint="eastAsia" w:asciiTheme="minorEastAsia" w:hAnsiTheme="minorEastAsia" w:cstheme="minorEastAsia"/>
          <w:color w:val="000000" w:themeColor="text1"/>
          <w:sz w:val="24"/>
          <w:lang w:val="en-US" w:eastAsia="zh-CN"/>
          <w14:textFill>
            <w14:solidFill>
              <w14:schemeClr w14:val="tx1"/>
            </w14:solidFill>
          </w14:textFill>
        </w:rPr>
        <w:t>本文在对去中心化价差序列</w:t>
      </w:r>
      <w:r>
        <w:rPr>
          <w:rFonts w:asciiTheme="minorEastAsia" w:hAnsiTheme="minorEastAsia" w:cstheme="minorEastAsia"/>
          <w:color w:val="000000" w:themeColor="text1"/>
          <w:sz w:val="24"/>
          <w14:textFill>
            <w14:solidFill>
              <w14:schemeClr w14:val="tx1"/>
            </w14:solidFill>
          </w14:textFill>
        </w:rPr>
        <w:t>{</w:t>
      </w:r>
      <w:r>
        <w:rPr>
          <w:rFonts w:asciiTheme="minorEastAsia" w:hAnsiTheme="minorEastAsia" w:cstheme="minorEastAsia"/>
          <w:color w:val="000000" w:themeColor="text1"/>
          <w:position w:val="-12"/>
          <w:sz w:val="24"/>
          <w14:textFill>
            <w14:solidFill>
              <w14:schemeClr w14:val="tx1"/>
            </w14:solidFill>
          </w14:textFill>
        </w:rPr>
        <w:object>
          <v:shape id="_x0000_i1050" o:spt="75" type="#_x0000_t75" style="height:18pt;width:13.5pt;" o:ole="t" filled="f" o:preferrelative="t" stroked="f" coordsize="21600,21600">
            <v:path/>
            <v:fill on="f" focussize="0,0"/>
            <v:stroke on="f" joinstyle="miter"/>
            <v:imagedata r:id="rId56" o:title=""/>
            <o:lock v:ext="edit" aspectratio="t"/>
            <w10:wrap type="none"/>
            <w10:anchorlock/>
          </v:shape>
          <o:OLEObject Type="Embed" ProgID="Equation.KSEE3" ShapeID="_x0000_i1050" DrawAspect="Content" ObjectID="_1468075750" r:id="rId55">
            <o:LockedField>false</o:LockedField>
          </o:OLEObject>
        </w:objec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建模前，首先要对</w:t>
      </w:r>
      <w:r>
        <w:rPr>
          <w:rFonts w:asciiTheme="minorEastAsia" w:hAnsiTheme="minorEastAsia" w:cstheme="minorEastAsia"/>
          <w:color w:val="000000" w:themeColor="text1"/>
          <w:sz w:val="24"/>
          <w14:textFill>
            <w14:solidFill>
              <w14:schemeClr w14:val="tx1"/>
            </w14:solidFill>
          </w14:textFill>
        </w:rPr>
        <w:t>{</w:t>
      </w:r>
      <w:r>
        <w:rPr>
          <w:rFonts w:asciiTheme="minorEastAsia" w:hAnsiTheme="minorEastAsia" w:cstheme="minorEastAsia"/>
          <w:color w:val="000000" w:themeColor="text1"/>
          <w:position w:val="-12"/>
          <w:sz w:val="24"/>
          <w14:textFill>
            <w14:solidFill>
              <w14:schemeClr w14:val="tx1"/>
            </w14:solidFill>
          </w14:textFill>
        </w:rPr>
        <w:object>
          <v:shape id="_x0000_i1051" o:spt="75" type="#_x0000_t75" style="height:18pt;width:13.5pt;" o:ole="t" filled="f" o:preferrelative="t" stroked="f" coordsize="21600,21600">
            <v:path/>
            <v:fill on="f" focussize="0,0"/>
            <v:stroke on="f" joinstyle="miter"/>
            <v:imagedata r:id="rId56" o:title=""/>
            <o:lock v:ext="edit" aspectratio="t"/>
            <w10:wrap type="none"/>
            <w10:anchorlock/>
          </v:shape>
          <o:OLEObject Type="Embed" ProgID="Equation.KSEE3" ShapeID="_x0000_i1051" DrawAspect="Content" ObjectID="_1468075751" r:id="rId57">
            <o:LockedField>false</o:LockedField>
          </o:OLEObject>
        </w:object>
      </w:r>
      <w:r>
        <w:rPr>
          <w:rFonts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进行自回归检验，判断自回归的阶数，建立</w:t>
      </w:r>
      <w:r>
        <w:rPr>
          <w:rFonts w:asciiTheme="minorEastAsia" w:hAnsiTheme="minorEastAsia" w:cstheme="minorEastAsia"/>
          <w:color w:val="000000" w:themeColor="text1"/>
          <w:sz w:val="24"/>
          <w14:textFill>
            <w14:solidFill>
              <w14:schemeClr w14:val="tx1"/>
            </w14:solidFill>
          </w14:textFill>
        </w:rPr>
        <w:t>AR</w:t>
      </w:r>
      <w:r>
        <w:rPr>
          <w:rFonts w:hint="eastAsia" w:asciiTheme="minorEastAsia" w:hAnsiTheme="minorEastAsia" w:cstheme="minorEastAsia"/>
          <w:color w:val="000000" w:themeColor="text1"/>
          <w:sz w:val="24"/>
          <w14:textFill>
            <w14:solidFill>
              <w14:schemeClr w14:val="tx1"/>
            </w14:solidFill>
          </w14:textFill>
        </w:rPr>
        <w:t>模型，再判断自回归方程的扰动项序列是否存在异方差，如果扰动项存在异方差，则可以用</w:t>
      </w:r>
      <w:r>
        <w:rPr>
          <w:rFonts w:asciiTheme="minorEastAsia" w:hAnsiTheme="minorEastAsia" w:cstheme="minorEastAsia"/>
          <w:color w:val="000000" w:themeColor="text1"/>
          <w:sz w:val="24"/>
          <w14:textFill>
            <w14:solidFill>
              <w14:schemeClr w14:val="tx1"/>
            </w14:solidFill>
          </w14:textFill>
        </w:rPr>
        <w:t>GARCH</w:t>
      </w:r>
      <w:r>
        <w:rPr>
          <w:rFonts w:hint="eastAsia" w:asciiTheme="minorEastAsia" w:hAnsiTheme="minorEastAsia" w:cstheme="minorEastAsia"/>
          <w:color w:val="000000" w:themeColor="text1"/>
          <w:sz w:val="24"/>
          <w14:textFill>
            <w14:solidFill>
              <w14:schemeClr w14:val="tx1"/>
            </w14:solidFill>
          </w14:textFill>
        </w:rPr>
        <w:t>模型拟合，这样建立的模型为</w:t>
      </w:r>
      <w:r>
        <w:rPr>
          <w:rFonts w:asciiTheme="minorEastAsia" w:hAnsiTheme="minorEastAsia" w:cstheme="minorEastAsia"/>
          <w:color w:val="000000" w:themeColor="text1"/>
          <w:sz w:val="24"/>
          <w14:textFill>
            <w14:solidFill>
              <w14:schemeClr w14:val="tx1"/>
            </w14:solidFill>
          </w14:textFill>
        </w:rPr>
        <w:t>AR-GARCH</w:t>
      </w:r>
      <w:r>
        <w:rPr>
          <w:rFonts w:hint="eastAsia" w:asciiTheme="minorEastAsia" w:hAnsiTheme="minorEastAsia" w:cstheme="minorEastAsia"/>
          <w:color w:val="000000" w:themeColor="text1"/>
          <w:sz w:val="24"/>
          <w14:textFill>
            <w14:solidFill>
              <w14:schemeClr w14:val="tx1"/>
            </w14:solidFill>
          </w14:textFill>
        </w:rPr>
        <w:t>模型。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color w:val="000000" w:themeColor="text1"/>
          <w:sz w:val="24"/>
          <w14:textFill>
            <w14:solidFill>
              <w14:schemeClr w14:val="tx1"/>
            </w14:solidFill>
          </w14:textFill>
        </w:rPr>
        <w:t>统计套利策略的中心思想主要是</w:t>
      </w:r>
      <w:r>
        <w:rPr>
          <w:rFonts w:hint="eastAsia" w:asciiTheme="minorEastAsia" w:hAnsiTheme="minorEastAsia" w:cstheme="minorEastAsia"/>
          <w:color w:val="000000" w:themeColor="text1"/>
          <w:sz w:val="24"/>
          <w:lang w:val="en-US" w:eastAsia="zh-CN"/>
          <w14:textFill>
            <w14:solidFill>
              <w14:schemeClr w14:val="tx1"/>
            </w14:solidFill>
          </w14:textFill>
        </w:rPr>
        <w:t>利用价差的</w:t>
      </w:r>
      <w:r>
        <w:rPr>
          <w:rFonts w:hint="eastAsia" w:asciiTheme="minorEastAsia" w:hAnsiTheme="minorEastAsia" w:cstheme="minorEastAsia"/>
          <w:color w:val="000000" w:themeColor="text1"/>
          <w:sz w:val="24"/>
          <w14:textFill>
            <w14:solidFill>
              <w14:schemeClr w14:val="tx1"/>
            </w14:solidFill>
          </w14:textFill>
        </w:rPr>
        <w:t>均值回复</w:t>
      </w:r>
      <w:r>
        <w:rPr>
          <w:rFonts w:hint="eastAsia" w:asciiTheme="minorEastAsia" w:hAnsiTheme="minorEastAsia" w:cstheme="minorEastAsia"/>
          <w:color w:val="000000" w:themeColor="text1"/>
          <w:sz w:val="24"/>
          <w:lang w:val="en-US" w:eastAsia="zh-CN"/>
          <w14:textFill>
            <w14:solidFill>
              <w14:schemeClr w14:val="tx1"/>
            </w14:solidFill>
          </w14:textFill>
        </w:rPr>
        <w:t>特</w:t>
      </w:r>
      <w:r>
        <w:rPr>
          <w:rFonts w:hint="eastAsia" w:asciiTheme="minorEastAsia" w:hAnsiTheme="minorEastAsia" w:cstheme="minorEastAsia"/>
          <w:color w:val="000000" w:themeColor="text1"/>
          <w:sz w:val="24"/>
          <w14:textFill>
            <w14:solidFill>
              <w14:schemeClr w14:val="tx1"/>
            </w14:solidFill>
          </w14:textFill>
        </w:rPr>
        <w:t>性，</w:t>
      </w:r>
      <w:r>
        <w:rPr>
          <w:rFonts w:hint="eastAsia" w:asciiTheme="minorEastAsia" w:hAnsiTheme="minorEastAsia" w:cstheme="minorEastAsia"/>
          <w:color w:val="000000" w:themeColor="text1"/>
          <w:sz w:val="24"/>
          <w:lang w:val="en-US" w:eastAsia="zh-CN"/>
          <w14:textFill>
            <w14:solidFill>
              <w14:schemeClr w14:val="tx1"/>
            </w14:solidFill>
          </w14:textFill>
        </w:rPr>
        <w:t>而</w:t>
      </w:r>
      <w:r>
        <w:rPr>
          <w:rFonts w:asciiTheme="minorEastAsia" w:hAnsiTheme="minorEastAsia" w:cstheme="minorEastAsia"/>
          <w:color w:val="000000" w:themeColor="text1"/>
          <w:sz w:val="24"/>
          <w14:textFill>
            <w14:solidFill>
              <w14:schemeClr w14:val="tx1"/>
            </w14:solidFill>
          </w14:textFill>
        </w:rPr>
        <w:t>GARCH</w:t>
      </w:r>
      <w:r>
        <w:rPr>
          <w:rFonts w:hint="eastAsia" w:asciiTheme="minorEastAsia" w:hAnsiTheme="minorEastAsia" w:cstheme="minorEastAsia"/>
          <w:color w:val="000000" w:themeColor="text1"/>
          <w:sz w:val="24"/>
          <w14:textFill>
            <w14:solidFill>
              <w14:schemeClr w14:val="tx1"/>
            </w14:solidFill>
          </w14:textFill>
        </w:rPr>
        <w:t>模型能较好的刻画价差序列扰动项的波动情况，因此，本文基于统计套利的假设以及均值回</w:t>
      </w:r>
      <w:r>
        <w:rPr>
          <w:rFonts w:hint="eastAsia" w:asciiTheme="minorEastAsia" w:hAnsiTheme="minorEastAsia" w:cstheme="minorEastAsia"/>
          <w:color w:val="000000" w:themeColor="text1"/>
          <w:sz w:val="24"/>
          <w:lang w:val="en-US" w:eastAsia="zh-CN"/>
          <w14:textFill>
            <w14:solidFill>
              <w14:schemeClr w14:val="tx1"/>
            </w14:solidFill>
          </w14:textFill>
        </w:rPr>
        <w:t>复</w:t>
      </w:r>
      <w:r>
        <w:rPr>
          <w:rFonts w:hint="eastAsia" w:asciiTheme="minorEastAsia" w:hAnsiTheme="minorEastAsia" w:cstheme="minorEastAsia"/>
          <w:color w:val="000000" w:themeColor="text1"/>
          <w:sz w:val="24"/>
          <w14:textFill>
            <w14:solidFill>
              <w14:schemeClr w14:val="tx1"/>
            </w14:solidFill>
          </w14:textFill>
        </w:rPr>
        <w:t>性，研究两种国债期货价格之间的相关性以及价差序列的均值回复性，</w:t>
      </w:r>
      <w:r>
        <w:rPr>
          <w:rFonts w:hint="eastAsia" w:asciiTheme="minorEastAsia" w:hAnsiTheme="minorEastAsia" w:cstheme="minorEastAsia"/>
          <w:color w:val="000000" w:themeColor="text1"/>
          <w:sz w:val="24"/>
          <w:lang w:val="en-US" w:eastAsia="zh-CN"/>
          <w14:textFill>
            <w14:solidFill>
              <w14:schemeClr w14:val="tx1"/>
            </w14:solidFill>
          </w14:textFill>
        </w:rPr>
        <w:t>同时</w:t>
      </w:r>
      <w:r>
        <w:rPr>
          <w:rFonts w:hint="eastAsia" w:asciiTheme="minorEastAsia" w:hAnsiTheme="minorEastAsia" w:cstheme="minorEastAsia"/>
          <w:color w:val="000000" w:themeColor="text1"/>
          <w:sz w:val="24"/>
          <w14:textFill>
            <w14:solidFill>
              <w14:schemeClr w14:val="tx1"/>
            </w14:solidFill>
          </w14:textFill>
        </w:rPr>
        <w:t>在此基础上运用</w:t>
      </w:r>
      <w:r>
        <w:rPr>
          <w:rFonts w:asciiTheme="minorEastAsia" w:hAnsiTheme="minorEastAsia" w:cstheme="minorEastAsia"/>
          <w:color w:val="000000" w:themeColor="text1"/>
          <w:sz w:val="24"/>
          <w14:textFill>
            <w14:solidFill>
              <w14:schemeClr w14:val="tx1"/>
            </w14:solidFill>
          </w14:textFill>
        </w:rPr>
        <w:t>AR-GARCH</w:t>
      </w:r>
      <w:r>
        <w:rPr>
          <w:rFonts w:hint="eastAsia" w:asciiTheme="minorEastAsia" w:hAnsiTheme="minorEastAsia" w:cstheme="minorEastAsia"/>
          <w:color w:val="000000" w:themeColor="text1"/>
          <w:sz w:val="24"/>
          <w14:textFill>
            <w14:solidFill>
              <w14:schemeClr w14:val="tx1"/>
            </w14:solidFill>
          </w14:textFill>
        </w:rPr>
        <w:t>模型建模，</w:t>
      </w:r>
      <w:r>
        <w:rPr>
          <w:rFonts w:hint="eastAsia" w:asciiTheme="minorEastAsia" w:hAnsiTheme="minorEastAsia" w:cstheme="minorEastAsia"/>
          <w:color w:val="000000" w:themeColor="text1"/>
          <w:sz w:val="24"/>
          <w:lang w:val="en-US" w:eastAsia="zh-CN"/>
          <w14:textFill>
            <w14:solidFill>
              <w14:schemeClr w14:val="tx1"/>
            </w14:solidFill>
          </w14:textFill>
        </w:rPr>
        <w:t>来</w:t>
      </w:r>
      <w:r>
        <w:rPr>
          <w:rFonts w:hint="eastAsia" w:asciiTheme="minorEastAsia" w:hAnsiTheme="minorEastAsia" w:cstheme="minorEastAsia"/>
          <w:color w:val="000000" w:themeColor="text1"/>
          <w:sz w:val="24"/>
          <w14:textFill>
            <w14:solidFill>
              <w14:schemeClr w14:val="tx1"/>
            </w14:solidFill>
          </w14:textFill>
        </w:rPr>
        <w:t>刻画价差序列的波动，将计量模型与跨品种套利策略相结合，以此</w:t>
      </w:r>
      <w:r>
        <w:rPr>
          <w:rFonts w:hint="eastAsia" w:asciiTheme="minorEastAsia" w:hAnsiTheme="minorEastAsia" w:cstheme="minorEastAsia"/>
          <w:color w:val="000000" w:themeColor="text1"/>
          <w:sz w:val="24"/>
          <w:lang w:val="en-US" w:eastAsia="zh-CN"/>
          <w14:textFill>
            <w14:solidFill>
              <w14:schemeClr w14:val="tx1"/>
            </w14:solidFill>
          </w14:textFill>
        </w:rPr>
        <w:t>来</w:t>
      </w:r>
      <w:r>
        <w:rPr>
          <w:rFonts w:hint="eastAsia" w:asciiTheme="minorEastAsia" w:hAnsiTheme="minorEastAsia" w:cstheme="minorEastAsia"/>
          <w:color w:val="000000" w:themeColor="text1"/>
          <w:sz w:val="24"/>
          <w14:textFill>
            <w14:solidFill>
              <w14:schemeClr w14:val="tx1"/>
            </w14:solidFill>
          </w14:textFill>
        </w:rPr>
        <w:t>研究两种国债期货价格之间的关系</w:t>
      </w:r>
      <w:r>
        <w:rPr>
          <w:rFonts w:hint="eastAsia" w:asciiTheme="minorEastAsia" w:hAnsiTheme="minorEastAsia" w:cstheme="minorEastAsia"/>
          <w:color w:val="000000" w:themeColor="text1"/>
          <w:sz w:val="24"/>
          <w:lang w:val="en-US" w:eastAsia="zh-CN"/>
          <w14:textFill>
            <w14:solidFill>
              <w14:schemeClr w14:val="tx1"/>
            </w14:solidFill>
          </w14:textFill>
        </w:rPr>
        <w:t>以及</w:t>
      </w:r>
      <w:r>
        <w:rPr>
          <w:rFonts w:hint="eastAsia" w:asciiTheme="minorEastAsia" w:hAnsiTheme="minorEastAsia" w:cstheme="minorEastAsia"/>
          <w:color w:val="000000" w:themeColor="text1"/>
          <w:sz w:val="24"/>
          <w14:textFill>
            <w14:solidFill>
              <w14:schemeClr w14:val="tx1"/>
            </w14:solidFill>
          </w14:textFill>
        </w:rPr>
        <w:t>基于</w:t>
      </w:r>
      <w:r>
        <w:rPr>
          <w:rFonts w:asciiTheme="minorEastAsia" w:hAnsiTheme="minorEastAsia" w:cstheme="minorEastAsia"/>
          <w:color w:val="000000" w:themeColor="text1"/>
          <w:sz w:val="24"/>
          <w14:textFill>
            <w14:solidFill>
              <w14:schemeClr w14:val="tx1"/>
            </w14:solidFill>
          </w14:textFill>
        </w:rPr>
        <w:t>AR-GARCH</w:t>
      </w:r>
      <w:r>
        <w:rPr>
          <w:rFonts w:hint="eastAsia" w:asciiTheme="minorEastAsia" w:hAnsiTheme="minorEastAsia" w:cstheme="minorEastAsia"/>
          <w:color w:val="000000" w:themeColor="text1"/>
          <w:sz w:val="24"/>
          <w14:textFill>
            <w14:solidFill>
              <w14:schemeClr w14:val="tx1"/>
            </w14:solidFill>
          </w14:textFill>
        </w:rPr>
        <w:t>模型的国债期货跨品种套利策略在我国</w:t>
      </w:r>
      <w:r>
        <w:rPr>
          <w:rFonts w:hint="eastAsia" w:asciiTheme="minorEastAsia" w:hAnsiTheme="minorEastAsia" w:cstheme="minorEastAsia"/>
          <w:color w:val="000000" w:themeColor="text1"/>
          <w:sz w:val="24"/>
          <w:lang w:val="en-US" w:eastAsia="zh-CN"/>
          <w14:textFill>
            <w14:solidFill>
              <w14:schemeClr w14:val="tx1"/>
            </w14:solidFill>
          </w14:textFill>
        </w:rPr>
        <w:t>金融</w:t>
      </w:r>
      <w:r>
        <w:rPr>
          <w:rFonts w:hint="eastAsia" w:asciiTheme="minorEastAsia" w:hAnsiTheme="minorEastAsia" w:cstheme="minorEastAsia"/>
          <w:color w:val="000000" w:themeColor="text1"/>
          <w:sz w:val="24"/>
          <w14:textFill>
            <w14:solidFill>
              <w14:schemeClr w14:val="tx1"/>
            </w14:solidFill>
          </w14:textFill>
        </w:rPr>
        <w:t>市场上</w:t>
      </w:r>
      <w:r>
        <w:rPr>
          <w:rFonts w:hint="eastAsia" w:asciiTheme="minorEastAsia" w:hAnsiTheme="minorEastAsia" w:cstheme="minorEastAsia"/>
          <w:color w:val="000000" w:themeColor="text1"/>
          <w:sz w:val="24"/>
          <w:lang w:val="en-US" w:eastAsia="zh-CN"/>
          <w14:textFill>
            <w14:solidFill>
              <w14:schemeClr w14:val="tx1"/>
            </w14:solidFill>
          </w14:textFill>
        </w:rPr>
        <w:t>的</w:t>
      </w:r>
      <w:r>
        <w:rPr>
          <w:rFonts w:hint="eastAsia" w:asciiTheme="minorEastAsia" w:hAnsiTheme="minorEastAsia" w:cstheme="minorEastAsia"/>
          <w:color w:val="000000" w:themeColor="text1"/>
          <w:sz w:val="24"/>
          <w14:textFill>
            <w14:solidFill>
              <w14:schemeClr w14:val="tx1"/>
            </w14:solidFill>
          </w14:textFill>
        </w:rPr>
        <w:t>适用</w:t>
      </w:r>
      <w:r>
        <w:rPr>
          <w:rFonts w:hint="eastAsia" w:asciiTheme="minorEastAsia" w:hAnsiTheme="minorEastAsia" w:cstheme="minorEastAsia"/>
          <w:color w:val="000000" w:themeColor="text1"/>
          <w:sz w:val="24"/>
          <w:lang w:val="en-US" w:eastAsia="zh-CN"/>
          <w14:textFill>
            <w14:solidFill>
              <w14:schemeClr w14:val="tx1"/>
            </w14:solidFill>
          </w14:textFill>
        </w:rPr>
        <w:t>性</w:t>
      </w:r>
      <w:r>
        <w:rPr>
          <w:rFonts w:hint="eastAsia" w:asciiTheme="minorEastAsia" w:hAnsiTheme="minorEastAsia" w:cstheme="minorEastAsia"/>
          <w:color w:val="000000" w:themeColor="text1"/>
          <w:sz w:val="24"/>
          <w14:textFill>
            <w14:solidFill>
              <w14:schemeClr w14:val="tx1"/>
            </w14:solidFill>
          </w14:textFill>
        </w:rPr>
        <w:t>以及</w:t>
      </w:r>
      <w:r>
        <w:rPr>
          <w:rFonts w:hint="eastAsia" w:asciiTheme="minorEastAsia" w:hAnsiTheme="minorEastAsia" w:cstheme="minorEastAsia"/>
          <w:color w:val="000000" w:themeColor="text1"/>
          <w:sz w:val="24"/>
          <w:lang w:val="en-US" w:eastAsia="zh-CN"/>
          <w14:textFill>
            <w14:solidFill>
              <w14:schemeClr w14:val="tx1"/>
            </w14:solidFill>
          </w14:textFill>
        </w:rPr>
        <w:t>对</w:t>
      </w:r>
      <w:r>
        <w:rPr>
          <w:rFonts w:hint="eastAsia" w:asciiTheme="minorEastAsia" w:hAnsiTheme="minorEastAsia" w:cstheme="minorEastAsia"/>
          <w:color w:val="000000" w:themeColor="text1"/>
          <w:sz w:val="24"/>
          <w14:textFill>
            <w14:solidFill>
              <w14:schemeClr w14:val="tx1"/>
            </w14:solidFill>
          </w14:textFill>
        </w:rPr>
        <w:t>策略结果</w:t>
      </w:r>
      <w:r>
        <w:rPr>
          <w:rFonts w:hint="eastAsia" w:asciiTheme="minorEastAsia" w:hAnsiTheme="minorEastAsia" w:cstheme="minorEastAsia"/>
          <w:color w:val="000000" w:themeColor="text1"/>
          <w:sz w:val="24"/>
          <w:lang w:val="en-US" w:eastAsia="zh-CN"/>
          <w14:textFill>
            <w14:solidFill>
              <w14:schemeClr w14:val="tx1"/>
            </w14:solidFill>
          </w14:textFill>
        </w:rPr>
        <w:t>进行</w:t>
      </w:r>
      <w:r>
        <w:rPr>
          <w:rFonts w:hint="eastAsia" w:asciiTheme="minorEastAsia" w:hAnsiTheme="minorEastAsia" w:cstheme="minorEastAsia"/>
          <w:color w:val="000000" w:themeColor="text1"/>
          <w:sz w:val="24"/>
          <w14:textFill>
            <w14:solidFill>
              <w14:schemeClr w14:val="tx1"/>
            </w14:solidFill>
          </w14:textFill>
        </w:rPr>
        <w:t>统计分析和策略的有效性</w:t>
      </w:r>
      <w:r>
        <w:rPr>
          <w:rFonts w:hint="eastAsia" w:asciiTheme="minorEastAsia" w:hAnsiTheme="minorEastAsia" w:cstheme="minorEastAsia"/>
          <w:color w:val="000000" w:themeColor="text1"/>
          <w:sz w:val="24"/>
          <w:lang w:val="en-US" w:eastAsia="zh-CN"/>
          <w14:textFill>
            <w14:solidFill>
              <w14:schemeClr w14:val="tx1"/>
            </w14:solidFill>
          </w14:textFill>
        </w:rPr>
        <w:t>进行</w:t>
      </w:r>
      <w:r>
        <w:rPr>
          <w:rFonts w:hint="eastAsia" w:asciiTheme="minorEastAsia" w:hAnsiTheme="minorEastAsia" w:cstheme="minorEastAsia"/>
          <w:color w:val="000000" w:themeColor="text1"/>
          <w:sz w:val="24"/>
          <w14:textFill>
            <w14:solidFill>
              <w14:schemeClr w14:val="tx1"/>
            </w14:solidFill>
          </w14:textFill>
        </w:rPr>
        <w:t>分析。</w:t>
      </w:r>
      <w:r>
        <w:rPr>
          <w:rFonts w:hint="eastAsia" w:asciiTheme="minorEastAsia" w:hAnsiTheme="minorEastAsia" w:cstheme="minorEastAsia"/>
          <w:sz w:val="24"/>
        </w:rPr>
        <w:t xml:space="preserve"> </w:t>
      </w:r>
    </w:p>
    <w:p>
      <w:pPr>
        <w:pStyle w:val="3"/>
        <w:keepNext/>
        <w:keepLines/>
        <w:pageBreakBefore w:val="0"/>
        <w:widowControl w:val="0"/>
        <w:kinsoku/>
        <w:wordWrap/>
        <w:overflowPunct/>
        <w:topLinePunct w:val="0"/>
        <w:autoSpaceDE/>
        <w:autoSpaceDN/>
        <w:bidi w:val="0"/>
        <w:adjustRightInd/>
        <w:snapToGrid/>
        <w:spacing w:before="480" w:after="120" w:line="400" w:lineRule="atLeast"/>
        <w:jc w:val="left"/>
        <w:textAlignment w:val="auto"/>
        <w:rPr>
          <w:rFonts w:hint="default" w:eastAsia="黑体"/>
          <w:sz w:val="28"/>
          <w:szCs w:val="28"/>
          <w:lang w:val="en-US" w:eastAsia="zh-CN"/>
        </w:rPr>
      </w:pPr>
      <w:bookmarkStart w:id="117" w:name="_Toc14290"/>
      <w:r>
        <w:rPr>
          <w:rFonts w:hint="eastAsia" w:ascii="黑体" w:hAnsi="黑体" w:cs="黑体"/>
          <w:b w:val="0"/>
          <w:bCs/>
          <w:sz w:val="28"/>
          <w:szCs w:val="28"/>
          <w:lang w:val="en-US" w:eastAsia="zh-CN"/>
        </w:rPr>
        <w:t>2</w:t>
      </w:r>
      <w:r>
        <w:rPr>
          <w:rFonts w:hint="eastAsia" w:ascii="黑体" w:hAnsi="黑体" w:eastAsia="黑体" w:cs="黑体"/>
          <w:b w:val="0"/>
          <w:bCs/>
          <w:sz w:val="28"/>
          <w:szCs w:val="28"/>
        </w:rPr>
        <w:t>.</w:t>
      </w:r>
      <w:r>
        <w:rPr>
          <w:rFonts w:hint="eastAsia" w:ascii="黑体" w:hAnsi="黑体" w:cs="黑体"/>
          <w:b w:val="0"/>
          <w:bCs/>
          <w:sz w:val="28"/>
          <w:szCs w:val="28"/>
          <w:lang w:val="en-US" w:eastAsia="zh-CN"/>
        </w:rPr>
        <w:t>3 交易原则</w:t>
      </w:r>
      <w:bookmarkEnd w:id="117"/>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根据统计套利原理，若两种期货价格之间有长期的稳定关系，那么即使价差出现了短暂的偏离均衡价差，但在长期价差在大概率下是向均衡价差收敛的，因此可以利用价差偏离一定程度的均衡价差进行套利。而价差偏离程度即波动程度可以用方差来表示，因此可以利用价差与标准差之间的关系进行套利策略的研究。套利交易原则如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当价差偏离均衡价差，且大于均衡价差时，若偏离程度超过n倍的标准差，进行反向套利，即做空价差。</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当价差偏离均衡价差，且小于均衡价差时，若偏离程度超过-n倍的标准差，进行正向套利，即做多价差。</w:t>
      </w:r>
    </w:p>
    <w:p>
      <w:pPr>
        <w:pStyle w:val="2"/>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ascii="黑体" w:hAnsi="黑体" w:eastAsia="黑体" w:cs="黑体"/>
          <w:b w:val="0"/>
          <w:bCs w:val="0"/>
          <w:sz w:val="32"/>
          <w:szCs w:val="32"/>
          <w:lang w:val="en-US" w:eastAsia="zh-CN"/>
        </w:rPr>
      </w:pPr>
      <w:bookmarkStart w:id="118" w:name="_Toc8713"/>
      <w:bookmarkStart w:id="119" w:name="_Toc27413"/>
      <w:bookmarkStart w:id="120" w:name="_Toc11799"/>
      <w:bookmarkStart w:id="121" w:name="_Toc3928"/>
      <w:bookmarkStart w:id="122" w:name="_Toc20607"/>
      <w:r>
        <w:rPr>
          <w:rFonts w:hint="eastAsia" w:ascii="黑体" w:hAnsi="黑体" w:eastAsia="黑体" w:cs="黑体"/>
          <w:b w:val="0"/>
          <w:bCs w:val="0"/>
          <w:sz w:val="32"/>
          <w:szCs w:val="32"/>
          <w:lang w:val="en-US" w:eastAsia="zh-CN"/>
        </w:rPr>
        <w:t xml:space="preserve">3 </w:t>
      </w:r>
      <w:r>
        <w:rPr>
          <w:rFonts w:hint="eastAsia" w:ascii="黑体" w:hAnsi="黑体" w:eastAsia="黑体" w:cs="黑体"/>
          <w:b w:val="0"/>
          <w:bCs w:val="0"/>
          <w:sz w:val="32"/>
          <w:szCs w:val="32"/>
        </w:rPr>
        <w:t>期货的套利交易现状</w:t>
      </w:r>
      <w:bookmarkEnd w:id="118"/>
      <w:bookmarkEnd w:id="119"/>
      <w:bookmarkEnd w:id="120"/>
      <w:bookmarkEnd w:id="121"/>
      <w:bookmarkEnd w:id="122"/>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rPr>
      </w:pPr>
      <w:r>
        <w:rPr>
          <w:rFonts w:hint="eastAsia" w:asciiTheme="minorEastAsia" w:hAnsiTheme="minorEastAsia" w:cstheme="minorEastAsia"/>
          <w:sz w:val="24"/>
          <w:lang w:val="en-US" w:eastAsia="zh-CN"/>
        </w:rPr>
        <w:t xml:space="preserve">  </w:t>
      </w:r>
      <w:r>
        <w:rPr>
          <w:rFonts w:hint="eastAsia" w:ascii="宋体" w:hAnsi="宋体" w:eastAsia="宋体" w:cs="宋体"/>
          <w:sz w:val="24"/>
          <w:lang w:val="en-US" w:eastAsia="zh-CN"/>
        </w:rPr>
        <w:t xml:space="preserve">  随着市场的不断发展以及投资者对金融产品、金融知识的深入研究，使得投资者对资金的应用效率、回报、风险有了更加精细的研究，故对金融产品的交易研究也在不断增多。最早更多的是商品期货与现货间的套利，投资者利用期货来回避现货的价格波动，从而达到套期保值的作用。随着市场逐渐的成熟出现了套利者、投机者利用金融产品现货与期货价格之间的关系、同一金融产品不同期限期限价格之间存在的关系、同一金融产品在不同市场上的价格关系以及存在较大相关性金融产品价格之间的关系进行套利交易、投机交易。</w:t>
      </w:r>
      <w:r>
        <w:rPr>
          <w:rFonts w:hint="eastAsia" w:ascii="宋体" w:hAnsi="宋体" w:eastAsia="宋体" w:cs="宋体"/>
          <w:sz w:val="24"/>
        </w:rPr>
        <w:t>本文主要研究的国债期货的套利策略，以下是对国内套利现状以及国债期货套利的简单阐述。</w:t>
      </w:r>
    </w:p>
    <w:p>
      <w:pPr>
        <w:pStyle w:val="3"/>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rPr>
      </w:pPr>
      <w:bookmarkStart w:id="123" w:name="_Toc27120"/>
      <w:bookmarkStart w:id="124" w:name="_Toc2843"/>
      <w:bookmarkStart w:id="125" w:name="_Toc20456"/>
      <w:bookmarkStart w:id="126" w:name="_Toc28543"/>
      <w:bookmarkStart w:id="127" w:name="_Toc2330"/>
      <w:r>
        <w:rPr>
          <w:rFonts w:hint="eastAsia" w:ascii="黑体" w:hAnsi="黑体" w:cs="黑体"/>
          <w:b w:val="0"/>
          <w:bCs/>
          <w:sz w:val="28"/>
          <w:szCs w:val="28"/>
          <w:lang w:val="en-US" w:eastAsia="zh-CN"/>
        </w:rPr>
        <w:t>3</w:t>
      </w:r>
      <w:r>
        <w:rPr>
          <w:rFonts w:hint="eastAsia" w:ascii="黑体" w:hAnsi="黑体" w:eastAsia="黑体" w:cs="黑体"/>
          <w:b w:val="0"/>
          <w:bCs/>
          <w:sz w:val="28"/>
          <w:szCs w:val="28"/>
        </w:rPr>
        <w:t>.1</w:t>
      </w:r>
      <w:r>
        <w:rPr>
          <w:rFonts w:hint="eastAsia" w:ascii="黑体" w:hAnsi="黑体" w:cs="黑体"/>
          <w:b w:val="0"/>
          <w:bCs/>
          <w:sz w:val="28"/>
          <w:szCs w:val="28"/>
          <w:lang w:val="en-US" w:eastAsia="zh-CN"/>
        </w:rPr>
        <w:t xml:space="preserve"> </w:t>
      </w:r>
      <w:r>
        <w:rPr>
          <w:rFonts w:hint="eastAsia" w:ascii="黑体" w:hAnsi="黑体" w:eastAsia="黑体" w:cs="黑体"/>
          <w:b w:val="0"/>
          <w:bCs/>
          <w:sz w:val="28"/>
          <w:szCs w:val="28"/>
        </w:rPr>
        <w:t>套利交易发展现状</w:t>
      </w:r>
      <w:bookmarkEnd w:id="123"/>
      <w:bookmarkEnd w:id="124"/>
      <w:bookmarkEnd w:id="125"/>
      <w:bookmarkEnd w:id="126"/>
      <w:bookmarkEnd w:id="12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bookmarkStart w:id="128" w:name="_Toc7640"/>
      <w:bookmarkStart w:id="129" w:name="_Toc12339"/>
      <w:bookmarkStart w:id="130" w:name="_Toc25854"/>
      <w:bookmarkStart w:id="131" w:name="_Toc26919"/>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套利交易发展现状</w:t>
      </w:r>
      <w:bookmarkEnd w:id="128"/>
      <w:bookmarkEnd w:id="129"/>
      <w:bookmarkEnd w:id="130"/>
      <w:bookmarkEnd w:id="131"/>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套利策略</w:t>
      </w:r>
      <w:r>
        <w:rPr>
          <w:rFonts w:hint="eastAsia" w:asciiTheme="minorEastAsia" w:hAnsiTheme="minorEastAsia" w:cstheme="minorEastAsia"/>
          <w:sz w:val="24"/>
          <w:lang w:val="en-US" w:eastAsia="zh-CN"/>
        </w:rPr>
        <w:t>是投资者在金融市场上利用一些金融产品的收益率与其价格的短期性的不一致从而获取收益的策略。一般可以利用套利策略</w:t>
      </w:r>
      <w:r>
        <w:rPr>
          <w:rFonts w:hint="eastAsia" w:asciiTheme="minorEastAsia" w:hAnsiTheme="minorEastAsia" w:cstheme="minorEastAsia"/>
          <w:sz w:val="24"/>
        </w:rPr>
        <w:t>消除系统性风险，获得无风险或低风险收益</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套利策略的类型</w:t>
      </w:r>
      <w:r>
        <w:rPr>
          <w:rFonts w:hint="eastAsia" w:asciiTheme="minorEastAsia" w:hAnsiTheme="minorEastAsia" w:cstheme="minorEastAsia"/>
          <w:sz w:val="24"/>
        </w:rPr>
        <w:t>主要包括期现套利、跨期套利、跨市场套利、跨品种套利。当资产价格以某种形式发生偏差时，套利策略发现机会并赚取价差。套利策略通过一次次的微小利润，实现收益的稳定增长，是一种低风险、中等收益的策略。套利策略都是基于量化模型的，也是程序化交易运用最广泛的领域，因为无论是发现机会还是执行交易计算机都能发挥优势。期货套利一般是同时持有两个相反方向的期货合约，使得同时影响两个期货合约价格的共同因素被抵消，只保留单独影响不同期货合约价格的因素，而这部分因素的数量较少。假设某个投资者不能对宏观经济变化、重点行业变化和现货市场情绪等因素很好把握，那么在价格交易中，该投资者很难实现盈利，但在套利交易中，由于共同的影响因素被对冲掉了，可能实现稳定获利。</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早在欧美资本市场套利交易盛极一时，创造了辉煌的投资业绩，但在国内由于缺乏做空机制使得套利交易受到阻碍，截至</w:t>
      </w:r>
      <w:r>
        <w:rPr>
          <w:rFonts w:hint="eastAsia" w:asciiTheme="minorEastAsia" w:hAnsiTheme="minorEastAsia" w:cstheme="minorEastAsia"/>
          <w:sz w:val="24"/>
        </w:rPr>
        <w:t>目前</w:t>
      </w:r>
      <w:r>
        <w:rPr>
          <w:rFonts w:hint="eastAsia" w:asciiTheme="minorEastAsia" w:hAnsiTheme="minorEastAsia" w:cstheme="minorEastAsia"/>
          <w:sz w:val="24"/>
          <w:lang w:val="en-US" w:eastAsia="zh-CN"/>
        </w:rPr>
        <w:t>套利规模最大的前十种套利品种仍然是商品期货的套利，然而商品期货套利的相关法规政策也相对更加完善。在融资融券、股指期货和国债期货推出以后，这一局面得到了缓解，各大券商和其他资产管理机构对套利交易展开了深度的研究，套利交易在国内市场如火如荼地发展起来了，除商品期货套利外</w:t>
      </w:r>
      <w:r>
        <w:rPr>
          <w:rFonts w:hint="eastAsia" w:asciiTheme="minorEastAsia" w:hAnsiTheme="minorEastAsia" w:cstheme="minorEastAsia"/>
          <w:sz w:val="24"/>
        </w:rPr>
        <w:t>在国内运用得比较广泛的是</w:t>
      </w:r>
      <w:r>
        <w:rPr>
          <w:rFonts w:hint="eastAsia" w:asciiTheme="minorEastAsia" w:hAnsiTheme="minorEastAsia" w:cstheme="minorEastAsia"/>
          <w:sz w:val="24"/>
          <w:lang w:val="en-US" w:eastAsia="zh-CN"/>
        </w:rPr>
        <w:t>股指期货套利、</w:t>
      </w:r>
      <w:r>
        <w:rPr>
          <w:rFonts w:hint="eastAsia" w:asciiTheme="minorEastAsia" w:hAnsiTheme="minorEastAsia" w:cstheme="minorEastAsia"/>
          <w:sz w:val="24"/>
        </w:rPr>
        <w:t>分级基金套利、ETF套利等</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在2014-2015年套利被投资者狂热追捧，但在股灾之后，随着一些对股指期货限制政策的出台，股指期货的</w:t>
      </w:r>
      <w:r>
        <w:rPr>
          <w:rFonts w:hint="eastAsia" w:asciiTheme="minorEastAsia" w:hAnsiTheme="minorEastAsia" w:cstheme="minorEastAsia"/>
          <w:sz w:val="24"/>
        </w:rPr>
        <w:t>套利受到限制，套利成本增加，</w:t>
      </w:r>
      <w:r>
        <w:rPr>
          <w:rFonts w:hint="eastAsia" w:asciiTheme="minorEastAsia" w:hAnsiTheme="minorEastAsia" w:cstheme="minorEastAsia"/>
          <w:sz w:val="24"/>
          <w:lang w:val="en-US" w:eastAsia="zh-CN"/>
        </w:rPr>
        <w:t>套利空间缩小，在2020年年末股指期货套利的日平均成交量仅在1万手左右，与商品期货的套利规模相差甚远。由于国债期货上市晚，近几年来交易品种才在不断增多，故套利规模小于股指期货套利规模。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bookmarkStart w:id="132" w:name="_Toc26419"/>
      <w:bookmarkStart w:id="133" w:name="_Toc2773"/>
      <w:bookmarkStart w:id="134" w:name="_Toc3001"/>
      <w:bookmarkStart w:id="135" w:name="_Toc20855"/>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国内套利市场环境存在的问题</w:t>
      </w:r>
      <w:bookmarkEnd w:id="132"/>
      <w:bookmarkEnd w:id="133"/>
      <w:bookmarkEnd w:id="134"/>
      <w:bookmarkEnd w:id="135"/>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中国衍生品的流动性比较差</w:t>
      </w:r>
      <w:r>
        <w:rPr>
          <w:rFonts w:hint="eastAsia" w:ascii="宋体" w:hAnsi="宋体" w:eastAsia="宋体" w:cs="宋体"/>
          <w:sz w:val="24"/>
          <w:szCs w:val="24"/>
          <w:lang w:eastAsia="zh-CN"/>
        </w:rPr>
        <w:t>，</w:t>
      </w:r>
      <w:r>
        <w:rPr>
          <w:rFonts w:hint="eastAsia" w:ascii="宋体" w:hAnsi="宋体" w:eastAsia="宋体" w:cs="宋体"/>
          <w:sz w:val="24"/>
          <w:szCs w:val="24"/>
        </w:rPr>
        <w:t>市场的有效性比较弱，</w:t>
      </w:r>
      <w:r>
        <w:rPr>
          <w:rFonts w:hint="eastAsia" w:ascii="宋体" w:hAnsi="宋体" w:eastAsia="宋体" w:cs="宋体"/>
          <w:sz w:val="24"/>
          <w:szCs w:val="24"/>
          <w:lang w:val="en-US" w:eastAsia="zh-CN"/>
        </w:rPr>
        <w:t>市场价格的反应不足，因此理论的套利区间与实际脱节，存在价格不合理且长时间偏离的情况，从而影响套利交易的进行。</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）交易成本比较高</w:t>
      </w:r>
      <w:r>
        <w:rPr>
          <w:rFonts w:hint="eastAsia" w:ascii="宋体" w:hAnsi="宋体" w:eastAsia="宋体" w:cs="宋体"/>
          <w:sz w:val="24"/>
          <w:szCs w:val="24"/>
          <w:lang w:eastAsia="zh-CN"/>
        </w:rPr>
        <w:t>。</w:t>
      </w:r>
      <w:r>
        <w:rPr>
          <w:rFonts w:hint="eastAsia" w:ascii="宋体" w:hAnsi="宋体" w:eastAsia="宋体" w:cs="宋体"/>
          <w:sz w:val="24"/>
          <w:szCs w:val="24"/>
        </w:rPr>
        <w:t>目前的交易成本还是偏高，包括现在的保证金，以及</w:t>
      </w:r>
      <w:r>
        <w:rPr>
          <w:rFonts w:hint="eastAsia" w:ascii="宋体" w:hAnsi="宋体" w:eastAsia="宋体" w:cs="宋体"/>
          <w:sz w:val="24"/>
          <w:szCs w:val="24"/>
          <w:lang w:val="en-US" w:eastAsia="zh-CN"/>
        </w:rPr>
        <w:t>交易</w:t>
      </w:r>
      <w:r>
        <w:rPr>
          <w:rFonts w:hint="eastAsia" w:ascii="宋体" w:hAnsi="宋体" w:eastAsia="宋体" w:cs="宋体"/>
          <w:sz w:val="24"/>
          <w:szCs w:val="24"/>
        </w:rPr>
        <w:t>的手续费。</w:t>
      </w:r>
      <w:r>
        <w:rPr>
          <w:rFonts w:hint="eastAsia" w:ascii="宋体" w:hAnsi="宋体" w:eastAsia="宋体" w:cs="宋体"/>
          <w:sz w:val="24"/>
          <w:szCs w:val="24"/>
          <w:lang w:val="en-US" w:eastAsia="zh-CN"/>
        </w:rPr>
        <w:t>在四家期货交易所中只有大连商品交易所制定套利交易的保证金比率以及手续费率，且套利交易的手续费低于单边交易的手续费率，但是其他期货交易所对于套利交易的手续费与单边交易的手续费相同，且在</w:t>
      </w:r>
      <w:r>
        <w:rPr>
          <w:rFonts w:hint="eastAsia" w:ascii="宋体" w:hAnsi="宋体" w:eastAsia="宋体" w:cs="宋体"/>
          <w:sz w:val="24"/>
          <w:szCs w:val="24"/>
        </w:rPr>
        <w:t>股灾之后，中金所出台了三大政策，对股指期货</w:t>
      </w:r>
      <w:r>
        <w:rPr>
          <w:rFonts w:hint="eastAsia" w:ascii="宋体" w:hAnsi="宋体" w:eastAsia="宋体" w:cs="宋体"/>
          <w:sz w:val="24"/>
          <w:szCs w:val="24"/>
          <w:lang w:val="en-US" w:eastAsia="zh-CN"/>
        </w:rPr>
        <w:t>的</w:t>
      </w:r>
      <w:r>
        <w:rPr>
          <w:rFonts w:hint="eastAsia" w:ascii="宋体" w:hAnsi="宋体" w:eastAsia="宋体" w:cs="宋体"/>
          <w:sz w:val="24"/>
          <w:szCs w:val="24"/>
        </w:rPr>
        <w:t>日内开仓量、保证金、平</w:t>
      </w:r>
      <w:r>
        <w:rPr>
          <w:rFonts w:hint="eastAsia" w:ascii="宋体" w:hAnsi="宋体" w:eastAsia="宋体" w:cs="宋体"/>
          <w:sz w:val="24"/>
          <w:szCs w:val="24"/>
          <w:lang w:val="en-US" w:eastAsia="zh-CN"/>
        </w:rPr>
        <w:t>今</w:t>
      </w:r>
      <w:r>
        <w:rPr>
          <w:rFonts w:hint="eastAsia" w:ascii="宋体" w:hAnsi="宋体" w:eastAsia="宋体" w:cs="宋体"/>
          <w:sz w:val="24"/>
          <w:szCs w:val="24"/>
        </w:rPr>
        <w:t>仓交易手续费进行了限制。这些政策的实施使得套利受到限制，套利成本增加，套利空间缩小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可能存在套利收益被高额的成本抵消，其不利于市场的发展。中金所上市的金融期货交易成本如下表3.1：</w:t>
      </w:r>
    </w:p>
    <w:p>
      <w:pPr>
        <w:keepNext w:val="0"/>
        <w:keepLines w:val="0"/>
        <w:pageBreakBefore w:val="0"/>
        <w:widowControl/>
        <w:kinsoku/>
        <w:wordWrap/>
        <w:overflowPunct/>
        <w:topLinePunct w:val="0"/>
        <w:autoSpaceDE/>
        <w:autoSpaceDN/>
        <w:bidi w:val="0"/>
        <w:adjustRightInd/>
        <w:snapToGrid/>
        <w:spacing w:before="240" w:after="120" w:line="240" w:lineRule="auto"/>
        <w:ind w:firstLine="0" w:firstLine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表3.1  金融期货交易成本</w:t>
      </w:r>
    </w:p>
    <w:tbl>
      <w:tblPr>
        <w:tblStyle w:val="14"/>
        <w:tblW w:w="8268" w:type="dxa"/>
        <w:tblInd w:w="0" w:type="dxa"/>
        <w:shd w:val="clear" w:color="auto" w:fill="auto"/>
        <w:tblLayout w:type="fixed"/>
        <w:tblCellMar>
          <w:top w:w="0" w:type="dxa"/>
          <w:left w:w="0" w:type="dxa"/>
          <w:bottom w:w="0" w:type="dxa"/>
          <w:right w:w="0" w:type="dxa"/>
        </w:tblCellMar>
      </w:tblPr>
      <w:tblGrid>
        <w:gridCol w:w="1950"/>
        <w:gridCol w:w="1114"/>
        <w:gridCol w:w="1350"/>
        <w:gridCol w:w="1292"/>
        <w:gridCol w:w="1454"/>
        <w:gridCol w:w="1108"/>
      </w:tblGrid>
      <w:tr>
        <w:tblPrEx>
          <w:shd w:val="clear" w:color="auto" w:fill="auto"/>
          <w:tblCellMar>
            <w:top w:w="0" w:type="dxa"/>
            <w:left w:w="0" w:type="dxa"/>
            <w:bottom w:w="0" w:type="dxa"/>
            <w:right w:w="0" w:type="dxa"/>
          </w:tblCellMar>
        </w:tblPrEx>
        <w:trPr>
          <w:trHeight w:val="285" w:hRule="atLeast"/>
        </w:trPr>
        <w:tc>
          <w:tcPr>
            <w:tcW w:w="19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114"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最低交易保证金</w:t>
            </w:r>
          </w:p>
        </w:tc>
        <w:tc>
          <w:tcPr>
            <w:tcW w:w="13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多头合约保证金标准</w:t>
            </w:r>
          </w:p>
        </w:tc>
        <w:tc>
          <w:tcPr>
            <w:tcW w:w="1292"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空头合约保证金标准</w:t>
            </w:r>
          </w:p>
        </w:tc>
        <w:tc>
          <w:tcPr>
            <w:tcW w:w="1454"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交易手续费</w:t>
            </w:r>
          </w:p>
        </w:tc>
        <w:tc>
          <w:tcPr>
            <w:tcW w:w="1108"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平今仓收取率</w:t>
            </w:r>
          </w:p>
        </w:tc>
      </w:tr>
      <w:tr>
        <w:tblPrEx>
          <w:shd w:val="clear" w:color="auto" w:fill="auto"/>
          <w:tblCellMar>
            <w:top w:w="0" w:type="dxa"/>
            <w:left w:w="0" w:type="dxa"/>
            <w:bottom w:w="0" w:type="dxa"/>
            <w:right w:w="0" w:type="dxa"/>
          </w:tblCellMar>
        </w:tblPrEx>
        <w:trPr>
          <w:trHeight w:val="285" w:hRule="atLeast"/>
        </w:trPr>
        <w:tc>
          <w:tcPr>
            <w:tcW w:w="1950"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沪深300股指期货</w:t>
            </w:r>
          </w:p>
        </w:tc>
        <w:tc>
          <w:tcPr>
            <w:tcW w:w="1114"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1350"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1292"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1454"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万分之0.23</w:t>
            </w:r>
          </w:p>
        </w:tc>
        <w:tc>
          <w:tcPr>
            <w:tcW w:w="1108"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1500%</w:t>
            </w:r>
          </w:p>
        </w:tc>
      </w:tr>
      <w:tr>
        <w:tblPrEx>
          <w:shd w:val="clear" w:color="auto" w:fill="auto"/>
          <w:tblCellMar>
            <w:top w:w="0" w:type="dxa"/>
            <w:left w:w="0" w:type="dxa"/>
            <w:bottom w:w="0" w:type="dxa"/>
            <w:right w:w="0" w:type="dxa"/>
          </w:tblCellMar>
        </w:tblPrEx>
        <w:trPr>
          <w:trHeight w:val="285" w:hRule="atLeast"/>
        </w:trPr>
        <w:tc>
          <w:tcPr>
            <w:tcW w:w="19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中证500股指期货</w:t>
            </w:r>
          </w:p>
        </w:tc>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13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w:t>
            </w:r>
          </w:p>
        </w:tc>
        <w:tc>
          <w:tcPr>
            <w:tcW w:w="1292"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w:t>
            </w:r>
          </w:p>
        </w:tc>
        <w:tc>
          <w:tcPr>
            <w:tcW w:w="145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万分之0.23</w:t>
            </w:r>
          </w:p>
        </w:tc>
        <w:tc>
          <w:tcPr>
            <w:tcW w:w="1108"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1500%</w:t>
            </w:r>
          </w:p>
        </w:tc>
      </w:tr>
      <w:tr>
        <w:tblPrEx>
          <w:shd w:val="clear" w:color="auto" w:fill="auto"/>
          <w:tblCellMar>
            <w:top w:w="0" w:type="dxa"/>
            <w:left w:w="0" w:type="dxa"/>
            <w:bottom w:w="0" w:type="dxa"/>
            <w:right w:w="0" w:type="dxa"/>
          </w:tblCellMar>
        </w:tblPrEx>
        <w:trPr>
          <w:trHeight w:val="285" w:hRule="atLeast"/>
        </w:trPr>
        <w:tc>
          <w:tcPr>
            <w:tcW w:w="19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上证50股指期货</w:t>
            </w:r>
          </w:p>
        </w:tc>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13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1292"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145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万分之0.23</w:t>
            </w:r>
          </w:p>
        </w:tc>
        <w:tc>
          <w:tcPr>
            <w:tcW w:w="1108"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1500%</w:t>
            </w:r>
          </w:p>
        </w:tc>
      </w:tr>
      <w:tr>
        <w:tblPrEx>
          <w:shd w:val="clear" w:color="auto" w:fill="auto"/>
          <w:tblCellMar>
            <w:top w:w="0" w:type="dxa"/>
            <w:left w:w="0" w:type="dxa"/>
            <w:bottom w:w="0" w:type="dxa"/>
            <w:right w:w="0" w:type="dxa"/>
          </w:tblCellMar>
        </w:tblPrEx>
        <w:trPr>
          <w:trHeight w:val="285" w:hRule="atLeast"/>
        </w:trPr>
        <w:tc>
          <w:tcPr>
            <w:tcW w:w="19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2年期国债期货</w:t>
            </w:r>
          </w:p>
        </w:tc>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0.50%</w:t>
            </w:r>
          </w:p>
        </w:tc>
        <w:tc>
          <w:tcPr>
            <w:tcW w:w="13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1292"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145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3元/手</w:t>
            </w:r>
          </w:p>
        </w:tc>
        <w:tc>
          <w:tcPr>
            <w:tcW w:w="1108"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r>
      <w:tr>
        <w:tblPrEx>
          <w:shd w:val="clear" w:color="auto" w:fill="auto"/>
          <w:tblCellMar>
            <w:top w:w="0" w:type="dxa"/>
            <w:left w:w="0" w:type="dxa"/>
            <w:bottom w:w="0" w:type="dxa"/>
            <w:right w:w="0" w:type="dxa"/>
          </w:tblCellMar>
        </w:tblPrEx>
        <w:trPr>
          <w:trHeight w:val="285" w:hRule="atLeast"/>
        </w:trPr>
        <w:tc>
          <w:tcPr>
            <w:tcW w:w="19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5年期国债期货</w:t>
            </w:r>
          </w:p>
        </w:tc>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1350"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292"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454"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3元/手</w:t>
            </w:r>
          </w:p>
        </w:tc>
        <w:tc>
          <w:tcPr>
            <w:tcW w:w="1108" w:type="dxa"/>
            <w:tcBorders>
              <w:top w:val="nil"/>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r>
      <w:tr>
        <w:tblPrEx>
          <w:shd w:val="clear" w:color="auto" w:fill="auto"/>
          <w:tblCellMar>
            <w:top w:w="0" w:type="dxa"/>
            <w:left w:w="0" w:type="dxa"/>
            <w:bottom w:w="0" w:type="dxa"/>
            <w:right w:w="0" w:type="dxa"/>
          </w:tblCellMar>
        </w:tblPrEx>
        <w:trPr>
          <w:trHeight w:val="285" w:hRule="atLeast"/>
        </w:trPr>
        <w:tc>
          <w:tcPr>
            <w:tcW w:w="1950"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10年期国债期货</w:t>
            </w:r>
          </w:p>
        </w:tc>
        <w:tc>
          <w:tcPr>
            <w:tcW w:w="1114"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350"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1292"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1454"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3元/手</w:t>
            </w:r>
          </w:p>
        </w:tc>
        <w:tc>
          <w:tcPr>
            <w:tcW w:w="1108"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r>
    </w:tbl>
    <w:p>
      <w:pPr>
        <w:keepNext w:val="0"/>
        <w:keepLines w:val="0"/>
        <w:pageBreakBefore w:val="0"/>
        <w:widowControl/>
        <w:kinsoku/>
        <w:wordWrap/>
        <w:overflowPunct/>
        <w:topLinePunct w:val="0"/>
        <w:autoSpaceDE/>
        <w:autoSpaceDN/>
        <w:bidi w:val="0"/>
        <w:adjustRightInd/>
        <w:snapToGrid/>
        <w:spacing w:before="120" w:after="240" w:line="24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数据来源：中金所官网</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 xml:space="preserve">   根据上文对我国套利交易现状以及套利市场存在问题的分析，发现进行国债期货高频套利是势在必行的，相较于股指期货国债期货的交易成本较低，且属于高速发展阶段，市场虽然不完善但套利机会也较多，同时套利交易也会促进市场效率，使得国债期货市场不断完善，故本文选择国债期货市场。</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136" w:name="_Toc801"/>
      <w:bookmarkStart w:id="137" w:name="_Toc21952"/>
      <w:bookmarkStart w:id="138" w:name="_Toc5006"/>
      <w:bookmarkStart w:id="139" w:name="_Toc14501"/>
      <w:bookmarkStart w:id="140" w:name="_Toc30597"/>
      <w:r>
        <w:rPr>
          <w:rFonts w:hint="eastAsia" w:ascii="黑体" w:hAnsi="黑体" w:cs="黑体"/>
          <w:b w:val="0"/>
          <w:bCs/>
          <w:sz w:val="28"/>
          <w:szCs w:val="28"/>
          <w:lang w:val="en-US" w:eastAsia="zh-CN"/>
        </w:rPr>
        <w:t>3</w:t>
      </w:r>
      <w:r>
        <w:rPr>
          <w:rFonts w:hint="eastAsia" w:ascii="黑体" w:hAnsi="黑体" w:eastAsia="黑体" w:cs="黑体"/>
          <w:b w:val="0"/>
          <w:bCs/>
          <w:sz w:val="28"/>
          <w:szCs w:val="28"/>
        </w:rPr>
        <w:t>.</w:t>
      </w:r>
      <w:r>
        <w:rPr>
          <w:rFonts w:hint="eastAsia" w:ascii="黑体" w:hAnsi="黑体" w:eastAsia="黑体" w:cs="黑体"/>
          <w:b w:val="0"/>
          <w:bCs/>
          <w:sz w:val="28"/>
          <w:szCs w:val="28"/>
          <w:lang w:val="en-US" w:eastAsia="zh-CN"/>
        </w:rPr>
        <w:t xml:space="preserve">2 </w:t>
      </w:r>
      <w:r>
        <w:rPr>
          <w:rFonts w:hint="eastAsia" w:ascii="黑体" w:hAnsi="黑体" w:eastAsia="黑体" w:cs="黑体"/>
          <w:b w:val="0"/>
          <w:bCs/>
          <w:sz w:val="28"/>
          <w:szCs w:val="28"/>
        </w:rPr>
        <w:t>国债期货套利在我国的发展与现状</w:t>
      </w:r>
      <w:bookmarkEnd w:id="136"/>
      <w:bookmarkEnd w:id="137"/>
      <w:bookmarkEnd w:id="138"/>
      <w:bookmarkEnd w:id="139"/>
      <w:bookmarkEnd w:id="140"/>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自从1995年结束国债期货试点以来，中国经济一直保持着快速发展的势头，在这个过程中社会主义市场经济体系在慢慢健全和完善，同时金融改革也初步取得了一定的成效。经过18年的发展和充分准备，中国开展国债期货试点交易的条件已经初步构建了起来。自2013年9月5年期国债期货上市以来我国的国债期货市场在不断的完善，可交易的国债期货的品种也在不断的增多</w:t>
      </w:r>
      <w:r>
        <w:rPr>
          <w:rFonts w:hint="eastAsia" w:asciiTheme="minorEastAsia" w:hAnsiTheme="minorEastAsia" w:cstheme="minorEastAsia"/>
          <w:sz w:val="24"/>
          <w:lang w:eastAsia="zh-CN"/>
        </w:rPr>
        <w:t>，</w:t>
      </w:r>
      <w:r>
        <w:rPr>
          <w:rFonts w:hint="eastAsia" w:asciiTheme="minorEastAsia" w:hAnsiTheme="minorEastAsia" w:cstheme="minorEastAsia"/>
          <w:sz w:val="24"/>
        </w:rPr>
        <w:t>目前我国国债期货市场有2年期国债期货合约、5年期国债期货合约以及10年期国债期货合约，目前中国金融期货市场所推出的三类国债期货品种的具体合约表如下：</w:t>
      </w:r>
    </w:p>
    <w:p>
      <w:pPr>
        <w:keepNext w:val="0"/>
        <w:keepLines w:val="0"/>
        <w:pageBreakBefore w:val="0"/>
        <w:widowControl/>
        <w:kinsoku/>
        <w:wordWrap/>
        <w:overflowPunct/>
        <w:topLinePunct w:val="0"/>
        <w:autoSpaceDE/>
        <w:autoSpaceDN/>
        <w:bidi w:val="0"/>
        <w:adjustRightInd/>
        <w:snapToGrid/>
        <w:spacing w:before="240" w:after="120" w:line="240" w:lineRule="auto"/>
        <w:jc w:val="center"/>
        <w:textAlignment w:val="auto"/>
        <w:rPr>
          <w:rFonts w:hint="eastAsia" w:ascii="宋体" w:hAnsi="宋体" w:eastAsia="宋体" w:cs="宋体"/>
          <w:sz w:val="24"/>
          <w:szCs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3.2  </w:t>
      </w:r>
      <w:r>
        <w:rPr>
          <w:rFonts w:hint="eastAsia" w:ascii="宋体" w:hAnsi="宋体" w:eastAsia="宋体" w:cs="宋体"/>
          <w:sz w:val="21"/>
          <w:szCs w:val="21"/>
        </w:rPr>
        <w:t>三类国债期货合约表</w:t>
      </w:r>
    </w:p>
    <w:tbl>
      <w:tblPr>
        <w:tblStyle w:val="14"/>
        <w:tblW w:w="8336" w:type="dxa"/>
        <w:tblInd w:w="0" w:type="dxa"/>
        <w:tblLayout w:type="fixed"/>
        <w:tblCellMar>
          <w:top w:w="0" w:type="dxa"/>
          <w:left w:w="0" w:type="dxa"/>
          <w:bottom w:w="0" w:type="dxa"/>
          <w:right w:w="0" w:type="dxa"/>
        </w:tblCellMar>
      </w:tblPr>
      <w:tblGrid>
        <w:gridCol w:w="1575"/>
        <w:gridCol w:w="2205"/>
        <w:gridCol w:w="2295"/>
        <w:gridCol w:w="2261"/>
      </w:tblGrid>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品种</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2年期国债期货合约表</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5年期国债期货合约表</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10年期国债期货合约表</w:t>
            </w:r>
          </w:p>
        </w:tc>
      </w:tr>
      <w:tr>
        <w:tblPrEx>
          <w:tblCellMar>
            <w:top w:w="0" w:type="dxa"/>
            <w:left w:w="0" w:type="dxa"/>
            <w:bottom w:w="0" w:type="dxa"/>
            <w:right w:w="0" w:type="dxa"/>
          </w:tblCellMar>
        </w:tblPrEx>
        <w:trPr>
          <w:trHeight w:val="32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合约标的</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面值为200万元人民币、票面利率为3%的名义中短期国债</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面值为100万元人民币、票面利率为3%的名义中期国债</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面值为100万元人民币、票面利率为3%的名义长期国债</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可交割国债</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发行期限不高于5年，合约到期月份首日剩余期限为1.5-2.25年的记账式附息国债</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合约到期月份首日剩余期限为4-5.25年的记账式附息国债</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合约到期月份首日剩余期限为6.5-10.25年的记账式附息国债</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报价方式</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百元净价报价</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百元净价报价</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百元净价报价</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最小变动价位</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0.005元</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0.005元</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0.005元</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合约月份</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最近的3个季月（3月、6月、9月、12月中的最近3个月循环）</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最近的3个季月（3月、6月、9月、12月中的最近3个月循环）</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最近的3个季月（3月、6月、9月、12月中的最近3个月循环）</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交易时间</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w:t>
            </w:r>
            <w:r>
              <w:rPr>
                <w:rFonts w:hint="eastAsia" w:ascii="宋体" w:hAnsi="宋体" w:eastAsia="宋体" w:cs="宋体"/>
                <w:color w:val="000000"/>
                <w:kern w:val="0"/>
                <w:sz w:val="21"/>
                <w:szCs w:val="21"/>
                <w:lang w:val="en-US" w:eastAsia="zh-CN"/>
              </w:rPr>
              <w:t>0</w:t>
            </w:r>
            <w:r>
              <w:rPr>
                <w:rFonts w:hint="eastAsia" w:ascii="宋体" w:hAnsi="宋体" w:eastAsia="宋体" w:cs="宋体"/>
                <w:color w:val="000000"/>
                <w:kern w:val="0"/>
                <w:sz w:val="21"/>
                <w:szCs w:val="21"/>
              </w:rPr>
              <w:t>，13:00-15:15</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09:30-11:30，13:00-15:15</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09:30-11:30，13:00-15:15</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最后交易日交易时间</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09:30-11:30</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09:30-11:30</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09:30-11:30</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每日价格最大波动限制</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上一交易日结算价的</w:t>
            </w:r>
            <w:r>
              <w:rPr>
                <w:rFonts w:hint="eastAsia" w:ascii="宋体" w:hAnsi="宋体" w:eastAsia="宋体" w:cs="宋体"/>
                <w:color w:val="45455D"/>
                <w:sz w:val="21"/>
                <w:szCs w:val="21"/>
              </w:rPr>
              <w:t>±</w:t>
            </w:r>
            <w:r>
              <w:rPr>
                <w:rFonts w:hint="eastAsia" w:ascii="宋体" w:hAnsi="宋体" w:eastAsia="宋体" w:cs="宋体"/>
                <w:color w:val="000000"/>
                <w:kern w:val="0"/>
                <w:sz w:val="21"/>
                <w:szCs w:val="21"/>
              </w:rPr>
              <w:t>0.5%</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上一交易日结算价的</w:t>
            </w:r>
            <w:r>
              <w:rPr>
                <w:rFonts w:hint="eastAsia" w:ascii="宋体" w:hAnsi="宋体" w:eastAsia="宋体" w:cs="宋体"/>
                <w:color w:val="45455D"/>
                <w:sz w:val="21"/>
                <w:szCs w:val="21"/>
              </w:rPr>
              <w:t>±</w:t>
            </w:r>
            <w:r>
              <w:rPr>
                <w:rFonts w:hint="eastAsia" w:ascii="宋体" w:hAnsi="宋体" w:eastAsia="宋体" w:cs="宋体"/>
                <w:color w:val="000000"/>
                <w:kern w:val="0"/>
                <w:sz w:val="21"/>
                <w:szCs w:val="21"/>
              </w:rPr>
              <w:t>1.2%</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上一交易日结算价的</w:t>
            </w:r>
            <w:r>
              <w:rPr>
                <w:rFonts w:hint="eastAsia" w:ascii="宋体" w:hAnsi="宋体" w:eastAsia="宋体" w:cs="宋体"/>
                <w:color w:val="45455D"/>
                <w:sz w:val="21"/>
                <w:szCs w:val="21"/>
              </w:rPr>
              <w:t>±</w:t>
            </w:r>
            <w:r>
              <w:rPr>
                <w:rFonts w:hint="eastAsia" w:ascii="宋体" w:hAnsi="宋体" w:eastAsia="宋体" w:cs="宋体"/>
                <w:color w:val="000000"/>
                <w:kern w:val="0"/>
                <w:sz w:val="21"/>
                <w:szCs w:val="21"/>
              </w:rPr>
              <w:t>2%</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最低交易保证金</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合约价值的0.5%</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合约价值的1%</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合约价值的2%</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最后交易日</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合约到期月份的第二个星期五</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合约到期月份的第二个星期五</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合约到期月份的第二个星期五</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最后交割日</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最后交易日后的第三个交易日</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最后交易日后的第三个交易日</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最后交易日后的第三个交易日</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交割方式</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sz w:val="21"/>
                <w:szCs w:val="21"/>
              </w:rPr>
            </w:pPr>
            <w:r>
              <w:rPr>
                <w:rFonts w:hint="eastAsia" w:ascii="宋体" w:hAnsi="宋体" w:eastAsia="宋体" w:cs="宋体"/>
                <w:color w:val="000000"/>
                <w:kern w:val="0"/>
                <w:sz w:val="21"/>
                <w:szCs w:val="21"/>
              </w:rPr>
              <w:t>实物交割</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实物交割</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实物交割</w:t>
            </w:r>
          </w:p>
        </w:tc>
      </w:tr>
      <w:tr>
        <w:tblPrEx>
          <w:tblCellMar>
            <w:top w:w="0" w:type="dxa"/>
            <w:left w:w="0" w:type="dxa"/>
            <w:bottom w:w="0" w:type="dxa"/>
            <w:right w:w="0" w:type="dxa"/>
          </w:tblCellMar>
        </w:tblPrEx>
        <w:trPr>
          <w:trHeight w:val="270" w:hRule="atLeast"/>
        </w:trPr>
        <w:tc>
          <w:tcPr>
            <w:tcW w:w="157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交易代码</w:t>
            </w:r>
          </w:p>
        </w:tc>
        <w:tc>
          <w:tcPr>
            <w:tcW w:w="22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TS</w:t>
            </w:r>
          </w:p>
        </w:tc>
        <w:tc>
          <w:tcPr>
            <w:tcW w:w="22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TF</w:t>
            </w:r>
          </w:p>
        </w:tc>
        <w:tc>
          <w:tcPr>
            <w:tcW w:w="2261"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w:t>
            </w:r>
          </w:p>
        </w:tc>
      </w:tr>
    </w:tbl>
    <w:p>
      <w:pPr>
        <w:keepNext w:val="0"/>
        <w:keepLines w:val="0"/>
        <w:pageBreakBefore w:val="0"/>
        <w:widowControl/>
        <w:kinsoku/>
        <w:wordWrap/>
        <w:overflowPunct/>
        <w:topLinePunct w:val="0"/>
        <w:autoSpaceDE/>
        <w:autoSpaceDN/>
        <w:bidi w:val="0"/>
        <w:adjustRightInd/>
        <w:snapToGrid/>
        <w:spacing w:before="120" w:after="240" w:line="240" w:lineRule="auto"/>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数据来源：中金所官网</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rPr>
      </w:pPr>
      <w:r>
        <w:rPr>
          <w:rFonts w:hint="eastAsia" w:ascii="宋体" w:hAnsi="宋体" w:eastAsia="宋体" w:cs="宋体"/>
          <w:sz w:val="24"/>
        </w:rPr>
        <w:t>从成交量进行分析，自国债期货重新上市以来，三种国债期货的成交量在不断的上涨，其中10年期国债期货的成交量最大，从2016年11月至今平均日成交量总体大于10000手，2年期和5年期的国债期货成交量也逐渐增加。然而大额成交量保证了国债期货交易的正常进行，同时提高了市场的运行效率，使得投资者想买时有人卖，想卖时有人买，这为投资者在国债期货市场进行投资交易提供了流动性保障</w:t>
      </w:r>
      <w:r>
        <w:rPr>
          <w:rFonts w:hint="eastAsia" w:ascii="宋体" w:hAnsi="宋体" w:eastAsia="宋体" w:cs="宋体"/>
          <w:sz w:val="24"/>
          <w:lang w:eastAsia="zh-CN"/>
        </w:rPr>
        <w:t>，</w:t>
      </w:r>
      <w:r>
        <w:rPr>
          <w:rFonts w:hint="eastAsia" w:ascii="宋体" w:hAnsi="宋体" w:eastAsia="宋体" w:cs="宋体"/>
          <w:sz w:val="24"/>
          <w:lang w:val="en-US" w:eastAsia="zh-CN"/>
        </w:rPr>
        <w:t>也</w:t>
      </w:r>
      <w:r>
        <w:rPr>
          <w:rFonts w:hint="eastAsia" w:ascii="宋体" w:hAnsi="宋体" w:eastAsia="宋体" w:cs="宋体"/>
          <w:sz w:val="24"/>
        </w:rPr>
        <w:t>降低了套利交易中发生的冲击成本，</w:t>
      </w:r>
      <w:r>
        <w:rPr>
          <w:rFonts w:hint="eastAsia" w:ascii="宋体" w:hAnsi="宋体" w:eastAsia="宋体" w:cs="宋体"/>
          <w:sz w:val="24"/>
          <w:lang w:val="en-US" w:eastAsia="zh-CN"/>
        </w:rPr>
        <w:t>这</w:t>
      </w:r>
      <w:r>
        <w:rPr>
          <w:rFonts w:hint="eastAsia" w:ascii="宋体" w:hAnsi="宋体" w:eastAsia="宋体" w:cs="宋体"/>
          <w:sz w:val="24"/>
        </w:rPr>
        <w:t>为国债期货的投资者提供了投机、套利以及套期保值的机会。</w:t>
      </w:r>
      <w:r>
        <w:rPr>
          <w:rFonts w:hint="eastAsia" w:ascii="宋体" w:hAnsi="宋体" w:eastAsia="宋体" w:cs="宋体"/>
          <w:sz w:val="24"/>
          <w:lang w:val="en-US" w:eastAsia="zh-CN"/>
        </w:rPr>
        <w:t>在</w:t>
      </w:r>
      <w:r>
        <w:rPr>
          <w:rFonts w:hint="eastAsia" w:ascii="宋体" w:hAnsi="宋体" w:eastAsia="宋体" w:cs="宋体"/>
          <w:sz w:val="24"/>
        </w:rPr>
        <w:t>2020年2月经批准商业银行和保险公司允许进入国债期货市场，一方面增加了国债期货的流动性，提高了市场的效率；另一方面对</w:t>
      </w:r>
      <w:r>
        <w:rPr>
          <w:rFonts w:hint="eastAsia" w:ascii="宋体" w:hAnsi="宋体" w:eastAsia="宋体" w:cs="宋体"/>
          <w:sz w:val="24"/>
          <w:lang w:val="en-US" w:eastAsia="zh-CN"/>
        </w:rPr>
        <w:t>国债期货的套利</w:t>
      </w:r>
      <w:r>
        <w:rPr>
          <w:rFonts w:hint="eastAsia" w:ascii="宋体" w:hAnsi="宋体" w:eastAsia="宋体" w:cs="宋体"/>
          <w:sz w:val="24"/>
        </w:rPr>
        <w:t>策略的需求也在不断的增加，市场有效性的提高使得简单的套利机会基本不复存在，套利机会也是稍纵即逝，故此应该寻求更加精准更加快速的套利策略。</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sz w:val="24"/>
          <w:lang w:val="en-US" w:eastAsia="zh-CN"/>
        </w:rPr>
        <w:t>随着我国国债期货市场交易规模的不断扩大，交易品种也在不断地推陈出新，国债期货套利交易量也有大幅度的提高。目前我国国债期货的套利交易主要类型包括期现套利、跨期套利、跨品种套利，由于我国的政策原因，只有中金所能交易国债期货，所以在国债套利中不存在跨市场套利。目前存在的热门的国债期货套利有10种，7种跨品种套利即</w:t>
      </w:r>
      <w:r>
        <w:rPr>
          <w:rFonts w:hint="eastAsia" w:ascii="宋体" w:hAnsi="宋体" w:eastAsia="宋体" w:cs="宋体"/>
          <w:i w:val="0"/>
          <w:color w:val="000000"/>
          <w:kern w:val="0"/>
          <w:sz w:val="24"/>
          <w:szCs w:val="24"/>
          <w:u w:val="none"/>
          <w:lang w:val="en-US" w:eastAsia="zh-CN" w:bidi="ar"/>
        </w:rPr>
        <w:t>2*TS-TF、TF-T、2*TF-T、2*TS-T、4*TS-T、2*TS-3*TF+T、4*TS-4*TF+T，其中后2中为蝶式价差套利，日均成交量、持仓量规模最大的两种套利为TF-T、2*TF-T的套利，两种套利策略的日均成交量均达到了2.16万手，持仓量为57228手；3种跨期套利即三种国债期货的主力合约与次主力合约进行的套利，跨期套利的规模远远小于跨品套利的规模。</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宋体" w:hAnsi="宋体" w:eastAsia="宋体" w:cs="宋体"/>
          <w:i w:val="0"/>
          <w:color w:val="000000"/>
          <w:kern w:val="0"/>
          <w:sz w:val="24"/>
          <w:szCs w:val="24"/>
          <w:u w:val="none"/>
          <w:lang w:val="en-US" w:eastAsia="zh-CN" w:bidi="ar"/>
        </w:rPr>
        <w:t>在2020年12月底交易规模排名前十的期货公司有上海东证、国泰君安、中信期货、华泰期货、海通期货、宝城期货、申银万国、国金期货、国投安信、国信期货，然而华泰期货等期货公司在对国债期货跨品种套利的运用以及研究上，</w:t>
      </w:r>
      <w:r>
        <w:rPr>
          <w:rFonts w:hint="eastAsia" w:ascii="宋体" w:hAnsi="宋体" w:eastAsia="宋体" w:cs="宋体"/>
          <w:sz w:val="24"/>
          <w:lang w:val="en-US" w:eastAsia="zh-CN"/>
        </w:rPr>
        <w:t>利用</w:t>
      </w:r>
      <w:r>
        <w:rPr>
          <w:rFonts w:hint="eastAsia" w:ascii="宋体" w:hAnsi="宋体" w:eastAsia="宋体" w:cs="宋体"/>
          <w:sz w:val="24"/>
        </w:rPr>
        <w:t>国债期货是利率期货的本质，从国债现货市场上不同债券之间的利差上发现两种债券存在套利机会，而由于期货市场是现货市场未来价格，同时期货市场比现货市场更加有效，故现货市场的套利机会可能在期货市场也存在，因此</w:t>
      </w:r>
      <w:r>
        <w:rPr>
          <w:rFonts w:hint="eastAsia" w:ascii="宋体" w:hAnsi="宋体" w:eastAsia="宋体" w:cs="宋体"/>
          <w:sz w:val="24"/>
          <w:lang w:val="en-US" w:eastAsia="zh-CN"/>
        </w:rPr>
        <w:t>期货公司</w:t>
      </w:r>
      <w:r>
        <w:rPr>
          <w:rFonts w:hint="eastAsia" w:ascii="宋体" w:hAnsi="宋体" w:eastAsia="宋体" w:cs="宋体"/>
          <w:sz w:val="24"/>
        </w:rPr>
        <w:t>根据两现货间的到期收益率之差偏离均衡利差的幅度确定套利区间，将现货市场发现的套利机会运用在期货市场进行两期货品种间的套利交易。</w:t>
      </w:r>
    </w:p>
    <w:p>
      <w:pPr>
        <w:pStyle w:val="2"/>
        <w:keepNext/>
        <w:keepLines/>
        <w:pageBreakBefore w:val="0"/>
        <w:widowControl w:val="0"/>
        <w:numPr>
          <w:ilvl w:val="0"/>
          <w:numId w:val="0"/>
        </w:numPr>
        <w:kinsoku/>
        <w:wordWrap/>
        <w:overflowPunct/>
        <w:topLinePunct w:val="0"/>
        <w:autoSpaceDE/>
        <w:autoSpaceDN/>
        <w:bidi w:val="0"/>
        <w:adjustRightInd/>
        <w:snapToGrid/>
        <w:spacing w:before="480" w:after="360" w:line="240" w:lineRule="auto"/>
        <w:jc w:val="center"/>
        <w:textAlignment w:val="auto"/>
        <w:rPr>
          <w:rFonts w:hint="eastAsia" w:ascii="黑体" w:hAnsi="黑体" w:eastAsia="黑体" w:cs="黑体"/>
          <w:b w:val="0"/>
          <w:bCs w:val="0"/>
          <w:sz w:val="32"/>
          <w:szCs w:val="32"/>
        </w:rPr>
      </w:pPr>
      <w:bookmarkStart w:id="141" w:name="_Toc7093"/>
      <w:bookmarkStart w:id="142" w:name="_Toc24156"/>
      <w:bookmarkStart w:id="143" w:name="_Toc2193"/>
      <w:bookmarkStart w:id="144" w:name="_Toc6158"/>
      <w:bookmarkStart w:id="145" w:name="_Toc22223"/>
      <w:r>
        <w:rPr>
          <w:rFonts w:hint="eastAsia" w:ascii="黑体" w:hAnsi="黑体" w:eastAsia="黑体" w:cs="黑体"/>
          <w:b w:val="0"/>
          <w:bCs w:val="0"/>
          <w:sz w:val="32"/>
          <w:szCs w:val="32"/>
          <w:lang w:val="en-US" w:eastAsia="zh-CN"/>
        </w:rPr>
        <w:t xml:space="preserve">4 </w:t>
      </w:r>
      <w:r>
        <w:rPr>
          <w:rFonts w:hint="eastAsia" w:ascii="黑体" w:hAnsi="黑体" w:eastAsia="黑体" w:cs="黑体"/>
          <w:b w:val="0"/>
          <w:bCs w:val="0"/>
          <w:sz w:val="32"/>
          <w:szCs w:val="32"/>
        </w:rPr>
        <w:t>国债期货跨品种套利策略的设计</w:t>
      </w:r>
      <w:bookmarkEnd w:id="141"/>
      <w:bookmarkEnd w:id="142"/>
      <w:bookmarkEnd w:id="143"/>
      <w:bookmarkEnd w:id="144"/>
      <w:bookmarkEnd w:id="14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本文是利用统计套利原理对国债期货跨品种套利策略的研究，在对套利策略进行确定时，首先利用不同国债期货之间的相关性的强弱确定本次套利交易的对象以及交易时间段，然后对所选择的交易对象进行检验，即对两种国债期货进行平稳性检验以及协整检验，根据两种国债期货价格之间的协整关系来确定套利组合的比例，再对其两种期货合约价格之差进行分析，得出其价差的标准差序列，根据价差偏离均衡价差的程度即价差偏离均衡价差一定倍数的标准差确定套利交易的开仓信号以及平仓信号。而在开仓信号与平仓信号的设计上本文选择对称阈值与非对称阈值两种方式的交易信号，对套利结果进行比较确定最终的套利策略，具体套利策略的设计如下文所述。</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146" w:name="_Toc2022"/>
      <w:bookmarkStart w:id="147" w:name="_Toc8270"/>
      <w:bookmarkStart w:id="148" w:name="_Toc32298"/>
      <w:bookmarkStart w:id="149" w:name="_Toc19687"/>
      <w:bookmarkStart w:id="150" w:name="_Toc9462"/>
      <w:r>
        <w:rPr>
          <w:rFonts w:hint="eastAsia" w:ascii="黑体" w:hAnsi="黑体" w:eastAsia="黑体" w:cs="黑体"/>
          <w:b w:val="0"/>
          <w:bCs/>
          <w:sz w:val="28"/>
          <w:szCs w:val="28"/>
        </w:rPr>
        <w:t>4.1套利交易对象选择</w:t>
      </w:r>
      <w:bookmarkEnd w:id="146"/>
      <w:bookmarkEnd w:id="147"/>
      <w:bookmarkEnd w:id="148"/>
      <w:bookmarkEnd w:id="149"/>
      <w:bookmarkEnd w:id="150"/>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cstheme="minorEastAsia"/>
          <w:sz w:val="24"/>
        </w:rPr>
      </w:pPr>
      <w:r>
        <w:rPr>
          <w:rFonts w:hint="eastAsia" w:asciiTheme="minorEastAsia" w:hAnsiTheme="minorEastAsia" w:cstheme="minorEastAsia"/>
          <w:sz w:val="24"/>
        </w:rPr>
        <w:t>目前，我国国债期货市场</w:t>
      </w:r>
      <w:r>
        <w:rPr>
          <w:rFonts w:hint="eastAsia" w:asciiTheme="minorEastAsia" w:hAnsiTheme="minorEastAsia" w:cstheme="minorEastAsia"/>
          <w:sz w:val="24"/>
          <w:lang w:val="en-US" w:eastAsia="zh-CN"/>
        </w:rPr>
        <w:t>上市交易的</w:t>
      </w:r>
      <w:r>
        <w:rPr>
          <w:rFonts w:hint="eastAsia" w:asciiTheme="minorEastAsia" w:hAnsiTheme="minorEastAsia" w:cstheme="minorEastAsia"/>
          <w:sz w:val="24"/>
        </w:rPr>
        <w:t>有2年期国债期货、5年期国债期货、10年期国债期货，三种国债期货交易代码分别为TS、TF、T。本文要进行国债期货的跨品种套利策略</w:t>
      </w:r>
      <w:r>
        <w:rPr>
          <w:rFonts w:hint="eastAsia" w:asciiTheme="minorEastAsia" w:hAnsiTheme="minorEastAsia" w:cstheme="minorEastAsia"/>
          <w:sz w:val="24"/>
          <w:lang w:val="en-US" w:eastAsia="zh-CN"/>
        </w:rPr>
        <w:t>设计</w:t>
      </w:r>
      <w:r>
        <w:rPr>
          <w:rFonts w:hint="eastAsia" w:asciiTheme="minorEastAsia" w:hAnsiTheme="minorEastAsia" w:cstheme="minorEastAsia"/>
          <w:sz w:val="24"/>
        </w:rPr>
        <w:t>，首先根据跨品种套利标的之间必须具有较强相关性的要求需要对三种国债期货价格之间的相关性进行分析，不同期货品种之间相关性越高，反映在其价格上就会使得同涨同跌的趋势现象越明显，从而出现套利机会的可能性越大。</w:t>
      </w:r>
    </w:p>
    <w:tbl>
      <w:tblPr>
        <w:tblStyle w:val="14"/>
        <w:tblpPr w:leftFromText="180" w:rightFromText="180" w:vertAnchor="text" w:horzAnchor="page" w:tblpX="2709" w:tblpY="469"/>
        <w:tblOverlap w:val="never"/>
        <w:tblW w:w="6716" w:type="dxa"/>
        <w:tblInd w:w="0" w:type="dxa"/>
        <w:tblLayout w:type="fixed"/>
        <w:tblCellMar>
          <w:top w:w="0" w:type="dxa"/>
          <w:left w:w="0" w:type="dxa"/>
          <w:bottom w:w="0" w:type="dxa"/>
          <w:right w:w="0" w:type="dxa"/>
        </w:tblCellMar>
      </w:tblPr>
      <w:tblGrid>
        <w:gridCol w:w="1080"/>
        <w:gridCol w:w="1643"/>
        <w:gridCol w:w="1811"/>
        <w:gridCol w:w="2182"/>
      </w:tblGrid>
      <w:tr>
        <w:tblPrEx>
          <w:tblCellMar>
            <w:top w:w="0" w:type="dxa"/>
            <w:left w:w="0" w:type="dxa"/>
            <w:bottom w:w="0" w:type="dxa"/>
            <w:right w:w="0" w:type="dxa"/>
          </w:tblCellMar>
        </w:tblPrEx>
        <w:trPr>
          <w:trHeight w:val="270" w:hRule="atLeast"/>
        </w:trPr>
        <w:tc>
          <w:tcPr>
            <w:tcW w:w="108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1"/>
                <w:szCs w:val="21"/>
              </w:rPr>
            </w:pPr>
          </w:p>
        </w:tc>
        <w:tc>
          <w:tcPr>
            <w:tcW w:w="16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w:t>
            </w:r>
          </w:p>
        </w:tc>
        <w:tc>
          <w:tcPr>
            <w:tcW w:w="181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TF</w:t>
            </w:r>
          </w:p>
        </w:tc>
        <w:tc>
          <w:tcPr>
            <w:tcW w:w="2182"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TS</w:t>
            </w:r>
          </w:p>
        </w:tc>
      </w:tr>
      <w:tr>
        <w:tblPrEx>
          <w:tblCellMar>
            <w:top w:w="0" w:type="dxa"/>
            <w:left w:w="0" w:type="dxa"/>
            <w:bottom w:w="0" w:type="dxa"/>
            <w:right w:w="0" w:type="dxa"/>
          </w:tblCellMar>
        </w:tblPrEx>
        <w:trPr>
          <w:trHeight w:val="270" w:hRule="atLeast"/>
        </w:trPr>
        <w:tc>
          <w:tcPr>
            <w:tcW w:w="108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w:t>
            </w:r>
          </w:p>
        </w:tc>
        <w:tc>
          <w:tcPr>
            <w:tcW w:w="16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1</w:t>
            </w:r>
          </w:p>
        </w:tc>
        <w:tc>
          <w:tcPr>
            <w:tcW w:w="181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0.956663</w:t>
            </w:r>
          </w:p>
        </w:tc>
        <w:tc>
          <w:tcPr>
            <w:tcW w:w="2182"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0.937738</w:t>
            </w:r>
          </w:p>
        </w:tc>
      </w:tr>
      <w:tr>
        <w:tblPrEx>
          <w:tblCellMar>
            <w:top w:w="0" w:type="dxa"/>
            <w:left w:w="0" w:type="dxa"/>
            <w:bottom w:w="0" w:type="dxa"/>
            <w:right w:w="0" w:type="dxa"/>
          </w:tblCellMar>
        </w:tblPrEx>
        <w:trPr>
          <w:trHeight w:val="270" w:hRule="atLeast"/>
        </w:trPr>
        <w:tc>
          <w:tcPr>
            <w:tcW w:w="108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TF</w:t>
            </w:r>
          </w:p>
        </w:tc>
        <w:tc>
          <w:tcPr>
            <w:tcW w:w="16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0.956663</w:t>
            </w:r>
          </w:p>
        </w:tc>
        <w:tc>
          <w:tcPr>
            <w:tcW w:w="181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1</w:t>
            </w:r>
          </w:p>
        </w:tc>
        <w:tc>
          <w:tcPr>
            <w:tcW w:w="2182"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0.994421</w:t>
            </w:r>
          </w:p>
        </w:tc>
      </w:tr>
      <w:tr>
        <w:tblPrEx>
          <w:tblCellMar>
            <w:top w:w="0" w:type="dxa"/>
            <w:left w:w="0" w:type="dxa"/>
            <w:bottom w:w="0" w:type="dxa"/>
            <w:right w:w="0" w:type="dxa"/>
          </w:tblCellMar>
        </w:tblPrEx>
        <w:trPr>
          <w:trHeight w:val="189" w:hRule="atLeast"/>
        </w:trPr>
        <w:tc>
          <w:tcPr>
            <w:tcW w:w="108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TS</w:t>
            </w:r>
          </w:p>
        </w:tc>
        <w:tc>
          <w:tcPr>
            <w:tcW w:w="16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0.937738</w:t>
            </w:r>
          </w:p>
        </w:tc>
        <w:tc>
          <w:tcPr>
            <w:tcW w:w="181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0.994421</w:t>
            </w:r>
          </w:p>
        </w:tc>
        <w:tc>
          <w:tcPr>
            <w:tcW w:w="2182"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1</w:t>
            </w:r>
          </w:p>
        </w:tc>
      </w:tr>
    </w:tbl>
    <w:p>
      <w:pPr>
        <w:keepNext w:val="0"/>
        <w:keepLines w:val="0"/>
        <w:pageBreakBefore w:val="0"/>
        <w:widowControl/>
        <w:kinsoku/>
        <w:wordWrap/>
        <w:overflowPunct/>
        <w:topLinePunct w:val="0"/>
        <w:autoSpaceDE/>
        <w:autoSpaceDN/>
        <w:bidi w:val="0"/>
        <w:adjustRightInd/>
        <w:snapToGrid/>
        <w:spacing w:after="120" w:line="240" w:lineRule="auto"/>
        <w:ind w:firstLine="0" w:firstLineChars="0"/>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 xml:space="preserve">表4.1  </w:t>
      </w:r>
      <w:r>
        <w:rPr>
          <w:rFonts w:hint="eastAsia" w:asciiTheme="minorEastAsia" w:hAnsiTheme="minorEastAsia" w:cstheme="minorEastAsia"/>
          <w:sz w:val="21"/>
          <w:szCs w:val="21"/>
          <w:lang w:val="en-US" w:eastAsia="zh-CN"/>
        </w:rPr>
        <w:t>不同国债期货之间</w:t>
      </w:r>
      <w:r>
        <w:rPr>
          <w:rFonts w:hint="eastAsia" w:asciiTheme="minorEastAsia" w:hAnsiTheme="minorEastAsia" w:cstheme="minorEastAsia"/>
          <w:sz w:val="21"/>
          <w:szCs w:val="21"/>
        </w:rPr>
        <w:t>相关系数表</w:t>
      </w:r>
    </w:p>
    <w:p>
      <w:pPr>
        <w:widowControl/>
        <w:spacing w:line="360" w:lineRule="auto"/>
        <w:ind w:firstLine="480"/>
        <w:jc w:val="left"/>
        <w:rPr>
          <w:rFonts w:hint="eastAsia" w:asciiTheme="minorEastAsia" w:hAnsiTheme="minorEastAsia" w:cstheme="minorEastAsia"/>
          <w:sz w:val="24"/>
        </w:rPr>
      </w:pPr>
    </w:p>
    <w:p>
      <w:pPr>
        <w:widowControl/>
        <w:spacing w:line="360" w:lineRule="auto"/>
        <w:ind w:firstLine="480"/>
        <w:jc w:val="left"/>
        <w:rPr>
          <w:rFonts w:hint="eastAsia" w:asciiTheme="minorEastAsia" w:hAnsiTheme="minorEastAsia" w:cstheme="minorEastAsia"/>
          <w:sz w:val="24"/>
        </w:rPr>
      </w:pPr>
    </w:p>
    <w:p>
      <w:pPr>
        <w:widowControl/>
        <w:spacing w:line="360" w:lineRule="auto"/>
        <w:ind w:firstLine="480"/>
        <w:jc w:val="left"/>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before="120" w:after="240" w:line="240" w:lineRule="auto"/>
        <w:ind w:firstLine="840" w:firstLineChars="400"/>
        <w:textAlignment w:val="auto"/>
        <w:rPr>
          <w:rFonts w:hint="eastAsia" w:asciiTheme="minorEastAsia" w:hAnsiTheme="minorEastAsia" w:cstheme="minorEastAsia"/>
          <w:sz w:val="21"/>
          <w:szCs w:val="21"/>
        </w:rPr>
      </w:pPr>
      <w:r>
        <w:rPr>
          <w:rFonts w:hint="eastAsia" w:asciiTheme="minorEastAsia" w:hAnsiTheme="minorEastAsia" w:cstheme="minorEastAsia"/>
          <w:sz w:val="21"/>
          <w:szCs w:val="21"/>
        </w:rPr>
        <w:t>数据来源：根据Eviews软件整理而得</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rPr>
        <w:t>根据三种国债期货两两之间的相关系数表4.1可以看出国债期货价格之间的相关系数均大于0.9，故存在较强的相关关系，但5年期国债期货价格TF与10年期国债期货价格T之间的相关系数0.956663小于5年期国债期货价格TF与2年期国债期货价格TS之间的相关系数0.994421</w:t>
      </w:r>
      <w:r>
        <w:rPr>
          <w:rFonts w:hint="eastAsia" w:asciiTheme="minorEastAsia" w:hAnsiTheme="minorEastAsia" w:cstheme="minorEastAsia"/>
          <w:sz w:val="24"/>
          <w:lang w:eastAsia="zh-CN"/>
        </w:rPr>
        <w:t>。</w:t>
      </w:r>
      <w:r>
        <w:rPr>
          <w:rFonts w:hint="eastAsia" w:asciiTheme="minorEastAsia" w:hAnsiTheme="minorEastAsia" w:cstheme="minorEastAsia"/>
          <w:sz w:val="24"/>
        </w:rPr>
        <w:t>相关性越大，出现套利机会的可能性越大，故应该选择2年期国债期货与5年期国债期货为套利对象。同时在现有的文献中对5年期国债期货与10年期国债期货的研究相对于2年期的研究较多，本着对套利策略不断创新和完善，对套利品种不断丰富的目的</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对国债期货跨品种之间是否存在套利机会以及可能的套利策略进行了检验</w:t>
      </w:r>
      <w:r>
        <w:rPr>
          <w:rFonts w:hint="eastAsia" w:asciiTheme="minorEastAsia" w:hAnsiTheme="minorEastAsia" w:cstheme="minorEastAsia"/>
          <w:sz w:val="24"/>
        </w:rPr>
        <w:t>。再加之根据之前学者的研究发现在期货上市初期</w:t>
      </w:r>
      <w:r>
        <w:rPr>
          <w:rFonts w:hint="eastAsia" w:asciiTheme="minorEastAsia" w:hAnsiTheme="minorEastAsia" w:cstheme="minorEastAsia"/>
          <w:sz w:val="24"/>
          <w:lang w:val="en-US" w:eastAsia="zh-CN"/>
        </w:rPr>
        <w:t>由于</w:t>
      </w:r>
      <w:r>
        <w:rPr>
          <w:rFonts w:hint="eastAsia" w:asciiTheme="minorEastAsia" w:hAnsiTheme="minorEastAsia" w:cstheme="minorEastAsia"/>
          <w:sz w:val="24"/>
        </w:rPr>
        <w:t>市场的不完善以及效率比较低使得套利的可能性以及机会更大一些</w:t>
      </w:r>
      <w:r>
        <w:rPr>
          <w:rFonts w:hint="eastAsia" w:asciiTheme="minorEastAsia" w:hAnsiTheme="minorEastAsia" w:cstheme="minorEastAsia"/>
          <w:sz w:val="24"/>
          <w:lang w:eastAsia="zh-CN"/>
        </w:rPr>
        <w:t>。</w:t>
      </w:r>
      <w:r>
        <w:rPr>
          <w:rFonts w:hint="eastAsia" w:asciiTheme="minorEastAsia" w:hAnsiTheme="minorEastAsia" w:cstheme="minorEastAsia"/>
          <w:sz w:val="24"/>
        </w:rPr>
        <w:t>从而本文在国债期货跨品种套利策略的</w:t>
      </w:r>
      <w:r>
        <w:rPr>
          <w:rFonts w:hint="eastAsia" w:asciiTheme="minorEastAsia" w:hAnsiTheme="minorEastAsia" w:cstheme="minorEastAsia"/>
          <w:sz w:val="24"/>
          <w:lang w:val="en-US" w:eastAsia="zh-CN"/>
        </w:rPr>
        <w:t>设计</w:t>
      </w:r>
      <w:r>
        <w:rPr>
          <w:rFonts w:hint="eastAsia" w:asciiTheme="minorEastAsia" w:hAnsiTheme="minorEastAsia" w:cstheme="minorEastAsia"/>
          <w:sz w:val="24"/>
        </w:rPr>
        <w:t>中选择2年期国债期货与5年期国债期货作为</w:t>
      </w:r>
      <w:r>
        <w:rPr>
          <w:rFonts w:hint="eastAsia" w:asciiTheme="minorEastAsia" w:hAnsiTheme="minorEastAsia" w:cstheme="minorEastAsia"/>
          <w:sz w:val="24"/>
          <w:lang w:val="en-US" w:eastAsia="zh-CN"/>
        </w:rPr>
        <w:t>套利</w:t>
      </w:r>
      <w:r>
        <w:rPr>
          <w:rFonts w:hint="eastAsia" w:asciiTheme="minorEastAsia" w:hAnsiTheme="minorEastAsia" w:cstheme="minorEastAsia"/>
          <w:sz w:val="24"/>
        </w:rPr>
        <w:t>对象</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因为在</w:t>
      </w:r>
      <w:r>
        <w:rPr>
          <w:rFonts w:hint="eastAsia" w:asciiTheme="minorEastAsia" w:hAnsiTheme="minorEastAsia" w:cstheme="minorEastAsia"/>
          <w:sz w:val="24"/>
        </w:rPr>
        <w:t>本文策略所交易的规模较小，所以对于2年期国债期货相对于10年期国债期货的成交量和持有量偏低这一点可以忽略。</w:t>
      </w:r>
      <w:bookmarkStart w:id="151" w:name="_Toc10271"/>
      <w:bookmarkStart w:id="152" w:name="_Toc7398"/>
      <w:bookmarkStart w:id="153" w:name="_Toc20594"/>
      <w:bookmarkStart w:id="154" w:name="_Toc28902"/>
      <w:bookmarkStart w:id="155" w:name="_Toc4220"/>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lang w:val="en-US" w:eastAsia="zh-CN"/>
        </w:rPr>
      </w:pPr>
      <w:r>
        <w:rPr>
          <w:rFonts w:hint="eastAsia" w:ascii="黑体" w:hAnsi="黑体" w:eastAsia="黑体" w:cs="黑体"/>
          <w:b w:val="0"/>
          <w:bCs/>
        </w:rPr>
        <w:t>4.</w:t>
      </w:r>
      <w:r>
        <w:rPr>
          <w:rFonts w:hint="eastAsia" w:ascii="黑体" w:hAnsi="黑体" w:eastAsia="黑体" w:cs="黑体"/>
          <w:b w:val="0"/>
          <w:bCs/>
          <w:lang w:val="en-US" w:eastAsia="zh-CN"/>
        </w:rPr>
        <w:t xml:space="preserve">2 </w:t>
      </w:r>
      <w:r>
        <w:rPr>
          <w:rFonts w:hint="eastAsia" w:ascii="黑体" w:hAnsi="黑体" w:eastAsia="黑体" w:cs="黑体"/>
          <w:b w:val="0"/>
          <w:bCs/>
        </w:rPr>
        <w:t>数据选择</w:t>
      </w:r>
      <w:bookmarkEnd w:id="151"/>
      <w:bookmarkEnd w:id="152"/>
      <w:bookmarkEnd w:id="153"/>
      <w:bookmarkEnd w:id="154"/>
      <w:r>
        <w:rPr>
          <w:rFonts w:hint="eastAsia" w:ascii="黑体" w:hAnsi="黑体" w:eastAsia="黑体" w:cs="黑体"/>
          <w:b w:val="0"/>
          <w:bCs/>
          <w:lang w:val="en-US" w:eastAsia="zh-CN"/>
        </w:rPr>
        <w:t>及检验</w:t>
      </w:r>
      <w:bookmarkEnd w:id="155"/>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期货合约与股票不同，股票一般具有无限存续期，而期货合约存续期是</w:t>
      </w:r>
      <w:r>
        <w:rPr>
          <w:rFonts w:hint="eastAsia" w:asciiTheme="minorEastAsia" w:hAnsiTheme="minorEastAsia" w:cstheme="minorEastAsia"/>
          <w:sz w:val="24"/>
          <w:lang w:val="en-US" w:eastAsia="zh-CN"/>
        </w:rPr>
        <w:t>有限</w:t>
      </w:r>
      <w:r>
        <w:rPr>
          <w:rFonts w:hint="eastAsia" w:asciiTheme="minorEastAsia" w:hAnsiTheme="minorEastAsia" w:cstheme="minorEastAsia"/>
          <w:sz w:val="24"/>
        </w:rPr>
        <w:t>的，有具体的到期日和交割日，当然国债期货合约也有期限的限制</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在进行建模以及策略设计前需选择样本内数据并进行检验。</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lang w:val="en-US" w:eastAsia="zh-CN"/>
        </w:rPr>
      </w:pPr>
      <w:bookmarkStart w:id="156" w:name="_Toc485"/>
      <w:r>
        <w:rPr>
          <w:rFonts w:hint="eastAsia" w:ascii="黑体" w:hAnsi="黑体" w:eastAsia="黑体" w:cs="黑体"/>
          <w:b w:val="0"/>
          <w:bCs/>
          <w:sz w:val="28"/>
          <w:szCs w:val="28"/>
          <w:lang w:val="en-US" w:eastAsia="zh-CN"/>
        </w:rPr>
        <w:t>4.2.1数据选择</w:t>
      </w:r>
      <w:bookmarkEnd w:id="156"/>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rPr>
        <w:t>在现有研究中一般是对主力连续合约收盘价进行研究，而主力连续合约只能用于分析不能进行实际交易，故基于策略的实用性，本文选取同年同期的两种国债期货合约进行跨品种套利研究，即2年期国债期货合约中的TS2009和5年期国债期货合约中的TF2009，合约上市日期是2019年12月16日，最后交易日是2020年9月11日。对于数据频率大部分文献选择1分钟、5分钟收盘价，根据张玉希（2018）研究表明在套利操作时，选择高频数据获利的可能性更大，获利更多。但由于在万得数据库中1分钟数据缺失值较多存在不连续性，会对研究有影响，故此本文选择的是TS2009合约与TF2009合约的3分钟收盘价数据。</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通过对交易冲击成本以及样本量的考虑，为了使得交易能够有效进行剔除了交易不活跃的时间数据</w:t>
      </w:r>
      <w:r>
        <w:rPr>
          <w:rFonts w:hint="eastAsia" w:asciiTheme="minorEastAsia" w:hAnsiTheme="minorEastAsia" w:cstheme="minorEastAsia"/>
          <w:sz w:val="24"/>
          <w:lang w:eastAsia="zh-CN"/>
        </w:rPr>
        <w:t>。</w:t>
      </w:r>
      <w:r>
        <w:rPr>
          <w:rFonts w:hint="eastAsia" w:asciiTheme="minorEastAsia" w:hAnsiTheme="minorEastAsia" w:cstheme="minorEastAsia"/>
          <w:sz w:val="24"/>
        </w:rPr>
        <w:t>安麒溢（2017）也验证发现国债期货在刚入市交易的几天中的价格与即将交割时的价格波动往往会非常大，两个期货价格序列之间的价差波动</w:t>
      </w:r>
      <w:r>
        <w:rPr>
          <w:rFonts w:hint="eastAsia" w:asciiTheme="minorEastAsia" w:hAnsiTheme="minorEastAsia" w:cstheme="minorEastAsia"/>
          <w:sz w:val="24"/>
          <w:lang w:val="en-US" w:eastAsia="zh-CN"/>
        </w:rPr>
        <w:t>也会</w:t>
      </w:r>
      <w:r>
        <w:rPr>
          <w:rFonts w:hint="eastAsia" w:asciiTheme="minorEastAsia" w:hAnsiTheme="minorEastAsia" w:cstheme="minorEastAsia"/>
          <w:sz w:val="24"/>
        </w:rPr>
        <w:t>非常大，一般也不存在着均衡关系，更不存在协整关系。</w:t>
      </w:r>
      <w:r>
        <w:rPr>
          <w:rFonts w:hint="eastAsia" w:asciiTheme="minorEastAsia" w:hAnsiTheme="minorEastAsia" w:cstheme="minorEastAsia"/>
          <w:sz w:val="24"/>
          <w:lang w:val="en-US" w:eastAsia="zh-CN"/>
        </w:rPr>
        <w:t>再根据合约的成交量进行分析，要确保交易能够顺利进行，避免有价无市。</w:t>
      </w:r>
      <w:r>
        <w:rPr>
          <w:rFonts w:hint="eastAsia" w:asciiTheme="minorEastAsia" w:hAnsiTheme="minorEastAsia" w:cstheme="minorEastAsia"/>
          <w:sz w:val="24"/>
        </w:rPr>
        <w:t>因此本文选取2020年4月29日到2020年7月24日作为样本内时间段，样本内数据共5195对；2020年7月27日到2020年8月20日作为样本外时间段，样本外数据共1615对。用TS代表TS2009合约3分钟收盘价序列，用TF代表TF2009合约的3分钟收盘价序列，本文数据来源于万得数据库。</w:t>
      </w:r>
    </w:p>
    <w:p>
      <w:pPr>
        <w:pStyle w:val="4"/>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lang w:val="en-US" w:eastAsia="zh-CN"/>
        </w:rPr>
      </w:pPr>
      <w:bookmarkStart w:id="157" w:name="_Toc18902"/>
      <w:bookmarkStart w:id="158" w:name="_Toc2189"/>
      <w:bookmarkStart w:id="159" w:name="_Toc3967"/>
      <w:bookmarkStart w:id="160" w:name="_Toc12285"/>
      <w:bookmarkStart w:id="161" w:name="_Toc1902"/>
      <w:r>
        <w:rPr>
          <w:rFonts w:hint="eastAsia" w:ascii="黑体" w:hAnsi="黑体" w:eastAsia="黑体" w:cs="黑体"/>
          <w:b w:val="0"/>
          <w:bCs/>
          <w:sz w:val="28"/>
          <w:szCs w:val="28"/>
          <w:lang w:val="en-US" w:eastAsia="zh-CN"/>
        </w:rPr>
        <w:t>4.2.2 样本内数据检验</w:t>
      </w:r>
      <w:bookmarkEnd w:id="157"/>
      <w:bookmarkEnd w:id="158"/>
      <w:bookmarkEnd w:id="159"/>
      <w:bookmarkEnd w:id="160"/>
      <w:bookmarkEnd w:id="161"/>
    </w:p>
    <w:p>
      <w:pPr>
        <w:pStyle w:val="5"/>
        <w:ind w:firstLine="210" w:firstLineChars="100"/>
      </w:pPr>
      <w:r>
        <w:drawing>
          <wp:inline distT="0" distB="0" distL="114300" distR="114300">
            <wp:extent cx="4969510" cy="1757680"/>
            <wp:effectExtent l="0" t="0" r="2540" b="13970"/>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58" cstate="print"/>
                    <a:stretch>
                      <a:fillRect/>
                    </a:stretch>
                  </pic:blipFill>
                  <pic:spPr>
                    <a:xfrm>
                      <a:off x="0" y="0"/>
                      <a:ext cx="4969510" cy="175768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120" w:after="240" w:line="240" w:lineRule="auto"/>
        <w:ind w:firstLine="210" w:firstLineChars="100"/>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图4.1</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rPr>
        <w:t xml:space="preserve"> 样本期内TF合约与TS合约3分钟收盘价走势</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根据上文分析两种国债期货具有较强的相关性，且从图4.1看出其价格序列走势呈现出相同的规律存在长期稳定的关系，故可能存在协整关系，因此在建模前需要对两种国债期货之间的协整关系进行检验。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bookmarkStart w:id="162" w:name="_Toc6568"/>
      <w:bookmarkStart w:id="163" w:name="_Toc13643"/>
      <w:bookmarkStart w:id="164" w:name="_Toc26404"/>
      <w:bookmarkStart w:id="165" w:name="_Toc23891"/>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平稳性检验</w:t>
      </w:r>
      <w:bookmarkEnd w:id="162"/>
      <w:bookmarkEnd w:id="163"/>
      <w:bookmarkEnd w:id="164"/>
      <w:bookmarkEnd w:id="16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通常金融序列是非平稳的，虽然两变量之间具有很高的线性相关系数但有可能是因为在某时间段内同步下跌或同步上涨所致，并不一定具有长期均衡关系，即存在伪回归。因此在确定2年期国债期货与5年期国债期货是否存在协整关系之前，需要证实它们的时间序列是同阶单整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本文使用ADF单位根检验对2年期国债期货价格序列TS、5年期国债期货价格序列TF平稳性进行检验。</w:t>
      </w:r>
    </w:p>
    <w:p>
      <w:pPr>
        <w:keepNext w:val="0"/>
        <w:keepLines w:val="0"/>
        <w:pageBreakBefore w:val="0"/>
        <w:widowControl w:val="0"/>
        <w:kinsoku/>
        <w:wordWrap/>
        <w:overflowPunct/>
        <w:topLinePunct w:val="0"/>
        <w:autoSpaceDE/>
        <w:autoSpaceDN/>
        <w:bidi w:val="0"/>
        <w:adjustRightInd/>
        <w:snapToGrid/>
        <w:spacing w:before="240" w:after="120" w:line="240" w:lineRule="auto"/>
        <w:ind w:firstLine="0" w:firstLineChars="0"/>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表4.2  原时间序列ADF单位根检验</w:t>
      </w:r>
    </w:p>
    <w:tbl>
      <w:tblPr>
        <w:tblStyle w:val="14"/>
        <w:tblW w:w="8310" w:type="dxa"/>
        <w:tblInd w:w="0" w:type="dxa"/>
        <w:tblLayout w:type="autofit"/>
        <w:tblCellMar>
          <w:top w:w="0" w:type="dxa"/>
          <w:left w:w="0" w:type="dxa"/>
          <w:bottom w:w="0" w:type="dxa"/>
          <w:right w:w="0" w:type="dxa"/>
        </w:tblCellMar>
      </w:tblPr>
      <w:tblGrid>
        <w:gridCol w:w="1080"/>
        <w:gridCol w:w="1335"/>
        <w:gridCol w:w="1245"/>
        <w:gridCol w:w="1245"/>
        <w:gridCol w:w="1245"/>
        <w:gridCol w:w="1080"/>
        <w:gridCol w:w="1080"/>
      </w:tblGrid>
      <w:tr>
        <w:tblPrEx>
          <w:tblCellMar>
            <w:top w:w="0" w:type="dxa"/>
            <w:left w:w="0" w:type="dxa"/>
            <w:bottom w:w="0" w:type="dxa"/>
            <w:right w:w="0" w:type="dxa"/>
          </w:tblCellMar>
        </w:tblPrEx>
        <w:trPr>
          <w:trHeight w:val="285" w:hRule="atLeast"/>
        </w:trPr>
        <w:tc>
          <w:tcPr>
            <w:tcW w:w="1080"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spacing w:line="240" w:lineRule="auto"/>
              <w:jc w:val="center"/>
              <w:rPr>
                <w:rFonts w:hint="eastAsia" w:ascii="宋体" w:hAnsi="宋体" w:eastAsia="宋体" w:cs="宋体"/>
                <w:color w:val="000000"/>
                <w:sz w:val="21"/>
                <w:szCs w:val="21"/>
              </w:rPr>
            </w:pPr>
          </w:p>
        </w:tc>
        <w:tc>
          <w:tcPr>
            <w:tcW w:w="1335"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T统计量</w:t>
            </w:r>
          </w:p>
        </w:tc>
        <w:tc>
          <w:tcPr>
            <w:tcW w:w="1245"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1%临界值</w:t>
            </w:r>
          </w:p>
        </w:tc>
        <w:tc>
          <w:tcPr>
            <w:tcW w:w="1245"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5%临界值</w:t>
            </w:r>
          </w:p>
        </w:tc>
        <w:tc>
          <w:tcPr>
            <w:tcW w:w="1245"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10%临界值</w:t>
            </w:r>
          </w:p>
        </w:tc>
        <w:tc>
          <w:tcPr>
            <w:tcW w:w="1080"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P值</w:t>
            </w:r>
          </w:p>
        </w:tc>
        <w:tc>
          <w:tcPr>
            <w:tcW w:w="1080"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结论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TS</w:t>
            </w:r>
          </w:p>
        </w:tc>
        <w:tc>
          <w:tcPr>
            <w:tcW w:w="133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-1.924773</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-3.431428</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-2.861901</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-2.567005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0.3210</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非平稳</w:t>
            </w:r>
          </w:p>
        </w:tc>
      </w:tr>
      <w:tr>
        <w:tblPrEx>
          <w:tblCellMar>
            <w:top w:w="0" w:type="dxa"/>
            <w:left w:w="0" w:type="dxa"/>
            <w:bottom w:w="0" w:type="dxa"/>
            <w:right w:w="0" w:type="dxa"/>
          </w:tblCellMar>
        </w:tblPrEx>
        <w:trPr>
          <w:trHeight w:val="285" w:hRule="atLeast"/>
        </w:trPr>
        <w:tc>
          <w:tcPr>
            <w:tcW w:w="1080"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TF</w:t>
            </w:r>
          </w:p>
        </w:tc>
        <w:tc>
          <w:tcPr>
            <w:tcW w:w="1335"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-1.986491</w:t>
            </w:r>
          </w:p>
        </w:tc>
        <w:tc>
          <w:tcPr>
            <w:tcW w:w="1245"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-3.431428</w:t>
            </w:r>
          </w:p>
        </w:tc>
        <w:tc>
          <w:tcPr>
            <w:tcW w:w="1245"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-2.861901</w:t>
            </w:r>
          </w:p>
        </w:tc>
        <w:tc>
          <w:tcPr>
            <w:tcW w:w="1245"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-2.567005</w:t>
            </w:r>
          </w:p>
        </w:tc>
        <w:tc>
          <w:tcPr>
            <w:tcW w:w="1080"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0.2930</w:t>
            </w:r>
          </w:p>
        </w:tc>
        <w:tc>
          <w:tcPr>
            <w:tcW w:w="1080" w:type="dxa"/>
            <w:tcBorders>
              <w:top w:val="nil"/>
              <w:left w:val="nil"/>
              <w:bottom w:val="single" w:color="auto" w:sz="4"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非平稳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D (TS)</w:t>
            </w:r>
          </w:p>
        </w:tc>
        <w:tc>
          <w:tcPr>
            <w:tcW w:w="133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-73.04149</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-3.431428</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-2.861901</w:t>
            </w:r>
          </w:p>
        </w:tc>
        <w:tc>
          <w:tcPr>
            <w:tcW w:w="1245"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-2.567005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0.0001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平稳</w:t>
            </w:r>
          </w:p>
        </w:tc>
      </w:tr>
      <w:tr>
        <w:tblPrEx>
          <w:tblCellMar>
            <w:top w:w="0" w:type="dxa"/>
            <w:left w:w="0" w:type="dxa"/>
            <w:bottom w:w="0" w:type="dxa"/>
            <w:right w:w="0" w:type="dxa"/>
          </w:tblCellMar>
        </w:tblPrEx>
        <w:trPr>
          <w:trHeight w:val="285" w:hRule="atLeast"/>
        </w:trPr>
        <w:tc>
          <w:tcPr>
            <w:tcW w:w="1080"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D (TF)</w:t>
            </w:r>
          </w:p>
        </w:tc>
        <w:tc>
          <w:tcPr>
            <w:tcW w:w="1335"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-71.59718</w:t>
            </w:r>
          </w:p>
        </w:tc>
        <w:tc>
          <w:tcPr>
            <w:tcW w:w="1245"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-3.431428</w:t>
            </w:r>
          </w:p>
        </w:tc>
        <w:tc>
          <w:tcPr>
            <w:tcW w:w="1245"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-2.861901</w:t>
            </w:r>
          </w:p>
        </w:tc>
        <w:tc>
          <w:tcPr>
            <w:tcW w:w="1245"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-2.567005</w:t>
            </w:r>
          </w:p>
        </w:tc>
        <w:tc>
          <w:tcPr>
            <w:tcW w:w="1080"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0.0001</w:t>
            </w:r>
          </w:p>
        </w:tc>
        <w:tc>
          <w:tcPr>
            <w:tcW w:w="1080" w:type="dxa"/>
            <w:tcBorders>
              <w:top w:val="nil"/>
              <w:left w:val="nil"/>
              <w:bottom w:val="single" w:color="000000" w:sz="12" w:space="0"/>
              <w:right w:val="nil"/>
            </w:tcBorders>
            <w:shd w:val="clear" w:color="auto" w:fill="auto"/>
            <w:noWrap/>
            <w:tcMar>
              <w:top w:w="15" w:type="dxa"/>
              <w:left w:w="15" w:type="dxa"/>
              <w:right w:w="15" w:type="dxa"/>
            </w:tcMar>
            <w:vAlign w:val="center"/>
          </w:tcPr>
          <w:p>
            <w:pPr>
              <w:widowControl/>
              <w:spacing w:line="240" w:lineRule="auto"/>
              <w:jc w:val="center"/>
              <w:textAlignment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平稳</w:t>
            </w:r>
          </w:p>
        </w:tc>
      </w:tr>
    </w:tbl>
    <w:p>
      <w:pPr>
        <w:keepNext w:val="0"/>
        <w:keepLines w:val="0"/>
        <w:pageBreakBefore w:val="0"/>
        <w:widowControl w:val="0"/>
        <w:kinsoku/>
        <w:wordWrap/>
        <w:overflowPunct/>
        <w:topLinePunct w:val="0"/>
        <w:autoSpaceDE/>
        <w:autoSpaceDN/>
        <w:bidi w:val="0"/>
        <w:adjustRightInd/>
        <w:snapToGrid/>
        <w:spacing w:before="120" w:after="240" w:line="240" w:lineRule="auto"/>
        <w:textAlignment w:val="auto"/>
        <w:rPr>
          <w:rFonts w:asciiTheme="minorEastAsia" w:hAnsiTheme="minorEastAsia" w:cstheme="minorEastAsia"/>
          <w:sz w:val="21"/>
          <w:szCs w:val="21"/>
        </w:rPr>
      </w:pPr>
      <w:r>
        <w:rPr>
          <w:rFonts w:hint="eastAsia" w:asciiTheme="minorEastAsia" w:hAnsiTheme="minorEastAsia" w:cstheme="minorEastAsia"/>
          <w:sz w:val="21"/>
          <w:szCs w:val="21"/>
        </w:rPr>
        <w:t>数据来源：根据Eviews软件整理而得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cstheme="minorEastAsia"/>
          <w:sz w:val="24"/>
        </w:rPr>
      </w:pPr>
      <w:r>
        <w:rPr>
          <w:rFonts w:hint="eastAsia" w:asciiTheme="minorEastAsia" w:hAnsiTheme="minorEastAsia" w:cstheme="minorEastAsia"/>
          <w:sz w:val="24"/>
        </w:rPr>
        <w:t xml:space="preserve">   从表4.2以看出，2年期国债期货和5年期国债期货合约的高频数据的原序列数据进行ADF检验后，T统计量都大于临界值，说明两个序列的T统计量在1%、5%、10%的显著性水平下不显著，且P值明显不等于0，故不能拒绝原假设，即两个时间序列存在单位根，是非平稳的。在对</w:t>
      </w:r>
      <w:r>
        <w:rPr>
          <w:rFonts w:hint="eastAsia" w:asciiTheme="minorEastAsia" w:hAnsiTheme="minorEastAsia" w:cstheme="minorEastAsia"/>
          <w:sz w:val="24"/>
          <w:lang w:val="en-US" w:eastAsia="zh-CN"/>
        </w:rPr>
        <w:t>原序列</w:t>
      </w:r>
      <w:r>
        <w:rPr>
          <w:rFonts w:hint="eastAsia" w:asciiTheme="minorEastAsia" w:hAnsiTheme="minorEastAsia" w:cstheme="minorEastAsia"/>
          <w:sz w:val="24"/>
        </w:rPr>
        <w:t>进行一阶差分之后再次进行ADF检验，发现不管在任何显著性水平下其T统计量都远远小于临界值的，且P值接近0，故拒绝原假设，即2年期国债期货和5年期国债期货一阶差分序列不存在单位根，是平稳的。因此TS、TF两时间序列为一阶单整序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bookmarkStart w:id="166" w:name="_Toc21224"/>
      <w:bookmarkStart w:id="167" w:name="_Toc15225"/>
      <w:bookmarkStart w:id="168" w:name="_Toc253"/>
      <w:bookmarkStart w:id="169" w:name="_Toc5033"/>
      <w:r>
        <w:rPr>
          <w:rFonts w:hint="eastAsia" w:asciiTheme="minorEastAsia" w:hAnsiTheme="minorEastAsia" w:eastAsiaTheme="minorEastAsia" w:cstheme="minorEastAsia"/>
          <w:sz w:val="24"/>
          <w:szCs w:val="24"/>
          <w:lang w:val="en-US" w:eastAsia="zh-CN"/>
        </w:rPr>
        <w:t>2.协整检验</w:t>
      </w:r>
      <w:bookmarkEnd w:id="166"/>
      <w:bookmarkEnd w:id="167"/>
      <w:bookmarkEnd w:id="168"/>
      <w:bookmarkEnd w:id="16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在确定2年期国债期货和5年期国债期货价格序列均为一阶单整序列，后还需要对两种期货之间的协整关系进行检验，采用EG两步法对TS和TF合约进行协整关系检验，设解释变量为TF,被解释变量为TS。第一步，对两个单整的变量进行OLS回归估计，得到残差序列</w:t>
      </w:r>
      <w:r>
        <w:rPr>
          <w:rFonts w:hint="eastAsia" w:asciiTheme="minorEastAsia" w:hAnsiTheme="minorEastAsia" w:cstheme="minorEastAsia"/>
          <w:position w:val="-12"/>
          <w:sz w:val="24"/>
        </w:rPr>
        <w:object>
          <v:shape id="_x0000_i1052"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asciiTheme="minorEastAsia" w:hAnsiTheme="minorEastAsia" w:cstheme="minorEastAsia"/>
          <w:sz w:val="24"/>
        </w:rPr>
        <w:t>；第二步，对残差序列</w:t>
      </w:r>
      <w:r>
        <w:rPr>
          <w:rFonts w:hint="eastAsia" w:asciiTheme="minorEastAsia" w:hAnsiTheme="minorEastAsia" w:cstheme="minorEastAsia"/>
          <w:position w:val="-12"/>
          <w:sz w:val="24"/>
        </w:rPr>
        <w:object>
          <v:shape id="_x0000_i1053"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53" DrawAspect="Content" ObjectID="_1468075753" r:id="rId61">
            <o:LockedField>false</o:LockedField>
          </o:OLEObject>
        </w:object>
      </w:r>
      <w:r>
        <w:rPr>
          <w:rFonts w:hint="eastAsia" w:asciiTheme="minorEastAsia" w:hAnsiTheme="minorEastAsia" w:cstheme="minorEastAsia"/>
          <w:sz w:val="24"/>
        </w:rPr>
        <w:t>进行平稳性检验。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Style w:val="24"/>
          <w:rFonts w:hint="eastAsia" w:ascii="宋体" w:hAnsi="宋体" w:eastAsia="宋体" w:cs="宋体"/>
          <w:sz w:val="24"/>
          <w:szCs w:val="24"/>
        </w:rPr>
      </w:pPr>
      <w:r>
        <w:rPr>
          <w:rFonts w:hint="eastAsia" w:ascii="宋体" w:hAnsi="宋体" w:eastAsia="宋体" w:cs="宋体"/>
          <w:sz w:val="21"/>
          <w:szCs w:val="21"/>
        </w:rPr>
        <w:t>表4.</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OLS回归结果</w:t>
      </w:r>
    </w:p>
    <w:tbl>
      <w:tblPr>
        <w:tblStyle w:val="14"/>
        <w:tblW w:w="8003" w:type="dxa"/>
        <w:tblInd w:w="0" w:type="dxa"/>
        <w:shd w:val="clear" w:color="auto" w:fill="auto"/>
        <w:tblLayout w:type="fixed"/>
        <w:tblCellMar>
          <w:top w:w="0" w:type="dxa"/>
          <w:left w:w="0" w:type="dxa"/>
          <w:bottom w:w="0" w:type="dxa"/>
          <w:right w:w="0" w:type="dxa"/>
        </w:tblCellMar>
      </w:tblPr>
      <w:tblGrid>
        <w:gridCol w:w="1622"/>
        <w:gridCol w:w="2008"/>
        <w:gridCol w:w="2296"/>
        <w:gridCol w:w="2077"/>
      </w:tblGrid>
      <w:tr>
        <w:tblPrEx>
          <w:tblCellMar>
            <w:top w:w="0" w:type="dxa"/>
            <w:left w:w="0" w:type="dxa"/>
            <w:bottom w:w="0" w:type="dxa"/>
            <w:right w:w="0" w:type="dxa"/>
          </w:tblCellMar>
        </w:tblPrEx>
        <w:trPr>
          <w:trHeight w:val="90" w:hRule="atLeast"/>
        </w:trPr>
        <w:tc>
          <w:tcPr>
            <w:tcW w:w="1622"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变量</w:t>
            </w:r>
          </w:p>
        </w:tc>
        <w:tc>
          <w:tcPr>
            <w:tcW w:w="2008"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系数</w:t>
            </w:r>
          </w:p>
        </w:tc>
        <w:tc>
          <w:tcPr>
            <w:tcW w:w="2296"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T统计量</w:t>
            </w:r>
          </w:p>
        </w:tc>
        <w:tc>
          <w:tcPr>
            <w:tcW w:w="2077"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P值</w:t>
            </w:r>
          </w:p>
        </w:tc>
      </w:tr>
      <w:tr>
        <w:tblPrEx>
          <w:shd w:val="clear" w:color="auto" w:fill="auto"/>
          <w:tblCellMar>
            <w:top w:w="0" w:type="dxa"/>
            <w:left w:w="0" w:type="dxa"/>
            <w:bottom w:w="0" w:type="dxa"/>
            <w:right w:w="0" w:type="dxa"/>
          </w:tblCellMar>
        </w:tblPrEx>
        <w:trPr>
          <w:trHeight w:val="270" w:hRule="atLeast"/>
        </w:trPr>
        <w:tc>
          <w:tcPr>
            <w:tcW w:w="1622"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w:t>
            </w:r>
          </w:p>
        </w:tc>
        <w:tc>
          <w:tcPr>
            <w:tcW w:w="2008"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53.49391</w:t>
            </w:r>
          </w:p>
        </w:tc>
        <w:tc>
          <w:tcPr>
            <w:tcW w:w="2296"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672.9425</w:t>
            </w:r>
          </w:p>
        </w:tc>
        <w:tc>
          <w:tcPr>
            <w:tcW w:w="2077"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0.0000</w:t>
            </w:r>
          </w:p>
        </w:tc>
      </w:tr>
      <w:tr>
        <w:tblPrEx>
          <w:shd w:val="clear" w:color="auto" w:fill="auto"/>
          <w:tblCellMar>
            <w:top w:w="0" w:type="dxa"/>
            <w:left w:w="0" w:type="dxa"/>
            <w:bottom w:w="0" w:type="dxa"/>
            <w:right w:w="0" w:type="dxa"/>
          </w:tblCellMar>
        </w:tblPrEx>
        <w:trPr>
          <w:trHeight w:val="270" w:hRule="atLeast"/>
        </w:trPr>
        <w:tc>
          <w:tcPr>
            <w:tcW w:w="162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TF</w:t>
            </w:r>
          </w:p>
        </w:tc>
        <w:tc>
          <w:tcPr>
            <w:tcW w:w="200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0.469298</w:t>
            </w:r>
          </w:p>
        </w:tc>
        <w:tc>
          <w:tcPr>
            <w:tcW w:w="229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601.8751</w:t>
            </w:r>
          </w:p>
        </w:tc>
        <w:tc>
          <w:tcPr>
            <w:tcW w:w="207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0.0000</w:t>
            </w:r>
          </w:p>
        </w:tc>
      </w:tr>
      <w:tr>
        <w:tblPrEx>
          <w:shd w:val="clear" w:color="auto" w:fill="auto"/>
          <w:tblCellMar>
            <w:top w:w="0" w:type="dxa"/>
            <w:left w:w="0" w:type="dxa"/>
            <w:bottom w:w="0" w:type="dxa"/>
            <w:right w:w="0" w:type="dxa"/>
          </w:tblCellMar>
        </w:tblPrEx>
        <w:trPr>
          <w:trHeight w:val="270" w:hRule="atLeast"/>
        </w:trPr>
        <w:tc>
          <w:tcPr>
            <w:tcW w:w="3630" w:type="dxa"/>
            <w:gridSpan w:val="2"/>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position w:val="-4"/>
                <w:sz w:val="21"/>
                <w:szCs w:val="21"/>
                <w:u w:val="none"/>
                <w:lang w:eastAsia="zh-CN"/>
              </w:rPr>
              <w:object>
                <v:shape id="_x0000_i1054" o:spt="75" type="#_x0000_t75" style="height:15pt;width:16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ascii="宋体" w:hAnsi="宋体" w:eastAsia="宋体" w:cs="宋体"/>
                <w:i w:val="0"/>
                <w:color w:val="000000"/>
                <w:sz w:val="21"/>
                <w:szCs w:val="21"/>
                <w:u w:val="none"/>
                <w:lang w:val="en-US" w:eastAsia="zh-CN"/>
              </w:rPr>
              <w:t>=0.985867</w:t>
            </w:r>
          </w:p>
        </w:tc>
        <w:tc>
          <w:tcPr>
            <w:tcW w:w="4373" w:type="dxa"/>
            <w:gridSpan w:val="2"/>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调整后</w:t>
            </w:r>
            <w:r>
              <w:rPr>
                <w:rFonts w:hint="eastAsia" w:ascii="宋体" w:hAnsi="宋体" w:eastAsia="宋体" w:cs="宋体"/>
                <w:i w:val="0"/>
                <w:color w:val="000000"/>
                <w:position w:val="-4"/>
                <w:sz w:val="21"/>
                <w:szCs w:val="21"/>
                <w:u w:val="none"/>
                <w:lang w:val="en-US" w:eastAsia="zh-CN"/>
              </w:rPr>
              <w:object>
                <v:shape id="_x0000_i1055" o:spt="75" type="#_x0000_t75" style="height:15pt;width:16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ascii="宋体" w:hAnsi="宋体" w:eastAsia="宋体" w:cs="宋体"/>
                <w:i w:val="0"/>
                <w:color w:val="000000"/>
                <w:sz w:val="21"/>
                <w:szCs w:val="21"/>
                <w:u w:val="none"/>
                <w:lang w:val="en-US" w:eastAsia="zh-CN"/>
              </w:rPr>
              <w:t>=0.985865</w:t>
            </w:r>
          </w:p>
        </w:tc>
      </w:tr>
      <w:tr>
        <w:tblPrEx>
          <w:shd w:val="clear" w:color="auto" w:fill="auto"/>
          <w:tblCellMar>
            <w:top w:w="0" w:type="dxa"/>
            <w:left w:w="0" w:type="dxa"/>
            <w:bottom w:w="0" w:type="dxa"/>
            <w:right w:w="0" w:type="dxa"/>
          </w:tblCellMar>
        </w:tblPrEx>
        <w:trPr>
          <w:trHeight w:val="270" w:hRule="atLeast"/>
        </w:trPr>
        <w:tc>
          <w:tcPr>
            <w:tcW w:w="3630" w:type="dxa"/>
            <w:gridSpan w:val="2"/>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F统计量=362253.6</w:t>
            </w:r>
          </w:p>
        </w:tc>
        <w:tc>
          <w:tcPr>
            <w:tcW w:w="4373" w:type="dxa"/>
            <w:gridSpan w:val="2"/>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P值=0.0000</w:t>
            </w:r>
          </w:p>
        </w:tc>
      </w:tr>
    </w:tbl>
    <w:p>
      <w:pPr>
        <w:keepNext w:val="0"/>
        <w:keepLines w:val="0"/>
        <w:pageBreakBefore w:val="0"/>
        <w:widowControl w:val="0"/>
        <w:kinsoku/>
        <w:wordWrap/>
        <w:overflowPunct/>
        <w:topLinePunct w:val="0"/>
        <w:autoSpaceDE/>
        <w:autoSpaceDN/>
        <w:bidi w:val="0"/>
        <w:adjustRightInd/>
        <w:snapToGrid/>
        <w:spacing w:before="120" w:after="240" w:line="240" w:lineRule="auto"/>
        <w:textAlignment w:val="auto"/>
        <w:rPr>
          <w:rFonts w:hint="eastAsia" w:asciiTheme="minorEastAsia" w:hAnsiTheme="minorEastAsia" w:cstheme="minorEastAsia"/>
          <w:sz w:val="24"/>
        </w:rPr>
      </w:pPr>
      <w:r>
        <w:rPr>
          <w:rFonts w:hint="eastAsia" w:asciiTheme="minorEastAsia" w:hAnsiTheme="minorEastAsia" w:cstheme="minorEastAsia"/>
          <w:sz w:val="21"/>
          <w:szCs w:val="21"/>
        </w:rPr>
        <w:t>数据来源：根据Eviews软件整理而得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 xml:space="preserve">    根据OLS回归得到</w:t>
      </w:r>
      <w:r>
        <w:rPr>
          <w:rFonts w:hint="eastAsia" w:asciiTheme="minorEastAsia" w:hAnsiTheme="minorEastAsia" w:cstheme="minorEastAsia"/>
          <w:sz w:val="24"/>
        </w:rPr>
        <w:t>残差序列</w:t>
      </w:r>
      <w:r>
        <w:rPr>
          <w:rFonts w:hint="eastAsia" w:asciiTheme="minorEastAsia" w:hAnsiTheme="minorEastAsia" w:cstheme="minorEastAsia"/>
          <w:position w:val="-12"/>
          <w:sz w:val="24"/>
        </w:rPr>
        <w:object>
          <v:shape id="_x0000_i1056"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56" DrawAspect="Content" ObjectID="_1468075756" r:id="rId66">
            <o:LockedField>false</o:LockedField>
          </o:OLEObject>
        </w:object>
      </w:r>
      <w:r>
        <w:rPr>
          <w:rFonts w:hint="eastAsia" w:asciiTheme="minorEastAsia" w:hAnsiTheme="minorEastAsia" w:cstheme="minorEastAsia"/>
          <w:sz w:val="24"/>
          <w:lang w:val="en-US" w:eastAsia="zh-CN"/>
        </w:rPr>
        <w:t>，对</w:t>
      </w:r>
      <w:r>
        <w:rPr>
          <w:rFonts w:hint="eastAsia" w:asciiTheme="minorEastAsia" w:hAnsiTheme="minorEastAsia" w:cstheme="minorEastAsia"/>
          <w:sz w:val="24"/>
        </w:rPr>
        <w:t>残差序列</w:t>
      </w:r>
      <w:r>
        <w:rPr>
          <w:rFonts w:hint="eastAsia" w:asciiTheme="minorEastAsia" w:hAnsiTheme="minorEastAsia" w:cstheme="minorEastAsia"/>
          <w:position w:val="-12"/>
          <w:sz w:val="24"/>
        </w:rPr>
        <w:object>
          <v:shape id="_x0000_i1057"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57" DrawAspect="Content" ObjectID="_1468075757" r:id="rId67">
            <o:LockedField>false</o:LockedField>
          </o:OLEObject>
        </w:object>
      </w:r>
      <w:r>
        <w:rPr>
          <w:rFonts w:hint="eastAsia" w:asciiTheme="minorEastAsia" w:hAnsiTheme="minorEastAsia" w:cstheme="minorEastAsia"/>
          <w:sz w:val="24"/>
        </w:rPr>
        <w:t>进行平稳性检验</w:t>
      </w:r>
      <w:r>
        <w:rPr>
          <w:rFonts w:hint="eastAsia" w:asciiTheme="minorEastAsia" w:hAnsiTheme="minorEastAsia" w:cstheme="minorEastAsia"/>
          <w:sz w:val="24"/>
          <w:lang w:val="en-US" w:eastAsia="zh-CN"/>
        </w:rPr>
        <w:t>，检验结果如下表4.4：</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表4.</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rPr>
        <w:t>残差序列</w:t>
      </w:r>
      <w:r>
        <w:rPr>
          <w:rFonts w:hint="eastAsia" w:asciiTheme="minorEastAsia" w:hAnsiTheme="minorEastAsia" w:cstheme="minorEastAsia"/>
          <w:position w:val="-12"/>
          <w:sz w:val="21"/>
          <w:szCs w:val="21"/>
        </w:rPr>
        <w:object>
          <v:shape id="_x0000_i1058"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58" DrawAspect="Content" ObjectID="_1468075758" r:id="rId68">
            <o:LockedField>false</o:LockedField>
          </o:OLEObject>
        </w:object>
      </w:r>
      <w:r>
        <w:rPr>
          <w:rFonts w:hint="eastAsia" w:asciiTheme="minorEastAsia" w:hAnsiTheme="minorEastAsia" w:cstheme="minorEastAsia"/>
          <w:sz w:val="21"/>
          <w:szCs w:val="21"/>
        </w:rPr>
        <w:t>平稳性检验结果</w:t>
      </w:r>
    </w:p>
    <w:tbl>
      <w:tblPr>
        <w:tblStyle w:val="14"/>
        <w:tblW w:w="7980" w:type="dxa"/>
        <w:tblInd w:w="0" w:type="dxa"/>
        <w:shd w:val="clear" w:color="auto" w:fill="auto"/>
        <w:tblLayout w:type="fixed"/>
        <w:tblCellMar>
          <w:top w:w="0" w:type="dxa"/>
          <w:left w:w="0" w:type="dxa"/>
          <w:bottom w:w="0" w:type="dxa"/>
          <w:right w:w="0" w:type="dxa"/>
        </w:tblCellMar>
      </w:tblPr>
      <w:tblGrid>
        <w:gridCol w:w="1322"/>
        <w:gridCol w:w="1581"/>
        <w:gridCol w:w="1834"/>
        <w:gridCol w:w="1662"/>
        <w:gridCol w:w="1581"/>
      </w:tblGrid>
      <w:tr>
        <w:tblPrEx>
          <w:shd w:val="clear" w:color="auto" w:fill="auto"/>
          <w:tblCellMar>
            <w:top w:w="0" w:type="dxa"/>
            <w:left w:w="0" w:type="dxa"/>
            <w:bottom w:w="0" w:type="dxa"/>
            <w:right w:w="0" w:type="dxa"/>
          </w:tblCellMar>
        </w:tblPrEx>
        <w:trPr>
          <w:trHeight w:val="300" w:hRule="atLeast"/>
        </w:trPr>
        <w:tc>
          <w:tcPr>
            <w:tcW w:w="1322"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T统计量</w:t>
            </w:r>
          </w:p>
        </w:tc>
        <w:tc>
          <w:tcPr>
            <w:tcW w:w="1581"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1%临界值</w:t>
            </w:r>
          </w:p>
        </w:tc>
        <w:tc>
          <w:tcPr>
            <w:tcW w:w="1834"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5%临界值</w:t>
            </w:r>
          </w:p>
        </w:tc>
        <w:tc>
          <w:tcPr>
            <w:tcW w:w="1662"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10%临界值</w:t>
            </w:r>
          </w:p>
        </w:tc>
        <w:tc>
          <w:tcPr>
            <w:tcW w:w="1581" w:type="dxa"/>
            <w:tcBorders>
              <w:top w:val="single" w:color="000000" w:sz="12"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P值</w:t>
            </w:r>
          </w:p>
        </w:tc>
      </w:tr>
      <w:tr>
        <w:tblPrEx>
          <w:shd w:val="clear" w:color="auto" w:fill="auto"/>
          <w:tblCellMar>
            <w:top w:w="0" w:type="dxa"/>
            <w:left w:w="0" w:type="dxa"/>
            <w:bottom w:w="0" w:type="dxa"/>
            <w:right w:w="0" w:type="dxa"/>
          </w:tblCellMar>
        </w:tblPrEx>
        <w:trPr>
          <w:trHeight w:val="285" w:hRule="atLeast"/>
        </w:trPr>
        <w:tc>
          <w:tcPr>
            <w:tcW w:w="1322" w:type="dxa"/>
            <w:tcBorders>
              <w:top w:val="single" w:color="000000" w:sz="4" w:space="0"/>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-3.422283</w:t>
            </w:r>
          </w:p>
        </w:tc>
        <w:tc>
          <w:tcPr>
            <w:tcW w:w="1581" w:type="dxa"/>
            <w:tcBorders>
              <w:top w:val="single" w:color="000000" w:sz="4" w:space="0"/>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-3.431428</w:t>
            </w:r>
          </w:p>
        </w:tc>
        <w:tc>
          <w:tcPr>
            <w:tcW w:w="1834" w:type="dxa"/>
            <w:tcBorders>
              <w:top w:val="single" w:color="000000" w:sz="4" w:space="0"/>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-2.861901</w:t>
            </w:r>
          </w:p>
        </w:tc>
        <w:tc>
          <w:tcPr>
            <w:tcW w:w="1662" w:type="dxa"/>
            <w:tcBorders>
              <w:top w:val="single" w:color="000000" w:sz="4" w:space="0"/>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-2.567005</w:t>
            </w:r>
          </w:p>
        </w:tc>
        <w:tc>
          <w:tcPr>
            <w:tcW w:w="1581" w:type="dxa"/>
            <w:tcBorders>
              <w:top w:val="single" w:color="000000" w:sz="4" w:space="0"/>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0.0103</w:t>
            </w:r>
          </w:p>
        </w:tc>
      </w:tr>
    </w:tbl>
    <w:p>
      <w:pPr>
        <w:keepNext w:val="0"/>
        <w:keepLines w:val="0"/>
        <w:pageBreakBefore w:val="0"/>
        <w:widowControl w:val="0"/>
        <w:kinsoku/>
        <w:wordWrap/>
        <w:overflowPunct/>
        <w:topLinePunct w:val="0"/>
        <w:autoSpaceDE/>
        <w:autoSpaceDN/>
        <w:bidi w:val="0"/>
        <w:adjustRightInd/>
        <w:snapToGrid/>
        <w:spacing w:before="120" w:after="240" w:line="240" w:lineRule="auto"/>
        <w:textAlignment w:val="auto"/>
        <w:rPr>
          <w:rFonts w:asciiTheme="minorEastAsia" w:hAnsiTheme="minorEastAsia" w:cstheme="minorEastAsia"/>
          <w:sz w:val="21"/>
          <w:szCs w:val="21"/>
        </w:rPr>
      </w:pPr>
      <w:r>
        <w:rPr>
          <w:rFonts w:hint="eastAsia" w:asciiTheme="minorEastAsia" w:hAnsiTheme="minorEastAsia" w:cstheme="minorEastAsia"/>
          <w:sz w:val="21"/>
          <w:szCs w:val="21"/>
        </w:rPr>
        <w:t>数据来源：根据Eviews软件整理而得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残差序列的T统计量的值-3.422283，小于5%显著性水平下临界值，故在5%的显著性水平下通过了平稳性检验，残差序列平稳说明TS和TF合约之间存在协整关系,因此TS和TF合约可能存在套利机会，可以进行下一步的分析与设计。</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kern w:val="2"/>
          <w:sz w:val="28"/>
          <w:szCs w:val="28"/>
          <w:lang w:val="en-US" w:eastAsia="zh-CN" w:bidi="ar-SA"/>
        </w:rPr>
      </w:pPr>
      <w:bookmarkStart w:id="170" w:name="_Toc29811"/>
      <w:bookmarkStart w:id="171" w:name="_Toc31522"/>
      <w:bookmarkStart w:id="172" w:name="_Toc20919"/>
      <w:bookmarkStart w:id="173" w:name="_Toc1579"/>
      <w:bookmarkStart w:id="174" w:name="_Toc29931"/>
      <w:r>
        <w:rPr>
          <w:rFonts w:hint="eastAsia" w:ascii="黑体" w:hAnsi="黑体" w:eastAsia="黑体" w:cs="黑体"/>
          <w:b w:val="0"/>
          <w:bCs/>
          <w:kern w:val="2"/>
          <w:sz w:val="28"/>
          <w:szCs w:val="28"/>
          <w:lang w:val="en-US" w:eastAsia="zh-CN" w:bidi="ar-SA"/>
        </w:rPr>
        <w:t>4.2.3 构建协整模型确定套利组合</w:t>
      </w:r>
      <w:bookmarkEnd w:id="170"/>
      <w:bookmarkEnd w:id="171"/>
      <w:bookmarkEnd w:id="172"/>
      <w:bookmarkEnd w:id="173"/>
      <w:bookmarkEnd w:id="17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根据表4.4的回归结果可得TS和TF合约之间的回归方程如下：</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heme="minorEastAsia" w:hAnsiTheme="minorEastAsia" w:cstheme="minorEastAsia"/>
          <w:sz w:val="24"/>
        </w:rPr>
      </w:pPr>
      <w:r>
        <w:rPr>
          <w:rFonts w:hint="eastAsia" w:asciiTheme="minorEastAsia" w:hAnsiTheme="minorEastAsia" w:cstheme="minorEastAsia"/>
          <w:position w:val="-12"/>
          <w:sz w:val="24"/>
        </w:rPr>
        <w:object>
          <v:shape id="_x0000_i1059" o:spt="75" type="#_x0000_t75" style="height:18pt;width:21pt;" o:ole="t" filled="f" o:preferrelative="t" stroked="f" coordsize="21600,21600">
            <v:path/>
            <v:fill on="f" focussize="0,0"/>
            <v:stroke on="f" joinstyle="miter"/>
            <v:imagedata r:id="rId70" o:title=""/>
            <o:lock v:ext="edit" aspectratio="t"/>
            <w10:wrap type="none"/>
            <w10:anchorlock/>
          </v:shape>
          <o:OLEObject Type="Embed" ProgID="Equation.KSEE3" ShapeID="_x0000_i1059" DrawAspect="Content" ObjectID="_1468075759" r:id="rId69">
            <o:LockedField>false</o:LockedField>
          </o:OLEObject>
        </w:object>
      </w:r>
      <w:r>
        <w:rPr>
          <w:rFonts w:hint="eastAsia" w:asciiTheme="minorEastAsia" w:hAnsiTheme="minorEastAsia" w:cstheme="minorEastAsia"/>
          <w:sz w:val="24"/>
        </w:rPr>
        <w:t xml:space="preserve"> = 53.49391 + 0.469298*</w:t>
      </w:r>
      <w:r>
        <w:rPr>
          <w:rFonts w:hint="eastAsia" w:asciiTheme="minorEastAsia" w:hAnsiTheme="minorEastAsia" w:cstheme="minorEastAsia"/>
          <w:position w:val="-12"/>
          <w:sz w:val="24"/>
        </w:rPr>
        <w:object>
          <v:shape id="_x0000_i1060" o:spt="75" type="#_x0000_t75" style="height:18pt;width:19.5pt;" o:ole="t" filled="f" o:preferrelative="t" stroked="f" coordsize="21600,21600">
            <v:path/>
            <v:fill on="f" focussize="0,0"/>
            <v:stroke on="f" joinstyle="miter"/>
            <v:imagedata r:id="rId72" o:title=""/>
            <o:lock v:ext="edit" aspectratio="t"/>
            <w10:wrap type="none"/>
            <w10:anchorlock/>
          </v:shape>
          <o:OLEObject Type="Embed" ProgID="Equation.KSEE3" ShapeID="_x0000_i1060" DrawAspect="Content" ObjectID="_1468075760" r:id="rId71">
            <o:LockedField>false</o:LockedField>
          </o:OLEObject>
        </w:object>
      </w:r>
      <w:r>
        <w:rPr>
          <w:rFonts w:hint="eastAsia" w:asciiTheme="minorEastAsia" w:hAnsiTheme="minorEastAsia" w:cstheme="minorEastAsia"/>
          <w:sz w:val="24"/>
        </w:rPr>
        <w:t xml:space="preserve"> + </w:t>
      </w:r>
      <w:r>
        <w:rPr>
          <w:rFonts w:hint="eastAsia" w:asciiTheme="minorEastAsia" w:hAnsiTheme="minorEastAsia" w:cstheme="minorEastAsia"/>
          <w:position w:val="-12"/>
          <w:sz w:val="24"/>
        </w:rPr>
        <w:object>
          <v:shape id="_x0000_i1061"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61" DrawAspect="Content" ObjectID="_1468075761" r:id="rId73">
            <o:LockedField>false</o:LockedField>
          </o:OLEObject>
        </w:object>
      </w:r>
      <w:r>
        <w:rPr>
          <w:rFonts w:hint="eastAsia" w:asciiTheme="minorEastAsia" w:hAnsiTheme="minorEastAsia" w:cstheme="minorEastAsia"/>
          <w:sz w:val="24"/>
        </w:rPr>
        <w:t xml:space="preserve">       （4.1）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由回归结果可知，其变量所对应的P值均为0，各变量的系数显著不为0，同时调整拟合优度为0.985865，说明TS和TF的协整关系拟合较好，</w:t>
      </w:r>
      <w:r>
        <w:rPr>
          <w:rFonts w:hint="eastAsia" w:asciiTheme="minorEastAsia" w:hAnsiTheme="minorEastAsia" w:cstheme="minorEastAsia"/>
          <w:sz w:val="24"/>
          <w:lang w:val="en-US" w:eastAsia="zh-CN"/>
        </w:rPr>
        <w:t>因为</w:t>
      </w:r>
      <w:r>
        <w:rPr>
          <w:rFonts w:hint="eastAsia" w:asciiTheme="minorEastAsia" w:hAnsiTheme="minorEastAsia" w:cstheme="minorEastAsia"/>
          <w:sz w:val="24"/>
        </w:rPr>
        <w:t>TS和TF合约</w:t>
      </w:r>
      <w:r>
        <w:rPr>
          <w:rFonts w:hint="eastAsia" w:asciiTheme="minorEastAsia" w:hAnsiTheme="minorEastAsia" w:cstheme="minorEastAsia"/>
          <w:sz w:val="24"/>
          <w:lang w:val="en-US" w:eastAsia="zh-CN"/>
        </w:rPr>
        <w:t>价格之间存在长期的均衡关系，经过检验其关系式如（4.1）式，</w:t>
      </w:r>
      <w:r>
        <w:rPr>
          <w:rFonts w:hint="eastAsia" w:asciiTheme="minorEastAsia" w:hAnsiTheme="minorEastAsia" w:cstheme="minorEastAsia"/>
          <w:sz w:val="24"/>
        </w:rPr>
        <w:t>故在跨品种套利时可以以此来确定两种期货套利组合的比例情况。可以将套利比例确定为1:0.46</w:t>
      </w:r>
      <w:r>
        <w:rPr>
          <w:rFonts w:hint="eastAsia" w:asciiTheme="minorEastAsia" w:hAnsiTheme="minorEastAsia" w:cstheme="minorEastAsia"/>
          <w:sz w:val="24"/>
          <w:lang w:val="en-US" w:eastAsia="zh-CN"/>
        </w:rPr>
        <w:t>9298</w:t>
      </w:r>
      <w:r>
        <w:rPr>
          <w:rFonts w:hint="eastAsia" w:asciiTheme="minorEastAsia" w:hAnsiTheme="minorEastAsia" w:cstheme="minorEastAsia"/>
          <w:sz w:val="24"/>
        </w:rPr>
        <w:t>，由于每一个期货合约的最少买卖数量为1手，故将套利组合确定为10:</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，如买入10手的TS合约，同时卖出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 xml:space="preserve">手的TF合约。    </w:t>
      </w:r>
    </w:p>
    <w:p>
      <w:pPr>
        <w:pStyle w:val="3"/>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cs="黑体"/>
          <w:b w:val="0"/>
          <w:bCs/>
          <w:sz w:val="28"/>
          <w:szCs w:val="28"/>
          <w:lang w:val="en-US" w:eastAsia="zh-CN"/>
        </w:rPr>
      </w:pPr>
      <w:bookmarkStart w:id="175" w:name="_Toc12026"/>
      <w:bookmarkStart w:id="176" w:name="_Toc10103"/>
      <w:bookmarkStart w:id="177" w:name="_Toc19545"/>
      <w:bookmarkStart w:id="178" w:name="_Toc20610"/>
      <w:bookmarkStart w:id="179" w:name="_Toc27631"/>
      <w:r>
        <w:rPr>
          <w:rFonts w:hint="eastAsia" w:ascii="黑体" w:hAnsi="黑体" w:eastAsia="黑体" w:cs="黑体"/>
          <w:b w:val="0"/>
          <w:bCs/>
          <w:sz w:val="28"/>
          <w:szCs w:val="28"/>
          <w:lang w:val="en-US" w:eastAsia="zh-CN"/>
        </w:rPr>
        <w:t>4.</w:t>
      </w:r>
      <w:bookmarkEnd w:id="175"/>
      <w:bookmarkEnd w:id="176"/>
      <w:bookmarkEnd w:id="177"/>
      <w:bookmarkEnd w:id="178"/>
      <w:r>
        <w:rPr>
          <w:rFonts w:hint="eastAsia" w:ascii="黑体" w:hAnsi="黑体" w:cs="黑体"/>
          <w:b w:val="0"/>
          <w:bCs/>
          <w:sz w:val="28"/>
          <w:szCs w:val="28"/>
          <w:lang w:val="en-US" w:eastAsia="zh-CN"/>
        </w:rPr>
        <w:t xml:space="preserve">3 </w:t>
      </w:r>
      <w:r>
        <w:rPr>
          <w:rFonts w:hint="eastAsia" w:ascii="黑体" w:hAnsi="黑体" w:cs="黑体"/>
          <w:b w:val="0"/>
          <w:bCs/>
          <w:sz w:val="28"/>
          <w:szCs w:val="28"/>
          <w:lang w:val="en-US" w:eastAsia="zh-CN"/>
        </w:rPr>
        <w:fldChar w:fldCharType="begin"/>
      </w:r>
      <w:r>
        <w:rPr>
          <w:rFonts w:hint="eastAsia" w:ascii="黑体" w:hAnsi="黑体" w:cs="黑体"/>
          <w:b w:val="0"/>
          <w:bCs/>
          <w:sz w:val="28"/>
          <w:szCs w:val="28"/>
          <w:lang w:val="en-US" w:eastAsia="zh-CN"/>
        </w:rPr>
        <w:instrText xml:space="preserve"> HYPERLINK \l _Toc10103 </w:instrText>
      </w:r>
      <w:r>
        <w:rPr>
          <w:rFonts w:hint="eastAsia" w:ascii="黑体" w:hAnsi="黑体" w:cs="黑体"/>
          <w:b w:val="0"/>
          <w:bCs/>
          <w:sz w:val="28"/>
          <w:szCs w:val="28"/>
          <w:lang w:val="en-US" w:eastAsia="zh-CN"/>
        </w:rPr>
        <w:fldChar w:fldCharType="separate"/>
      </w:r>
      <w:r>
        <w:rPr>
          <w:rFonts w:hint="eastAsia" w:ascii="黑体" w:hAnsi="黑体" w:cs="黑体"/>
          <w:b w:val="0"/>
          <w:bCs/>
          <w:sz w:val="28"/>
          <w:szCs w:val="28"/>
          <w:lang w:val="en-US" w:eastAsia="zh-CN"/>
        </w:rPr>
        <w:t>2年期和5年期国债期货价差</w:t>
      </w:r>
      <w:r>
        <w:rPr>
          <w:rFonts w:hint="eastAsia" w:ascii="黑体" w:hAnsi="黑体" w:cs="黑体"/>
          <w:b w:val="0"/>
          <w:bCs/>
          <w:sz w:val="28"/>
          <w:szCs w:val="28"/>
          <w:lang w:val="en-US" w:eastAsia="zh-CN"/>
        </w:rPr>
        <w:fldChar w:fldCharType="end"/>
      </w:r>
      <w:r>
        <w:rPr>
          <w:rFonts w:hint="eastAsia" w:ascii="黑体" w:hAnsi="黑体" w:cs="黑体"/>
          <w:b w:val="0"/>
          <w:bCs/>
          <w:sz w:val="28"/>
          <w:szCs w:val="28"/>
          <w:lang w:val="en-US" w:eastAsia="zh-CN"/>
        </w:rPr>
        <w:t>分析</w:t>
      </w:r>
      <w:bookmarkEnd w:id="17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本文是对2年期国债期货和5年期国债期货进行套利，本质是利用两种期货之间价格关系，</w:t>
      </w:r>
      <w:r>
        <w:rPr>
          <w:rFonts w:hint="eastAsia" w:asciiTheme="minorEastAsia" w:hAnsiTheme="minorEastAsia" w:cstheme="minorEastAsia"/>
          <w:sz w:val="24"/>
          <w:lang w:val="en-US" w:eastAsia="zh-CN"/>
        </w:rPr>
        <w:t>即两种国债期货价差存在长期均衡关系，当价差偏离均衡价差时存在套利机会，因为价差在很大概率下是会收敛于均衡价差的，</w:t>
      </w:r>
      <w:r>
        <w:rPr>
          <w:rFonts w:hint="eastAsia" w:asciiTheme="minorEastAsia" w:hAnsiTheme="minorEastAsia" w:cstheme="minorEastAsia"/>
          <w:sz w:val="24"/>
        </w:rPr>
        <w:t>因此需要对两种期货合约之间的价差进行分析。</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sz w:val="28"/>
          <w:szCs w:val="28"/>
          <w:lang w:val="en-US" w:eastAsia="zh-CN"/>
        </w:rPr>
      </w:pPr>
      <w:bookmarkStart w:id="180" w:name="_Toc13227"/>
      <w:bookmarkStart w:id="181" w:name="_Toc8773"/>
      <w:bookmarkStart w:id="182" w:name="_Toc21263"/>
      <w:bookmarkStart w:id="183" w:name="_Toc9391"/>
      <w:bookmarkStart w:id="184" w:name="_Toc30939"/>
      <w:r>
        <w:rPr>
          <w:rFonts w:hint="eastAsia" w:ascii="黑体" w:hAnsi="黑体" w:eastAsia="黑体" w:cs="黑体"/>
          <w:b w:val="0"/>
          <w:bCs/>
          <w:sz w:val="28"/>
          <w:szCs w:val="28"/>
          <w:lang w:val="en-US" w:eastAsia="zh-CN"/>
        </w:rPr>
        <w:t>4.3.1 价差序列分析</w:t>
      </w:r>
      <w:bookmarkEnd w:id="180"/>
      <w:bookmarkEnd w:id="181"/>
      <w:bookmarkEnd w:id="182"/>
      <w:bookmarkEnd w:id="183"/>
      <w:bookmarkEnd w:id="18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两种期货之间的价差序列是</w:t>
      </w:r>
      <w:r>
        <w:rPr>
          <w:rFonts w:hint="eastAsia" w:asciiTheme="minorEastAsia" w:hAnsiTheme="minorEastAsia" w:cstheme="minorEastAsia"/>
          <w:sz w:val="24"/>
          <w:szCs w:val="24"/>
          <w:lang w:val="en-US" w:eastAsia="zh-CN"/>
        </w:rPr>
        <w:t>利用</w:t>
      </w:r>
      <w:r>
        <w:rPr>
          <w:rFonts w:hint="eastAsia" w:asciiTheme="minorEastAsia" w:hAnsiTheme="minorEastAsia" w:cstheme="minorEastAsia"/>
          <w:sz w:val="24"/>
          <w:szCs w:val="24"/>
        </w:rPr>
        <w:t>两资产</w:t>
      </w:r>
      <w:r>
        <w:rPr>
          <w:rFonts w:hint="eastAsia" w:asciiTheme="minorEastAsia" w:hAnsiTheme="minorEastAsia" w:cstheme="minorEastAsia"/>
          <w:sz w:val="24"/>
          <w:szCs w:val="24"/>
          <w:lang w:val="en-US" w:eastAsia="zh-CN"/>
        </w:rPr>
        <w:t>长期均衡关系的得出的</w:t>
      </w:r>
      <w:r>
        <w:rPr>
          <w:rFonts w:hint="eastAsia" w:asciiTheme="minorEastAsia" w:hAnsiTheme="minorEastAsia" w:cstheme="minorEastAsia"/>
          <w:sz w:val="24"/>
          <w:szCs w:val="24"/>
        </w:rPr>
        <w:t>按照</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rPr>
        <w:t>0.46</w:t>
      </w:r>
      <w:r>
        <w:rPr>
          <w:rFonts w:hint="eastAsia" w:asciiTheme="minorEastAsia" w:hAnsiTheme="minorEastAsia" w:cstheme="minorEastAsia"/>
          <w:sz w:val="24"/>
          <w:szCs w:val="24"/>
          <w:lang w:val="en-US" w:eastAsia="zh-CN"/>
        </w:rPr>
        <w:t>9298</w:t>
      </w:r>
      <w:r>
        <w:rPr>
          <w:rFonts w:hint="eastAsia" w:asciiTheme="minorEastAsia" w:hAnsiTheme="minorEastAsia" w:cstheme="minorEastAsia"/>
          <w:sz w:val="24"/>
          <w:szCs w:val="24"/>
        </w:rPr>
        <w:t>进行组合之后得出的差值，根据上文TS和TF合约之间的回归方程式可以推导出两种期货的价差序列，价差序列用</w:t>
      </w:r>
      <w:r>
        <w:rPr>
          <w:rFonts w:hint="eastAsia" w:asciiTheme="minorEastAsia" w:hAnsiTheme="minorEastAsia" w:cstheme="minorEastAsia"/>
          <w:position w:val="-12"/>
          <w:sz w:val="24"/>
          <w:szCs w:val="24"/>
        </w:rPr>
        <w:object>
          <v:shape id="_x0000_i1062"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62" DrawAspect="Content" ObjectID="_1468075762" r:id="rId74">
            <o:LockedField>false</o:LockedField>
          </o:OLEObject>
        </w:object>
      </w:r>
      <w:r>
        <w:rPr>
          <w:rFonts w:hint="eastAsia" w:asciiTheme="minorEastAsia" w:hAnsiTheme="minorEastAsia" w:cstheme="minorEastAsia"/>
          <w:sz w:val="24"/>
          <w:szCs w:val="24"/>
        </w:rPr>
        <w:t>表示：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asciiTheme="minorEastAsia" w:hAnsiTheme="minorEastAsia" w:cstheme="minorEastAsia"/>
          <w:sz w:val="24"/>
          <w:szCs w:val="24"/>
        </w:rPr>
      </w:pPr>
      <w:r>
        <w:rPr>
          <w:rFonts w:hint="eastAsia" w:asciiTheme="minorEastAsia" w:hAnsiTheme="minorEastAsia" w:cstheme="minorEastAsia"/>
          <w:position w:val="-12"/>
          <w:sz w:val="24"/>
          <w:szCs w:val="24"/>
        </w:rPr>
        <w:object>
          <v:shape id="_x0000_i1063"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63" DrawAspect="Content" ObjectID="_1468075763" r:id="rId76">
            <o:LockedField>false</o:LockedField>
          </o:OLEObject>
        </w:object>
      </w:r>
      <w:r>
        <w:rPr>
          <w:rFonts w:hint="eastAsia" w:asciiTheme="minorEastAsia" w:hAnsiTheme="minorEastAsia" w:cstheme="minorEastAsia"/>
          <w:sz w:val="24"/>
          <w:szCs w:val="24"/>
        </w:rPr>
        <w:t xml:space="preserve">= </w:t>
      </w:r>
      <w:r>
        <w:rPr>
          <w:rFonts w:hint="eastAsia" w:asciiTheme="minorEastAsia" w:hAnsiTheme="minorEastAsia" w:cstheme="minorEastAsia"/>
          <w:position w:val="-12"/>
          <w:sz w:val="24"/>
          <w:szCs w:val="24"/>
        </w:rPr>
        <w:object>
          <v:shape id="_x0000_i1064" o:spt="75" type="#_x0000_t75" style="height:18pt;width:21pt;" o:ole="t" filled="f" o:preferrelative="t" stroked="f" coordsize="21600,21600">
            <v:path/>
            <v:fill on="f" focussize="0,0"/>
            <v:stroke on="f" joinstyle="miter"/>
            <v:imagedata r:id="rId78" o:title=""/>
            <o:lock v:ext="edit" aspectratio="t"/>
            <w10:wrap type="none"/>
            <w10:anchorlock/>
          </v:shape>
          <o:OLEObject Type="Embed" ProgID="Equation.KSEE3" ShapeID="_x0000_i1064" DrawAspect="Content" ObjectID="_1468075764" r:id="rId77">
            <o:LockedField>false</o:LockedField>
          </o:OLEObject>
        </w:object>
      </w:r>
      <w:r>
        <w:rPr>
          <w:rFonts w:hint="eastAsia" w:asciiTheme="minorEastAsia" w:hAnsiTheme="minorEastAsia" w:cstheme="minorEastAsia"/>
          <w:sz w:val="24"/>
          <w:szCs w:val="24"/>
        </w:rPr>
        <w:t>-0.469298*</w:t>
      </w:r>
      <w:r>
        <w:rPr>
          <w:rFonts w:hint="eastAsia" w:asciiTheme="minorEastAsia" w:hAnsiTheme="minorEastAsia" w:cstheme="minorEastAsia"/>
          <w:position w:val="-12"/>
          <w:sz w:val="24"/>
          <w:szCs w:val="24"/>
        </w:rPr>
        <w:object>
          <v:shape id="_x0000_i1065" o:spt="75" type="#_x0000_t75" style="height:18pt;width:19.5pt;" o:ole="t" filled="f" o:preferrelative="t" stroked="f" coordsize="21600,21600">
            <v:path/>
            <v:fill on="f" focussize="0,0"/>
            <v:stroke on="f" joinstyle="miter"/>
            <v:imagedata r:id="rId80" o:title=""/>
            <o:lock v:ext="edit" aspectratio="t"/>
            <w10:wrap type="none"/>
            <w10:anchorlock/>
          </v:shape>
          <o:OLEObject Type="Embed" ProgID="Equation.KSEE3" ShapeID="_x0000_i1065" DrawAspect="Content" ObjectID="_1468075765" r:id="rId79">
            <o:LockedField>false</o:LockedField>
          </o:OLEObject>
        </w:object>
      </w:r>
      <w:r>
        <w:rPr>
          <w:rFonts w:hint="eastAsia" w:asciiTheme="minorEastAsia" w:hAnsi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rPr>
        <w:t>（4.2）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根据上式（4.1）与（4.2）可知</w:t>
      </w:r>
      <w:r>
        <w:rPr>
          <w:rFonts w:hint="eastAsia" w:asciiTheme="minorEastAsia" w:hAnsiTheme="minorEastAsia" w:cstheme="minorEastAsia"/>
          <w:position w:val="-12"/>
          <w:sz w:val="24"/>
          <w:szCs w:val="24"/>
        </w:rPr>
        <w:object>
          <v:shape id="_x0000_i1066"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66" DrawAspect="Content" ObjectID="_1468075766" r:id="rId81">
            <o:LockedField>false</o:LockedField>
          </o:OLEObject>
        </w:object>
      </w:r>
      <w:r>
        <w:rPr>
          <w:rFonts w:hint="eastAsia" w:asciiTheme="minorEastAsia" w:hAnsiTheme="minorEastAsia" w:cstheme="minorEastAsia"/>
          <w:sz w:val="24"/>
          <w:szCs w:val="24"/>
        </w:rPr>
        <w:t>= 53.49391+</w:t>
      </w:r>
      <w:r>
        <w:rPr>
          <w:rFonts w:hint="eastAsia" w:asciiTheme="minorEastAsia" w:hAnsiTheme="minorEastAsia" w:cstheme="minorEastAsia"/>
          <w:position w:val="-12"/>
          <w:sz w:val="24"/>
          <w:szCs w:val="24"/>
        </w:rPr>
        <w:object>
          <v:shape id="_x0000_i1067"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67" DrawAspect="Content" ObjectID="_1468075767" r:id="rId82">
            <o:LockedField>false</o:LockedField>
          </o:OLEObject>
        </w:object>
      </w:r>
      <w:r>
        <w:rPr>
          <w:rFonts w:hint="eastAsia" w:asciiTheme="minorEastAsia" w:hAnsiTheme="minorEastAsia" w:cstheme="minorEastAsia"/>
          <w:sz w:val="24"/>
          <w:szCs w:val="24"/>
        </w:rPr>
        <w:t>，其中价差序列的均值用Average(</w:t>
      </w:r>
      <w:r>
        <w:rPr>
          <w:rFonts w:hint="eastAsia" w:asciiTheme="minorEastAsia" w:hAnsiTheme="minorEastAsia" w:cstheme="minorEastAsia"/>
          <w:position w:val="-12"/>
          <w:sz w:val="24"/>
          <w:szCs w:val="24"/>
        </w:rPr>
        <w:object>
          <v:shape id="_x0000_i1068"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68" DrawAspect="Content" ObjectID="_1468075768" r:id="rId83">
            <o:LockedField>false</o:LockedField>
          </o:OLEObject>
        </w:object>
      </w:r>
      <w:r>
        <w:rPr>
          <w:rFonts w:hint="eastAsia" w:asciiTheme="minorEastAsia" w:hAnsiTheme="minorEastAsia" w:cstheme="minorEastAsia"/>
          <w:sz w:val="24"/>
          <w:szCs w:val="24"/>
        </w:rPr>
        <w:t>)表示：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asciiTheme="minorEastAsia" w:hAnsiTheme="minorEastAsia" w:cstheme="minorEastAsia"/>
          <w:sz w:val="24"/>
          <w:szCs w:val="24"/>
        </w:rPr>
      </w:pPr>
      <w:r>
        <w:rPr>
          <w:rFonts w:hint="eastAsia" w:asciiTheme="minorEastAsia" w:hAnsiTheme="minorEastAsia" w:cstheme="minorEastAsia"/>
          <w:sz w:val="24"/>
          <w:szCs w:val="24"/>
        </w:rPr>
        <w:t>Average(</w:t>
      </w:r>
      <w:r>
        <w:rPr>
          <w:rFonts w:hint="eastAsia" w:asciiTheme="minorEastAsia" w:hAnsiTheme="minorEastAsia" w:cstheme="minorEastAsia"/>
          <w:position w:val="-12"/>
          <w:sz w:val="24"/>
          <w:szCs w:val="24"/>
        </w:rPr>
        <w:object>
          <v:shape id="_x0000_i1069"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69" DrawAspect="Content" ObjectID="_1468075769" r:id="rId84">
            <o:LockedField>false</o:LockedField>
          </o:OLEObject>
        </w:object>
      </w:r>
      <w:r>
        <w:rPr>
          <w:rFonts w:hint="eastAsia" w:asciiTheme="minorEastAsia" w:hAnsiTheme="minorEastAsia" w:cstheme="minorEastAsia"/>
          <w:sz w:val="24"/>
          <w:szCs w:val="24"/>
        </w:rPr>
        <w:t>)= 53.49391 + Average(</w:t>
      </w:r>
      <w:r>
        <w:rPr>
          <w:rFonts w:hint="eastAsia" w:asciiTheme="minorEastAsia" w:hAnsiTheme="minorEastAsia" w:cstheme="minorEastAsia"/>
          <w:position w:val="-12"/>
          <w:sz w:val="24"/>
          <w:szCs w:val="24"/>
        </w:rPr>
        <w:object>
          <v:shape id="_x0000_i1070"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0" DrawAspect="Content" ObjectID="_1468075770" r:id="rId85">
            <o:LockedField>false</o:LockedField>
          </o:OLEObject>
        </w:object>
      </w:r>
      <w:r>
        <w:rPr>
          <w:rFonts w:hint="eastAsia" w:asciiTheme="minorEastAsia" w:hAnsiTheme="minorEastAsia" w:cstheme="minorEastAsia"/>
          <w:sz w:val="24"/>
          <w:szCs w:val="24"/>
        </w:rPr>
        <w:t>)      （4.3）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又因为残差序列</w:t>
      </w:r>
      <w:r>
        <w:rPr>
          <w:rFonts w:hint="eastAsia" w:asciiTheme="minorEastAsia" w:hAnsiTheme="minorEastAsia" w:cstheme="minorEastAsia"/>
          <w:position w:val="-12"/>
          <w:sz w:val="24"/>
          <w:szCs w:val="24"/>
        </w:rPr>
        <w:object>
          <v:shape id="_x0000_i1071"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1" DrawAspect="Content" ObjectID="_1468075771" r:id="rId86">
            <o:LockedField>false</o:LockedField>
          </o:OLEObject>
        </w:object>
      </w:r>
      <w:r>
        <w:rPr>
          <w:rFonts w:hint="eastAsia" w:asciiTheme="minorEastAsia" w:hAnsiTheme="minorEastAsia" w:cstheme="minorEastAsia"/>
          <w:sz w:val="24"/>
          <w:szCs w:val="24"/>
        </w:rPr>
        <w:t>的均值Average(</w:t>
      </w:r>
      <w:r>
        <w:rPr>
          <w:rFonts w:hint="eastAsia" w:asciiTheme="minorEastAsia" w:hAnsiTheme="minorEastAsia" w:cstheme="minorEastAsia"/>
          <w:position w:val="-12"/>
          <w:sz w:val="24"/>
          <w:szCs w:val="24"/>
        </w:rPr>
        <w:object>
          <v:shape id="_x0000_i1072"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2" DrawAspect="Content" ObjectID="_1468075772" r:id="rId87">
            <o:LockedField>false</o:LockedField>
          </o:OLEObject>
        </w:objec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接近于</w:t>
      </w:r>
      <w:r>
        <w:rPr>
          <w:rFonts w:hint="eastAsia" w:asciiTheme="minorEastAsia" w:hAnsiTheme="minorEastAsia" w:cstheme="minorEastAsia"/>
          <w:sz w:val="24"/>
          <w:szCs w:val="24"/>
        </w:rPr>
        <w:t>0</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故将其视为0</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则</w:t>
      </w:r>
      <w:r>
        <w:rPr>
          <w:rFonts w:hint="eastAsia" w:asciiTheme="minorEastAsia" w:hAnsiTheme="minorEastAsia" w:cstheme="minorEastAsia"/>
          <w:sz w:val="24"/>
          <w:szCs w:val="24"/>
        </w:rPr>
        <w:t>价差序列均值Average(</w:t>
      </w:r>
      <w:r>
        <w:rPr>
          <w:rFonts w:hint="eastAsia" w:asciiTheme="minorEastAsia" w:hAnsiTheme="minorEastAsia" w:cstheme="minorEastAsia"/>
          <w:position w:val="-12"/>
          <w:sz w:val="24"/>
          <w:szCs w:val="24"/>
        </w:rPr>
        <w:object>
          <v:shape id="_x0000_i1073"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73" DrawAspect="Content" ObjectID="_1468075773" r:id="rId88">
            <o:LockedField>false</o:LockedField>
          </o:OLEObject>
        </w:object>
      </w:r>
      <w:r>
        <w:rPr>
          <w:rFonts w:hint="eastAsia" w:asciiTheme="minorEastAsia" w:hAnsiTheme="minorEastAsia" w:cstheme="minorEastAsia"/>
          <w:sz w:val="24"/>
          <w:szCs w:val="24"/>
        </w:rPr>
        <w:t>)=53.49391。对价差序列</w:t>
      </w:r>
      <w:r>
        <w:rPr>
          <w:rFonts w:hint="eastAsia" w:asciiTheme="minorEastAsia" w:hAnsiTheme="minorEastAsia" w:cstheme="minorEastAsia"/>
          <w:position w:val="-12"/>
          <w:sz w:val="24"/>
          <w:szCs w:val="24"/>
        </w:rPr>
        <w:object>
          <v:shape id="_x0000_i1074" o:spt="75" type="#_x0000_t75" style="height:18pt;width:37.5pt;" o:ole="t" filled="f" o:preferrelative="t" stroked="f" coordsize="21600,21600">
            <v:path/>
            <v:fill on="f" focussize="0,0"/>
            <v:stroke on="f" joinstyle="miter"/>
            <v:imagedata r:id="rId75" o:title=""/>
            <o:lock v:ext="edit" aspectratio="t"/>
            <w10:wrap type="none"/>
            <w10:anchorlock/>
          </v:shape>
          <o:OLEObject Type="Embed" ProgID="Equation.KSEE3" ShapeID="_x0000_i1074" DrawAspect="Content" ObjectID="_1468075774" r:id="rId89">
            <o:LockedField>false</o:LockedField>
          </o:OLEObject>
        </w:object>
      </w:r>
      <w:r>
        <w:rPr>
          <w:rFonts w:hint="eastAsia" w:asciiTheme="minorEastAsia" w:hAnsiTheme="minorEastAsia" w:cstheme="minorEastAsia"/>
          <w:sz w:val="24"/>
          <w:szCs w:val="24"/>
        </w:rPr>
        <w:t>进行去中心化处理得到的去中心化后的价差序列为上文中协整方程的残差序列</w:t>
      </w:r>
      <w:r>
        <w:rPr>
          <w:rFonts w:hint="eastAsia" w:asciiTheme="minorEastAsia" w:hAnsiTheme="minorEastAsia" w:cstheme="minorEastAsia"/>
          <w:position w:val="-12"/>
          <w:sz w:val="24"/>
          <w:szCs w:val="24"/>
        </w:rPr>
        <w:object>
          <v:shape id="_x0000_i1075"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5" DrawAspect="Content" ObjectID="_1468075775" r:id="rId90">
            <o:LockedField>false</o:LockedField>
          </o:OLEObject>
        </w:object>
      </w:r>
      <w:r>
        <w:rPr>
          <w:rFonts w:hint="eastAsia" w:asciiTheme="minorEastAsia" w:hAnsiTheme="minorEastAsia" w:cstheme="minorEastAsia"/>
          <w:sz w:val="24"/>
          <w:szCs w:val="24"/>
        </w:rPr>
        <w:t>。</w:t>
      </w:r>
    </w:p>
    <w:p>
      <w:pPr>
        <w:spacing w:line="360" w:lineRule="auto"/>
        <w:ind w:firstLine="420" w:firstLineChars="200"/>
        <w:rPr>
          <w:rFonts w:asciiTheme="minorEastAsia" w:hAnsiTheme="minorEastAsia" w:cstheme="minorEastAsia"/>
          <w:sz w:val="24"/>
        </w:rPr>
      </w:pPr>
      <w:r>
        <w:drawing>
          <wp:inline distT="0" distB="0" distL="114300" distR="114300">
            <wp:extent cx="4728210" cy="2067560"/>
            <wp:effectExtent l="0" t="0" r="15240" b="8890"/>
            <wp:docPr id="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pic:cNvPicPr>
                      <a:picLocks noChangeAspect="1"/>
                    </pic:cNvPicPr>
                  </pic:nvPicPr>
                  <pic:blipFill>
                    <a:blip r:embed="rId91" cstate="print"/>
                    <a:stretch>
                      <a:fillRect/>
                    </a:stretch>
                  </pic:blipFill>
                  <pic:spPr>
                    <a:xfrm>
                      <a:off x="0" y="0"/>
                      <a:ext cx="4728210" cy="2067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1"/>
          <w:szCs w:val="21"/>
        </w:rPr>
        <w:t xml:space="preserve"> 图4.2  残差序列的描述性统计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根据图4.2对残差序列</w:t>
      </w:r>
      <w:r>
        <w:rPr>
          <w:rFonts w:hint="eastAsia" w:asciiTheme="minorEastAsia" w:hAnsiTheme="minorEastAsia" w:cstheme="minorEastAsia"/>
          <w:position w:val="-12"/>
          <w:sz w:val="24"/>
          <w:szCs w:val="24"/>
        </w:rPr>
        <w:object>
          <v:shape id="_x0000_i1076"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6" DrawAspect="Content" ObjectID="_1468075776" r:id="rId92">
            <o:LockedField>false</o:LockedField>
          </o:OLEObject>
        </w:object>
      </w:r>
      <w:r>
        <w:rPr>
          <w:rFonts w:hint="eastAsia" w:asciiTheme="minorEastAsia" w:hAnsiTheme="minorEastAsia" w:cstheme="minorEastAsia"/>
          <w:sz w:val="24"/>
          <w:szCs w:val="24"/>
        </w:rPr>
        <w:t>进行描述性统计分析，发现残差序列主要集中在[-1.5,1.5]之间。中位数为 -0.003177，均值接近于</w:t>
      </w:r>
      <w:r>
        <w:rPr>
          <w:rFonts w:asciiTheme="minorEastAsia" w:hAnsiTheme="minorEastAsia" w:cstheme="minorEastAsia"/>
          <w:sz w:val="24"/>
          <w:szCs w:val="24"/>
        </w:rPr>
        <w:t>0</w:t>
      </w:r>
      <w:r>
        <w:rPr>
          <w:rFonts w:hint="eastAsia" w:asciiTheme="minorEastAsia" w:hAnsiTheme="minorEastAsia" w:cstheme="minorEastAsia"/>
          <w:sz w:val="24"/>
          <w:szCs w:val="24"/>
        </w:rPr>
        <w:t xml:space="preserve">，标准差为 </w:t>
      </w:r>
      <w:r>
        <w:rPr>
          <w:rFonts w:asciiTheme="minorEastAsia" w:hAnsiTheme="minorEastAsia" w:cstheme="minorEastAsia"/>
          <w:sz w:val="24"/>
          <w:szCs w:val="24"/>
        </w:rPr>
        <w:t>0.</w:t>
      </w:r>
      <w:r>
        <w:rPr>
          <w:rFonts w:hint="eastAsia" w:asciiTheme="minorEastAsia" w:hAnsiTheme="minorEastAsia" w:cstheme="minorEastAsia"/>
          <w:sz w:val="24"/>
          <w:szCs w:val="24"/>
        </w:rPr>
        <w:t>059707，并且呈右偏分布，</w:t>
      </w:r>
      <w:r>
        <w:rPr>
          <w:rFonts w:asciiTheme="minorEastAsia" w:hAnsiTheme="minorEastAsia" w:cstheme="minorEastAsia"/>
          <w:sz w:val="24"/>
          <w:szCs w:val="24"/>
        </w:rPr>
        <w:t xml:space="preserve">Jarque-Bera </w:t>
      </w:r>
      <w:r>
        <w:rPr>
          <w:rFonts w:hint="eastAsia" w:asciiTheme="minorEastAsia" w:hAnsiTheme="minorEastAsia" w:cstheme="minorEastAsia"/>
          <w:sz w:val="24"/>
          <w:szCs w:val="24"/>
        </w:rPr>
        <w:t>值为26.77226，P值为0，拒绝残差序列服从正态分布的原假设，说明残差序列</w:t>
      </w:r>
      <w:r>
        <w:rPr>
          <w:rFonts w:hint="eastAsia" w:asciiTheme="minorEastAsia" w:hAnsiTheme="minorEastAsia" w:cstheme="minorEastAsia"/>
          <w:position w:val="-12"/>
          <w:sz w:val="24"/>
          <w:szCs w:val="24"/>
        </w:rPr>
        <w:object>
          <v:shape id="_x0000_i1077"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7" DrawAspect="Content" ObjectID="_1468075777" r:id="rId93">
            <o:LockedField>false</o:LockedField>
          </o:OLEObject>
        </w:object>
      </w:r>
      <w:r>
        <w:rPr>
          <w:rFonts w:hint="eastAsia" w:asciiTheme="minorEastAsia" w:hAnsiTheme="minorEastAsia" w:cstheme="minorEastAsia"/>
          <w:sz w:val="24"/>
          <w:szCs w:val="24"/>
        </w:rPr>
        <w:t>不服从正态分布。</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kern w:val="2"/>
          <w:sz w:val="28"/>
          <w:szCs w:val="28"/>
          <w:lang w:val="en-US" w:eastAsia="zh-CN" w:bidi="ar-SA"/>
        </w:rPr>
      </w:pPr>
      <w:bookmarkStart w:id="185" w:name="_Toc4987"/>
      <w:bookmarkStart w:id="186" w:name="_Toc8022"/>
      <w:bookmarkStart w:id="187" w:name="_Toc28459"/>
      <w:bookmarkStart w:id="188" w:name="_Toc3849"/>
      <w:bookmarkStart w:id="189" w:name="_Toc27146"/>
      <w:r>
        <w:rPr>
          <w:rFonts w:hint="eastAsia" w:ascii="黑体" w:hAnsi="黑体" w:eastAsia="黑体" w:cs="黑体"/>
          <w:b w:val="0"/>
          <w:bCs/>
          <w:kern w:val="2"/>
          <w:sz w:val="28"/>
          <w:szCs w:val="28"/>
          <w:lang w:val="en-US" w:eastAsia="zh-CN" w:bidi="ar-SA"/>
        </w:rPr>
        <w:t>4.3.2自相关性检验</w:t>
      </w:r>
      <w:bookmarkEnd w:id="185"/>
      <w:bookmarkEnd w:id="186"/>
      <w:bookmarkEnd w:id="187"/>
      <w:bookmarkEnd w:id="188"/>
      <w:bookmarkEnd w:id="189"/>
    </w:p>
    <w:p>
      <w:pPr>
        <w:spacing w:line="360" w:lineRule="auto"/>
        <w:ind w:firstLine="420" w:firstLineChars="200"/>
        <w:rPr>
          <w:rFonts w:asciiTheme="minorEastAsia" w:hAnsiTheme="minorEastAsia" w:cstheme="minorEastAsia"/>
          <w:sz w:val="24"/>
        </w:rPr>
      </w:pPr>
      <w:r>
        <w:drawing>
          <wp:inline distT="0" distB="0" distL="114300" distR="114300">
            <wp:extent cx="4774565" cy="1845945"/>
            <wp:effectExtent l="0" t="0" r="6985" b="1905"/>
            <wp:docPr id="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4"/>
                    <pic:cNvPicPr>
                      <a:picLocks noChangeAspect="1"/>
                    </pic:cNvPicPr>
                  </pic:nvPicPr>
                  <pic:blipFill>
                    <a:blip r:embed="rId94" cstate="print"/>
                    <a:stretch>
                      <a:fillRect/>
                    </a:stretch>
                  </pic:blipFill>
                  <pic:spPr>
                    <a:xfrm>
                      <a:off x="0" y="0"/>
                      <a:ext cx="4774565" cy="18459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firstLine="42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图4.3 残差序列的走势图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图4.3为残差序列</w:t>
      </w:r>
      <w:r>
        <w:rPr>
          <w:rFonts w:hint="eastAsia" w:asciiTheme="minorEastAsia" w:hAnsiTheme="minorEastAsia" w:eastAsiaTheme="minorEastAsia" w:cstheme="minorEastAsia"/>
          <w:position w:val="-12"/>
          <w:sz w:val="24"/>
          <w:szCs w:val="24"/>
        </w:rPr>
        <w:object>
          <v:shape id="_x0000_i1078"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8" DrawAspect="Content" ObjectID="_1468075778" r:id="rId95">
            <o:LockedField>false</o:LockedField>
          </o:OLEObject>
        </w:object>
      </w:r>
      <w:r>
        <w:rPr>
          <w:rFonts w:hint="eastAsia" w:asciiTheme="minorEastAsia" w:hAnsiTheme="minorEastAsia" w:eastAsiaTheme="minorEastAsia" w:cstheme="minorEastAsia"/>
          <w:sz w:val="24"/>
          <w:szCs w:val="24"/>
        </w:rPr>
        <w:t>（去中心化价差序列）的走势图。从残差序列走势图可以看出残差序列</w:t>
      </w:r>
      <w:r>
        <w:rPr>
          <w:rFonts w:hint="eastAsia" w:asciiTheme="minorEastAsia" w:hAnsiTheme="minorEastAsia" w:eastAsiaTheme="minorEastAsia" w:cstheme="minorEastAsia"/>
          <w:position w:val="-12"/>
          <w:sz w:val="24"/>
          <w:szCs w:val="24"/>
        </w:rPr>
        <w:object>
          <v:shape id="_x0000_i1079"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79" DrawAspect="Content" ObjectID="_1468075779" r:id="rId96">
            <o:LockedField>false</o:LockedField>
          </o:OLEObject>
        </w:object>
      </w:r>
      <w:r>
        <w:rPr>
          <w:rFonts w:hint="eastAsia" w:asciiTheme="minorEastAsia" w:hAnsiTheme="minorEastAsia" w:eastAsiaTheme="minorEastAsia" w:cstheme="minorEastAsia"/>
          <w:sz w:val="24"/>
          <w:szCs w:val="24"/>
        </w:rPr>
        <w:t>在0附近波动，同时发现两种国债期货的价格差波动时大时小，即当前的波动受到前一期波动的影响，意味着价差序列存在异方差性，因此残差序列的方差并不是恒定不变的，具有时变方差特点，故在接下来要对价差的方差波动性进行进一步的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1）自相性检验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sz w:val="24"/>
          <w:szCs w:val="24"/>
        </w:rPr>
        <w:t>利用Eviews软件进行自相关检验，判断残差序列</w:t>
      </w:r>
      <w:r>
        <w:rPr>
          <w:rFonts w:hint="eastAsia" w:asciiTheme="minorEastAsia" w:hAnsiTheme="minorEastAsia" w:eastAsiaTheme="minorEastAsia" w:cstheme="minorEastAsia"/>
          <w:position w:val="-12"/>
          <w:sz w:val="24"/>
          <w:szCs w:val="24"/>
        </w:rPr>
        <w:object>
          <v:shape id="_x0000_i1080"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0" DrawAspect="Content" ObjectID="_1468075780" r:id="rId97">
            <o:LockedField>false</o:LockedField>
          </o:OLEObject>
        </w:object>
      </w:r>
      <w:r>
        <w:rPr>
          <w:rFonts w:hint="eastAsia" w:asciiTheme="minorEastAsia" w:hAnsiTheme="minorEastAsia" w:eastAsiaTheme="minorEastAsia" w:cstheme="minorEastAsia"/>
          <w:sz w:val="24"/>
          <w:szCs w:val="24"/>
        </w:rPr>
        <w:t>是否存在自相关性。</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1"/>
          <w:szCs w:val="21"/>
        </w:rPr>
        <w:t>表4.</w:t>
      </w:r>
      <w:r>
        <w:rPr>
          <w:rFonts w:hint="eastAsia" w:asciiTheme="minorEastAsia" w:hAnsiTheme="minorEastAsia" w:cstheme="minorEastAsia"/>
          <w:color w:val="000000"/>
          <w:kern w:val="0"/>
          <w:sz w:val="21"/>
          <w:szCs w:val="21"/>
          <w:lang w:val="en-US" w:eastAsia="zh-CN"/>
        </w:rPr>
        <w:t xml:space="preserve">5 </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sz w:val="21"/>
          <w:szCs w:val="21"/>
        </w:rPr>
        <w:t>残差序列</w:t>
      </w:r>
      <w:r>
        <w:rPr>
          <w:rFonts w:hint="eastAsia" w:asciiTheme="minorEastAsia" w:hAnsiTheme="minorEastAsia" w:eastAsiaTheme="minorEastAsia" w:cstheme="minorEastAsia"/>
          <w:position w:val="-12"/>
          <w:sz w:val="21"/>
          <w:szCs w:val="21"/>
        </w:rPr>
        <w:object>
          <v:shape id="_x0000_i1081"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1" DrawAspect="Content" ObjectID="_1468075781" r:id="rId98">
            <o:LockedField>false</o:LockedField>
          </o:OLEObject>
        </w:object>
      </w:r>
      <w:r>
        <w:rPr>
          <w:rFonts w:hint="eastAsia" w:asciiTheme="minorEastAsia" w:hAnsiTheme="minorEastAsia" w:eastAsiaTheme="minorEastAsia" w:cstheme="minorEastAsia"/>
          <w:color w:val="000000"/>
          <w:kern w:val="0"/>
          <w:sz w:val="21"/>
          <w:szCs w:val="21"/>
        </w:rPr>
        <w:t>自相关检验</w:t>
      </w:r>
    </w:p>
    <w:tbl>
      <w:tblPr>
        <w:tblStyle w:val="14"/>
        <w:tblW w:w="0" w:type="auto"/>
        <w:tblInd w:w="3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55"/>
        <w:gridCol w:w="1855"/>
        <w:gridCol w:w="297"/>
        <w:gridCol w:w="683"/>
        <w:gridCol w:w="682"/>
        <w:gridCol w:w="788"/>
        <w:gridCol w:w="21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1755" w:type="dxa"/>
            <w:tcBorders>
              <w:tl2br w:val="nil"/>
              <w:tr2bl w:val="nil"/>
            </w:tcBorders>
            <w:vAlign w:val="bottom"/>
          </w:tcPr>
          <w:p>
            <w:pPr>
              <w:jc w:val="center"/>
              <w:rPr>
                <w:rFonts w:ascii="Arial" w:hAnsi="Arial"/>
                <w:color w:val="000000"/>
                <w:sz w:val="18"/>
              </w:rPr>
            </w:pPr>
          </w:p>
        </w:tc>
        <w:tc>
          <w:tcPr>
            <w:tcW w:w="1855" w:type="dxa"/>
            <w:tcBorders>
              <w:tl2br w:val="nil"/>
              <w:tr2bl w:val="nil"/>
            </w:tcBorders>
            <w:vAlign w:val="bottom"/>
          </w:tcPr>
          <w:p>
            <w:pPr>
              <w:jc w:val="center"/>
              <w:rPr>
                <w:rFonts w:ascii="Arial" w:hAnsi="Arial"/>
                <w:color w:val="000000"/>
                <w:sz w:val="18"/>
              </w:rPr>
            </w:pPr>
          </w:p>
        </w:tc>
        <w:tc>
          <w:tcPr>
            <w:tcW w:w="297" w:type="dxa"/>
            <w:tcBorders>
              <w:tl2br w:val="nil"/>
              <w:tr2bl w:val="nil"/>
            </w:tcBorders>
            <w:vAlign w:val="bottom"/>
          </w:tcPr>
          <w:p>
            <w:pPr>
              <w:ind w:right="10"/>
              <w:jc w:val="right"/>
              <w:rPr>
                <w:rFonts w:ascii="Arial" w:hAnsi="Arial"/>
                <w:color w:val="000000"/>
                <w:sz w:val="18"/>
              </w:rPr>
            </w:pPr>
          </w:p>
        </w:tc>
        <w:tc>
          <w:tcPr>
            <w:tcW w:w="683" w:type="dxa"/>
            <w:tcBorders>
              <w:tl2br w:val="nil"/>
              <w:tr2bl w:val="nil"/>
            </w:tcBorders>
            <w:vAlign w:val="bottom"/>
          </w:tcPr>
          <w:p>
            <w:pPr>
              <w:ind w:right="10"/>
              <w:jc w:val="right"/>
              <w:rPr>
                <w:rFonts w:ascii="Arial" w:hAnsi="Arial"/>
                <w:color w:val="000000"/>
                <w:sz w:val="18"/>
              </w:rPr>
            </w:pPr>
          </w:p>
        </w:tc>
        <w:tc>
          <w:tcPr>
            <w:tcW w:w="682" w:type="dxa"/>
            <w:tcBorders>
              <w:tl2br w:val="nil"/>
              <w:tr2bl w:val="nil"/>
            </w:tcBorders>
            <w:vAlign w:val="bottom"/>
          </w:tcPr>
          <w:p>
            <w:pPr>
              <w:ind w:right="10"/>
              <w:jc w:val="right"/>
              <w:rPr>
                <w:rFonts w:ascii="Arial" w:hAnsi="Arial"/>
                <w:color w:val="000000"/>
                <w:sz w:val="18"/>
              </w:rPr>
            </w:pPr>
          </w:p>
        </w:tc>
        <w:tc>
          <w:tcPr>
            <w:tcW w:w="788" w:type="dxa"/>
            <w:tcBorders>
              <w:tl2br w:val="nil"/>
              <w:tr2bl w:val="nil"/>
            </w:tcBorders>
            <w:vAlign w:val="bottom"/>
          </w:tcPr>
          <w:p>
            <w:pPr>
              <w:ind w:right="10"/>
              <w:jc w:val="right"/>
              <w:rPr>
                <w:rFonts w:ascii="Arial" w:hAnsi="Arial"/>
                <w:color w:val="000000"/>
                <w:sz w:val="18"/>
              </w:rPr>
            </w:pPr>
          </w:p>
        </w:tc>
        <w:tc>
          <w:tcPr>
            <w:tcW w:w="2142" w:type="dxa"/>
            <w:tcBorders>
              <w:tl2br w:val="nil"/>
              <w:tr2bl w:val="nil"/>
            </w:tcBorders>
            <w:vAlign w:val="bottom"/>
          </w:tcPr>
          <w:p>
            <w:pPr>
              <w:ind w:right="10"/>
              <w:jc w:val="right"/>
              <w:rPr>
                <w:rFonts w:ascii="Arial" w:hAnsi="Arial"/>
                <w:color w:val="000000"/>
                <w:sz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135" w:hRule="exact"/>
        </w:trPr>
        <w:tc>
          <w:tcPr>
            <w:tcW w:w="1755" w:type="dxa"/>
            <w:tcBorders>
              <w:bottom w:val="nil"/>
              <w:tl2br w:val="nil"/>
              <w:tr2bl w:val="nil"/>
            </w:tcBorders>
            <w:vAlign w:val="bottom"/>
          </w:tcPr>
          <w:p>
            <w:pPr>
              <w:jc w:val="center"/>
              <w:rPr>
                <w:rFonts w:ascii="Arial" w:hAnsi="Arial"/>
                <w:color w:val="000000"/>
                <w:sz w:val="18"/>
              </w:rPr>
            </w:pPr>
          </w:p>
        </w:tc>
        <w:tc>
          <w:tcPr>
            <w:tcW w:w="1855" w:type="dxa"/>
            <w:tcBorders>
              <w:bottom w:val="nil"/>
              <w:tl2br w:val="nil"/>
              <w:tr2bl w:val="nil"/>
            </w:tcBorders>
            <w:vAlign w:val="bottom"/>
          </w:tcPr>
          <w:p>
            <w:pPr>
              <w:jc w:val="center"/>
              <w:rPr>
                <w:rFonts w:ascii="Arial" w:hAnsi="Arial"/>
                <w:color w:val="000000"/>
                <w:sz w:val="18"/>
              </w:rPr>
            </w:pPr>
          </w:p>
        </w:tc>
        <w:tc>
          <w:tcPr>
            <w:tcW w:w="297" w:type="dxa"/>
            <w:tcBorders>
              <w:bottom w:val="nil"/>
              <w:tl2br w:val="nil"/>
              <w:tr2bl w:val="nil"/>
            </w:tcBorders>
            <w:vAlign w:val="bottom"/>
          </w:tcPr>
          <w:p>
            <w:pPr>
              <w:ind w:right="10"/>
              <w:jc w:val="right"/>
              <w:rPr>
                <w:rFonts w:ascii="Arial" w:hAnsi="Arial"/>
                <w:color w:val="000000"/>
                <w:sz w:val="18"/>
              </w:rPr>
            </w:pPr>
          </w:p>
        </w:tc>
        <w:tc>
          <w:tcPr>
            <w:tcW w:w="683" w:type="dxa"/>
            <w:tcBorders>
              <w:bottom w:val="nil"/>
              <w:tl2br w:val="nil"/>
              <w:tr2bl w:val="nil"/>
            </w:tcBorders>
            <w:vAlign w:val="bottom"/>
          </w:tcPr>
          <w:p>
            <w:pPr>
              <w:ind w:right="10"/>
              <w:jc w:val="right"/>
              <w:rPr>
                <w:rFonts w:ascii="Arial" w:hAnsi="Arial"/>
                <w:color w:val="000000"/>
                <w:sz w:val="18"/>
              </w:rPr>
            </w:pPr>
          </w:p>
        </w:tc>
        <w:tc>
          <w:tcPr>
            <w:tcW w:w="682" w:type="dxa"/>
            <w:tcBorders>
              <w:bottom w:val="nil"/>
              <w:tl2br w:val="nil"/>
              <w:tr2bl w:val="nil"/>
            </w:tcBorders>
            <w:vAlign w:val="bottom"/>
          </w:tcPr>
          <w:p>
            <w:pPr>
              <w:ind w:right="10"/>
              <w:jc w:val="right"/>
              <w:rPr>
                <w:rFonts w:ascii="Arial" w:hAnsi="Arial"/>
                <w:color w:val="000000"/>
                <w:sz w:val="18"/>
              </w:rPr>
            </w:pPr>
          </w:p>
        </w:tc>
        <w:tc>
          <w:tcPr>
            <w:tcW w:w="788" w:type="dxa"/>
            <w:tcBorders>
              <w:bottom w:val="nil"/>
              <w:tl2br w:val="nil"/>
              <w:tr2bl w:val="nil"/>
            </w:tcBorders>
            <w:vAlign w:val="bottom"/>
          </w:tcPr>
          <w:p>
            <w:pPr>
              <w:ind w:right="10"/>
              <w:jc w:val="right"/>
              <w:rPr>
                <w:rFonts w:ascii="Arial" w:hAnsi="Arial"/>
                <w:color w:val="000000"/>
                <w:sz w:val="18"/>
              </w:rPr>
            </w:pPr>
          </w:p>
        </w:tc>
        <w:tc>
          <w:tcPr>
            <w:tcW w:w="2142" w:type="dxa"/>
            <w:tcBorders>
              <w:bottom w:val="nil"/>
              <w:tl2br w:val="nil"/>
              <w:tr2bl w:val="nil"/>
            </w:tcBorders>
            <w:vAlign w:val="bottom"/>
          </w:tcPr>
          <w:p>
            <w:pPr>
              <w:ind w:right="10"/>
              <w:jc w:val="right"/>
              <w:rPr>
                <w:rFonts w:ascii="Arial" w:hAnsi="Arial"/>
                <w:color w:val="000000"/>
                <w:sz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Autocorrelation</w:t>
            </w:r>
          </w:p>
        </w:tc>
        <w:tc>
          <w:tcPr>
            <w:tcW w:w="1855"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Partial Correlation</w:t>
            </w:r>
          </w:p>
        </w:tc>
        <w:tc>
          <w:tcPr>
            <w:tcW w:w="297" w:type="dxa"/>
            <w:tcBorders>
              <w:top w:val="nil"/>
              <w:bottom w:val="single" w:color="auto" w:sz="4" w:space="0"/>
            </w:tcBorders>
            <w:vAlign w:val="bottom"/>
          </w:tcPr>
          <w:p>
            <w:pPr>
              <w:jc w:val="center"/>
              <w:rPr>
                <w:rFonts w:hint="default" w:ascii="Times New Roman" w:hAnsi="Times New Roman" w:cs="Times New Roman"/>
                <w:color w:val="000000"/>
                <w:sz w:val="18"/>
                <w:szCs w:val="18"/>
              </w:rPr>
            </w:pPr>
          </w:p>
        </w:tc>
        <w:tc>
          <w:tcPr>
            <w:tcW w:w="683"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AC</w:t>
            </w:r>
          </w:p>
        </w:tc>
        <w:tc>
          <w:tcPr>
            <w:tcW w:w="682"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PAC</w:t>
            </w:r>
          </w:p>
        </w:tc>
        <w:tc>
          <w:tcPr>
            <w:tcW w:w="788"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Q-Stat</w:t>
            </w:r>
          </w:p>
        </w:tc>
        <w:tc>
          <w:tcPr>
            <w:tcW w:w="2142" w:type="dxa"/>
            <w:tcBorders>
              <w:top w:val="nil"/>
              <w:bottom w:val="single" w:color="auto" w:sz="4" w:space="0"/>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Prob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1755" w:type="dxa"/>
            <w:tcBorders>
              <w:top w:val="single" w:color="auto" w:sz="4" w:space="0"/>
              <w:tl2br w:val="nil"/>
              <w:tr2bl w:val="nil"/>
            </w:tcBorders>
            <w:vAlign w:val="bottom"/>
          </w:tcPr>
          <w:p>
            <w:pPr>
              <w:jc w:val="center"/>
              <w:rPr>
                <w:rFonts w:ascii="Arial" w:hAnsi="Arial"/>
                <w:color w:val="000000"/>
                <w:sz w:val="18"/>
                <w:szCs w:val="18"/>
              </w:rPr>
            </w:pPr>
          </w:p>
        </w:tc>
        <w:tc>
          <w:tcPr>
            <w:tcW w:w="1855" w:type="dxa"/>
            <w:tcBorders>
              <w:top w:val="single" w:color="auto" w:sz="4" w:space="0"/>
              <w:tl2br w:val="nil"/>
              <w:tr2bl w:val="nil"/>
            </w:tcBorders>
            <w:vAlign w:val="bottom"/>
          </w:tcPr>
          <w:p>
            <w:pPr>
              <w:jc w:val="center"/>
              <w:rPr>
                <w:rFonts w:ascii="Arial" w:hAnsi="Arial"/>
                <w:color w:val="000000"/>
                <w:sz w:val="18"/>
                <w:szCs w:val="18"/>
              </w:rPr>
            </w:pPr>
          </w:p>
        </w:tc>
        <w:tc>
          <w:tcPr>
            <w:tcW w:w="297" w:type="dxa"/>
            <w:tcBorders>
              <w:top w:val="single" w:color="auto" w:sz="4" w:space="0"/>
              <w:tl2br w:val="nil"/>
              <w:tr2bl w:val="nil"/>
            </w:tcBorders>
            <w:vAlign w:val="bottom"/>
          </w:tcPr>
          <w:p>
            <w:pPr>
              <w:ind w:right="10"/>
              <w:jc w:val="center"/>
              <w:rPr>
                <w:rFonts w:ascii="Arial" w:hAnsi="Arial"/>
                <w:color w:val="000000"/>
                <w:sz w:val="18"/>
                <w:szCs w:val="18"/>
              </w:rPr>
            </w:pPr>
          </w:p>
        </w:tc>
        <w:tc>
          <w:tcPr>
            <w:tcW w:w="683" w:type="dxa"/>
            <w:tcBorders>
              <w:top w:val="single" w:color="auto" w:sz="4" w:space="0"/>
              <w:tl2br w:val="nil"/>
              <w:tr2bl w:val="nil"/>
            </w:tcBorders>
            <w:vAlign w:val="bottom"/>
          </w:tcPr>
          <w:p>
            <w:pPr>
              <w:ind w:right="10"/>
              <w:jc w:val="center"/>
              <w:rPr>
                <w:rFonts w:ascii="Arial" w:hAnsi="Arial"/>
                <w:color w:val="000000"/>
                <w:sz w:val="18"/>
                <w:szCs w:val="18"/>
              </w:rPr>
            </w:pPr>
          </w:p>
        </w:tc>
        <w:tc>
          <w:tcPr>
            <w:tcW w:w="682" w:type="dxa"/>
            <w:tcBorders>
              <w:top w:val="single" w:color="auto" w:sz="4" w:space="0"/>
              <w:tl2br w:val="nil"/>
              <w:tr2bl w:val="nil"/>
            </w:tcBorders>
            <w:vAlign w:val="bottom"/>
          </w:tcPr>
          <w:p>
            <w:pPr>
              <w:ind w:right="10"/>
              <w:jc w:val="center"/>
              <w:rPr>
                <w:rFonts w:ascii="Arial" w:hAnsi="Arial"/>
                <w:color w:val="000000"/>
                <w:sz w:val="18"/>
                <w:szCs w:val="18"/>
              </w:rPr>
            </w:pPr>
          </w:p>
        </w:tc>
        <w:tc>
          <w:tcPr>
            <w:tcW w:w="788" w:type="dxa"/>
            <w:tcBorders>
              <w:top w:val="single" w:color="auto" w:sz="4" w:space="0"/>
              <w:tl2br w:val="nil"/>
              <w:tr2bl w:val="nil"/>
            </w:tcBorders>
            <w:vAlign w:val="bottom"/>
          </w:tcPr>
          <w:p>
            <w:pPr>
              <w:ind w:right="10"/>
              <w:jc w:val="center"/>
              <w:rPr>
                <w:rFonts w:ascii="Arial" w:hAnsi="Arial"/>
                <w:color w:val="000000"/>
                <w:sz w:val="18"/>
                <w:szCs w:val="18"/>
              </w:rPr>
            </w:pPr>
          </w:p>
        </w:tc>
        <w:tc>
          <w:tcPr>
            <w:tcW w:w="2142" w:type="dxa"/>
            <w:tcBorders>
              <w:top w:val="single" w:color="auto" w:sz="4" w:space="0"/>
              <w:tl2br w:val="nil"/>
              <w:tr2bl w:val="nil"/>
            </w:tcBorders>
            <w:vAlign w:val="bottom"/>
          </w:tcPr>
          <w:p>
            <w:pPr>
              <w:ind w:right="10"/>
              <w:jc w:val="center"/>
              <w:rPr>
                <w:rFonts w:ascii="Arial" w:hAnsi="Arial"/>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135" w:hRule="exact"/>
        </w:trPr>
        <w:tc>
          <w:tcPr>
            <w:tcW w:w="1755" w:type="dxa"/>
            <w:tcBorders>
              <w:tl2br w:val="nil"/>
              <w:tr2bl w:val="nil"/>
            </w:tcBorders>
            <w:vAlign w:val="bottom"/>
          </w:tcPr>
          <w:p>
            <w:pPr>
              <w:jc w:val="center"/>
              <w:rPr>
                <w:rFonts w:ascii="Arial" w:hAnsi="Arial"/>
                <w:color w:val="000000"/>
                <w:sz w:val="18"/>
                <w:szCs w:val="18"/>
              </w:rPr>
            </w:pPr>
          </w:p>
        </w:tc>
        <w:tc>
          <w:tcPr>
            <w:tcW w:w="1855" w:type="dxa"/>
            <w:tcBorders>
              <w:tl2br w:val="nil"/>
              <w:tr2bl w:val="nil"/>
            </w:tcBorders>
            <w:vAlign w:val="bottom"/>
          </w:tcPr>
          <w:p>
            <w:pPr>
              <w:jc w:val="center"/>
              <w:rPr>
                <w:rFonts w:ascii="Arial" w:hAnsi="Arial"/>
                <w:color w:val="000000"/>
                <w:sz w:val="18"/>
                <w:szCs w:val="18"/>
              </w:rPr>
            </w:pPr>
          </w:p>
        </w:tc>
        <w:tc>
          <w:tcPr>
            <w:tcW w:w="297" w:type="dxa"/>
            <w:tcBorders>
              <w:tl2br w:val="nil"/>
              <w:tr2bl w:val="nil"/>
            </w:tcBorders>
            <w:vAlign w:val="bottom"/>
          </w:tcPr>
          <w:p>
            <w:pPr>
              <w:ind w:right="10"/>
              <w:jc w:val="center"/>
              <w:rPr>
                <w:rFonts w:ascii="Arial" w:hAnsi="Arial"/>
                <w:color w:val="000000"/>
                <w:sz w:val="18"/>
                <w:szCs w:val="18"/>
              </w:rPr>
            </w:pPr>
          </w:p>
        </w:tc>
        <w:tc>
          <w:tcPr>
            <w:tcW w:w="683" w:type="dxa"/>
            <w:tcBorders>
              <w:tl2br w:val="nil"/>
              <w:tr2bl w:val="nil"/>
            </w:tcBorders>
            <w:vAlign w:val="bottom"/>
          </w:tcPr>
          <w:p>
            <w:pPr>
              <w:ind w:right="10"/>
              <w:jc w:val="center"/>
              <w:rPr>
                <w:rFonts w:ascii="Arial" w:hAnsi="Arial"/>
                <w:color w:val="000000"/>
                <w:sz w:val="18"/>
                <w:szCs w:val="18"/>
              </w:rPr>
            </w:pPr>
          </w:p>
        </w:tc>
        <w:tc>
          <w:tcPr>
            <w:tcW w:w="682" w:type="dxa"/>
            <w:tcBorders>
              <w:tl2br w:val="nil"/>
              <w:tr2bl w:val="nil"/>
            </w:tcBorders>
            <w:vAlign w:val="bottom"/>
          </w:tcPr>
          <w:p>
            <w:pPr>
              <w:ind w:right="10"/>
              <w:jc w:val="center"/>
              <w:rPr>
                <w:rFonts w:ascii="Arial" w:hAnsi="Arial"/>
                <w:color w:val="000000"/>
                <w:sz w:val="18"/>
                <w:szCs w:val="18"/>
              </w:rPr>
            </w:pPr>
          </w:p>
        </w:tc>
        <w:tc>
          <w:tcPr>
            <w:tcW w:w="788" w:type="dxa"/>
            <w:tcBorders>
              <w:tl2br w:val="nil"/>
              <w:tr2bl w:val="nil"/>
            </w:tcBorders>
            <w:vAlign w:val="bottom"/>
          </w:tcPr>
          <w:p>
            <w:pPr>
              <w:ind w:right="10"/>
              <w:jc w:val="center"/>
              <w:rPr>
                <w:rFonts w:ascii="Arial" w:hAnsi="Arial"/>
                <w:color w:val="000000"/>
                <w:sz w:val="18"/>
                <w:szCs w:val="18"/>
              </w:rPr>
            </w:pPr>
          </w:p>
        </w:tc>
        <w:tc>
          <w:tcPr>
            <w:tcW w:w="2142" w:type="dxa"/>
            <w:tcBorders>
              <w:tl2br w:val="nil"/>
              <w:tr2bl w:val="nil"/>
            </w:tcBorders>
            <w:vAlign w:val="bottom"/>
          </w:tcPr>
          <w:p>
            <w:pPr>
              <w:ind w:right="10"/>
              <w:jc w:val="center"/>
              <w:rPr>
                <w:rFonts w:ascii="Arial" w:hAnsi="Arial"/>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0.991</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0.991</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5103.3</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0.985</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0.183</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10149.</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0.980</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0.076</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15144.</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0.975</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0.039</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20094.</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0.971</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0.032</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25000.</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0.967</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0.013</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29864.</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0.963</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0.011</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34686.</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0.958</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0.003</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39467.</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0.954</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0.008</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44209.</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7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855" w:type="dxa"/>
            <w:tcBorders>
              <w:tl2br w:val="nil"/>
              <w:tr2bl w:val="nil"/>
            </w:tcBorders>
            <w:vAlign w:val="bottom"/>
          </w:tcPr>
          <w:p>
            <w:pPr>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w:t>
            </w:r>
          </w:p>
        </w:tc>
        <w:tc>
          <w:tcPr>
            <w:tcW w:w="297"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p>
        </w:tc>
        <w:tc>
          <w:tcPr>
            <w:tcW w:w="683"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0.950</w:t>
            </w:r>
          </w:p>
        </w:tc>
        <w:tc>
          <w:tcPr>
            <w:tcW w:w="68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-0.019</w:t>
            </w:r>
          </w:p>
        </w:tc>
        <w:tc>
          <w:tcPr>
            <w:tcW w:w="788"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48907.</w:t>
            </w:r>
          </w:p>
        </w:tc>
        <w:tc>
          <w:tcPr>
            <w:tcW w:w="2142" w:type="dxa"/>
            <w:tcBorders>
              <w:tl2br w:val="nil"/>
              <w:tr2bl w:val="nil"/>
            </w:tcBorders>
            <w:vAlign w:val="bottom"/>
          </w:tcPr>
          <w:p>
            <w:pPr>
              <w:ind w:right="1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1755" w:type="dxa"/>
            <w:tcBorders>
              <w:tl2br w:val="nil"/>
              <w:tr2bl w:val="nil"/>
            </w:tcBorders>
            <w:vAlign w:val="bottom"/>
          </w:tcPr>
          <w:p>
            <w:pPr>
              <w:jc w:val="center"/>
              <w:rPr>
                <w:rFonts w:ascii="Arial" w:hAnsi="Arial"/>
                <w:color w:val="000000"/>
                <w:sz w:val="18"/>
              </w:rPr>
            </w:pPr>
          </w:p>
        </w:tc>
        <w:tc>
          <w:tcPr>
            <w:tcW w:w="1855" w:type="dxa"/>
            <w:tcBorders>
              <w:tl2br w:val="nil"/>
              <w:tr2bl w:val="nil"/>
            </w:tcBorders>
            <w:vAlign w:val="bottom"/>
          </w:tcPr>
          <w:p>
            <w:pPr>
              <w:jc w:val="center"/>
              <w:rPr>
                <w:rFonts w:ascii="Arial" w:hAnsi="Arial"/>
                <w:color w:val="000000"/>
                <w:sz w:val="18"/>
              </w:rPr>
            </w:pPr>
          </w:p>
        </w:tc>
        <w:tc>
          <w:tcPr>
            <w:tcW w:w="297" w:type="dxa"/>
            <w:tcBorders>
              <w:tl2br w:val="nil"/>
              <w:tr2bl w:val="nil"/>
            </w:tcBorders>
            <w:vAlign w:val="bottom"/>
          </w:tcPr>
          <w:p>
            <w:pPr>
              <w:ind w:right="10"/>
              <w:jc w:val="right"/>
              <w:rPr>
                <w:rFonts w:ascii="Arial" w:hAnsi="Arial"/>
                <w:color w:val="000000"/>
                <w:sz w:val="18"/>
              </w:rPr>
            </w:pPr>
          </w:p>
        </w:tc>
        <w:tc>
          <w:tcPr>
            <w:tcW w:w="683" w:type="dxa"/>
            <w:tcBorders>
              <w:tl2br w:val="nil"/>
              <w:tr2bl w:val="nil"/>
            </w:tcBorders>
            <w:vAlign w:val="bottom"/>
          </w:tcPr>
          <w:p>
            <w:pPr>
              <w:ind w:right="10"/>
              <w:jc w:val="right"/>
              <w:rPr>
                <w:rFonts w:ascii="Arial" w:hAnsi="Arial"/>
                <w:color w:val="000000"/>
                <w:sz w:val="18"/>
              </w:rPr>
            </w:pPr>
          </w:p>
        </w:tc>
        <w:tc>
          <w:tcPr>
            <w:tcW w:w="682" w:type="dxa"/>
            <w:tcBorders>
              <w:tl2br w:val="nil"/>
              <w:tr2bl w:val="nil"/>
            </w:tcBorders>
            <w:vAlign w:val="bottom"/>
          </w:tcPr>
          <w:p>
            <w:pPr>
              <w:ind w:right="10"/>
              <w:jc w:val="right"/>
              <w:rPr>
                <w:rFonts w:ascii="Arial" w:hAnsi="Arial"/>
                <w:color w:val="000000"/>
                <w:sz w:val="18"/>
              </w:rPr>
            </w:pPr>
          </w:p>
        </w:tc>
        <w:tc>
          <w:tcPr>
            <w:tcW w:w="788" w:type="dxa"/>
            <w:tcBorders>
              <w:tl2br w:val="nil"/>
              <w:tr2bl w:val="nil"/>
            </w:tcBorders>
            <w:vAlign w:val="bottom"/>
          </w:tcPr>
          <w:p>
            <w:pPr>
              <w:ind w:right="10"/>
              <w:jc w:val="right"/>
              <w:rPr>
                <w:rFonts w:ascii="Arial" w:hAnsi="Arial"/>
                <w:color w:val="000000"/>
                <w:sz w:val="18"/>
              </w:rPr>
            </w:pPr>
          </w:p>
        </w:tc>
        <w:tc>
          <w:tcPr>
            <w:tcW w:w="2142" w:type="dxa"/>
            <w:tcBorders>
              <w:tl2br w:val="nil"/>
              <w:tr2bl w:val="nil"/>
            </w:tcBorders>
            <w:vAlign w:val="bottom"/>
          </w:tcPr>
          <w:p>
            <w:pPr>
              <w:ind w:right="10"/>
              <w:jc w:val="right"/>
              <w:rPr>
                <w:rFonts w:ascii="Arial" w:hAnsi="Arial"/>
                <w:color w:val="000000"/>
                <w:sz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135" w:hRule="exact"/>
        </w:trPr>
        <w:tc>
          <w:tcPr>
            <w:tcW w:w="1755" w:type="dxa"/>
            <w:tcBorders>
              <w:tl2br w:val="nil"/>
              <w:tr2bl w:val="nil"/>
            </w:tcBorders>
            <w:vAlign w:val="bottom"/>
          </w:tcPr>
          <w:p>
            <w:pPr>
              <w:jc w:val="center"/>
              <w:rPr>
                <w:rFonts w:ascii="Arial" w:hAnsi="Arial"/>
                <w:color w:val="000000"/>
                <w:sz w:val="18"/>
              </w:rPr>
            </w:pPr>
          </w:p>
        </w:tc>
        <w:tc>
          <w:tcPr>
            <w:tcW w:w="1855" w:type="dxa"/>
            <w:tcBorders>
              <w:tl2br w:val="nil"/>
              <w:tr2bl w:val="nil"/>
            </w:tcBorders>
            <w:vAlign w:val="bottom"/>
          </w:tcPr>
          <w:p>
            <w:pPr>
              <w:jc w:val="center"/>
              <w:rPr>
                <w:rFonts w:ascii="Arial" w:hAnsi="Arial"/>
                <w:color w:val="000000"/>
                <w:sz w:val="18"/>
              </w:rPr>
            </w:pPr>
          </w:p>
        </w:tc>
        <w:tc>
          <w:tcPr>
            <w:tcW w:w="297" w:type="dxa"/>
            <w:tcBorders>
              <w:tl2br w:val="nil"/>
              <w:tr2bl w:val="nil"/>
            </w:tcBorders>
            <w:vAlign w:val="bottom"/>
          </w:tcPr>
          <w:p>
            <w:pPr>
              <w:ind w:right="10"/>
              <w:jc w:val="right"/>
              <w:rPr>
                <w:rFonts w:ascii="Arial" w:hAnsi="Arial"/>
                <w:color w:val="000000"/>
                <w:sz w:val="18"/>
              </w:rPr>
            </w:pPr>
          </w:p>
        </w:tc>
        <w:tc>
          <w:tcPr>
            <w:tcW w:w="683" w:type="dxa"/>
            <w:tcBorders>
              <w:tl2br w:val="nil"/>
              <w:tr2bl w:val="nil"/>
            </w:tcBorders>
            <w:vAlign w:val="bottom"/>
          </w:tcPr>
          <w:p>
            <w:pPr>
              <w:ind w:right="10"/>
              <w:jc w:val="right"/>
              <w:rPr>
                <w:rFonts w:ascii="Arial" w:hAnsi="Arial"/>
                <w:color w:val="000000"/>
                <w:sz w:val="18"/>
              </w:rPr>
            </w:pPr>
          </w:p>
        </w:tc>
        <w:tc>
          <w:tcPr>
            <w:tcW w:w="682" w:type="dxa"/>
            <w:tcBorders>
              <w:tl2br w:val="nil"/>
              <w:tr2bl w:val="nil"/>
            </w:tcBorders>
            <w:vAlign w:val="bottom"/>
          </w:tcPr>
          <w:p>
            <w:pPr>
              <w:ind w:right="10"/>
              <w:jc w:val="right"/>
              <w:rPr>
                <w:rFonts w:ascii="Arial" w:hAnsi="Arial"/>
                <w:color w:val="000000"/>
                <w:sz w:val="18"/>
              </w:rPr>
            </w:pPr>
          </w:p>
        </w:tc>
        <w:tc>
          <w:tcPr>
            <w:tcW w:w="788" w:type="dxa"/>
            <w:tcBorders>
              <w:tl2br w:val="nil"/>
              <w:tr2bl w:val="nil"/>
            </w:tcBorders>
            <w:vAlign w:val="bottom"/>
          </w:tcPr>
          <w:p>
            <w:pPr>
              <w:ind w:right="10"/>
              <w:jc w:val="right"/>
              <w:rPr>
                <w:rFonts w:ascii="Arial" w:hAnsi="Arial"/>
                <w:color w:val="000000"/>
                <w:sz w:val="18"/>
              </w:rPr>
            </w:pPr>
          </w:p>
        </w:tc>
        <w:tc>
          <w:tcPr>
            <w:tcW w:w="2142" w:type="dxa"/>
            <w:tcBorders>
              <w:tl2br w:val="nil"/>
              <w:tr2bl w:val="nil"/>
            </w:tcBorders>
            <w:vAlign w:val="bottom"/>
          </w:tcPr>
          <w:p>
            <w:pPr>
              <w:ind w:right="10"/>
              <w:jc w:val="right"/>
              <w:rPr>
                <w:rFonts w:ascii="Arial" w:hAnsi="Arial"/>
                <w:color w:val="000000"/>
                <w:sz w:val="18"/>
              </w:rPr>
            </w:pPr>
          </w:p>
        </w:tc>
      </w:tr>
    </w:tbl>
    <w:p>
      <w:pPr>
        <w:keepNext w:val="0"/>
        <w:keepLines w:val="0"/>
        <w:pageBreakBefore w:val="0"/>
        <w:widowControl w:val="0"/>
        <w:kinsoku/>
        <w:wordWrap/>
        <w:overflowPunct/>
        <w:topLinePunct w:val="0"/>
        <w:autoSpaceDE/>
        <w:autoSpaceDN/>
        <w:bidi w:val="0"/>
        <w:adjustRightInd/>
        <w:snapToGrid/>
        <w:spacing w:before="120" w:after="240" w:line="240" w:lineRule="auto"/>
        <w:ind w:left="0" w:hanging="480" w:hanging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数据来源：Eviews软件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从表4.</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残差序列</w:t>
      </w:r>
      <w:r>
        <w:rPr>
          <w:rFonts w:hint="eastAsia" w:asciiTheme="minorEastAsia" w:hAnsiTheme="minorEastAsia" w:eastAsiaTheme="minorEastAsia" w:cstheme="minorEastAsia"/>
          <w:position w:val="-12"/>
          <w:sz w:val="24"/>
          <w:szCs w:val="24"/>
        </w:rPr>
        <w:object>
          <v:shape id="_x0000_i1082"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2" DrawAspect="Content" ObjectID="_1468075782" r:id="rId99">
            <o:LockedField>false</o:LockedField>
          </o:OLEObject>
        </w:object>
      </w:r>
      <w:r>
        <w:rPr>
          <w:rFonts w:hint="eastAsia" w:asciiTheme="minorEastAsia" w:hAnsiTheme="minorEastAsia" w:eastAsiaTheme="minorEastAsia" w:cstheme="minorEastAsia"/>
          <w:sz w:val="24"/>
          <w:szCs w:val="24"/>
        </w:rPr>
        <w:t>自相关性检验的结果得出残差序列的自相关图呈现出拖尾特征，而偏自相关图在3阶截尾特征，根据此判断出残差序列</w:t>
      </w:r>
      <w:r>
        <w:rPr>
          <w:rFonts w:hint="eastAsia" w:asciiTheme="minorEastAsia" w:hAnsiTheme="minorEastAsia" w:eastAsiaTheme="minorEastAsia" w:cstheme="minorEastAsia"/>
          <w:position w:val="-12"/>
          <w:sz w:val="24"/>
          <w:szCs w:val="24"/>
        </w:rPr>
        <w:object>
          <v:shape id="_x0000_i1083"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3" DrawAspect="Content" ObjectID="_1468075783" r:id="rId100">
            <o:LockedField>false</o:LockedField>
          </o:OLEObject>
        </w:object>
      </w:r>
      <w:r>
        <w:rPr>
          <w:rFonts w:hint="eastAsia" w:asciiTheme="minorEastAsia" w:hAnsiTheme="minorEastAsia" w:eastAsiaTheme="minorEastAsia" w:cstheme="minorEastAsia"/>
          <w:sz w:val="24"/>
          <w:szCs w:val="24"/>
        </w:rPr>
        <w:t>存在3阶自相关性，因此残差序列</w:t>
      </w:r>
      <w:r>
        <w:rPr>
          <w:rFonts w:hint="eastAsia" w:asciiTheme="minorEastAsia" w:hAnsiTheme="minorEastAsia" w:eastAsiaTheme="minorEastAsia" w:cstheme="minorEastAsia"/>
          <w:position w:val="-12"/>
          <w:sz w:val="24"/>
          <w:szCs w:val="24"/>
        </w:rPr>
        <w:object>
          <v:shape id="_x0000_i1084"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4" DrawAspect="Content" ObjectID="_1468075784" r:id="rId101">
            <o:LockedField>false</o:LockedField>
          </o:OLEObject>
        </w:object>
      </w:r>
      <w:r>
        <w:rPr>
          <w:rFonts w:hint="eastAsia" w:asciiTheme="minorEastAsia" w:hAnsiTheme="minorEastAsia" w:eastAsiaTheme="minorEastAsia" w:cstheme="minorEastAsia"/>
          <w:sz w:val="24"/>
          <w:szCs w:val="24"/>
        </w:rPr>
        <w:t xml:space="preserve">存在AR(3)的过程。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2）ARCH效应检验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从上文的分析中得出去中心化价差序列不仅具有异方差性也具有自相关性，首先对</w:t>
      </w:r>
      <w:r>
        <w:rPr>
          <w:rFonts w:hint="eastAsia" w:asciiTheme="minorEastAsia" w:hAnsiTheme="minorEastAsia" w:eastAsiaTheme="minorEastAsia" w:cstheme="minorEastAsia"/>
          <w:sz w:val="24"/>
          <w:szCs w:val="24"/>
          <w:lang w:val="en-US" w:eastAsia="zh-CN"/>
        </w:rPr>
        <w:t>序列</w:t>
      </w:r>
      <w:r>
        <w:rPr>
          <w:rFonts w:hint="eastAsia" w:asciiTheme="minorEastAsia" w:hAnsiTheme="minorEastAsia" w:eastAsiaTheme="minorEastAsia" w:cstheme="minorEastAsia"/>
          <w:position w:val="-12"/>
          <w:sz w:val="24"/>
          <w:szCs w:val="24"/>
        </w:rPr>
        <w:object>
          <v:shape id="_x0000_i1085"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5" DrawAspect="Content" ObjectID="_1468075785" r:id="rId102">
            <o:LockedField>false</o:LockedField>
          </o:OLEObject>
        </w:object>
      </w:r>
      <w:r>
        <w:rPr>
          <w:rFonts w:hint="eastAsia" w:asciiTheme="minorEastAsia" w:hAnsiTheme="minorEastAsia" w:eastAsiaTheme="minorEastAsia" w:cstheme="minorEastAsia"/>
          <w:sz w:val="24"/>
          <w:szCs w:val="24"/>
        </w:rPr>
        <w:t>建立自回归方程，然后对自回归方程的随机扰动项</w:t>
      </w:r>
      <w:r>
        <w:rPr>
          <w:rStyle w:val="24"/>
          <w:rFonts w:hint="eastAsia" w:asciiTheme="minorEastAsia" w:hAnsiTheme="minorEastAsia" w:eastAsiaTheme="minorEastAsia" w:cstheme="minorEastAsia"/>
          <w:position w:val="-12"/>
          <w:sz w:val="24"/>
          <w:szCs w:val="24"/>
        </w:rPr>
        <w:object>
          <v:shape id="_x0000_i1086" o:spt="75" type="#_x0000_t75" style="height:18pt;width:13.95pt;" o:ole="t" filled="f" o:preferrelative="t" stroked="f" coordsize="21600,21600">
            <v:path/>
            <v:fill on="f" focussize="0,0"/>
            <v:stroke on="f"/>
            <v:imagedata r:id="rId104" o:title=""/>
            <o:lock v:ext="edit" aspectratio="t"/>
            <w10:wrap type="none"/>
            <w10:anchorlock/>
          </v:shape>
          <o:OLEObject Type="Embed" ProgID="Equation.KSEE3" ShapeID="_x0000_i1086" DrawAspect="Content" ObjectID="_1468075786" r:id="rId103">
            <o:LockedField>false</o:LockedField>
          </o:OLEObject>
        </w:object>
      </w:r>
      <w:r>
        <w:rPr>
          <w:rFonts w:hint="eastAsia" w:asciiTheme="minorEastAsia" w:hAnsiTheme="minorEastAsia" w:eastAsiaTheme="minorEastAsia" w:cstheme="minorEastAsia"/>
          <w:sz w:val="24"/>
          <w:szCs w:val="24"/>
        </w:rPr>
        <w:t>进行ARCH效应检验,本文使用ARCH-LM检验。</w:t>
      </w:r>
    </w:p>
    <w:tbl>
      <w:tblPr>
        <w:tblStyle w:val="14"/>
        <w:tblpPr w:leftFromText="180" w:rightFromText="180" w:vertAnchor="text" w:horzAnchor="page" w:tblpX="1801" w:tblpY="312"/>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17"/>
        <w:gridCol w:w="1103"/>
        <w:gridCol w:w="1207"/>
        <w:gridCol w:w="1208"/>
        <w:gridCol w:w="25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2017" w:type="dxa"/>
            <w:tcBorders>
              <w:bottom w:val="nil"/>
              <w:tl2br w:val="nil"/>
              <w:tr2bl w:val="nil"/>
            </w:tcBorders>
            <w:vAlign w:val="bottom"/>
          </w:tcPr>
          <w:p>
            <w:pPr>
              <w:widowControl/>
              <w:ind w:firstLine="480" w:firstLineChars="200"/>
              <w:jc w:val="left"/>
              <w:rPr>
                <w:rFonts w:ascii="宋体" w:hAnsi="宋体" w:eastAsia="宋体" w:cs="宋体"/>
                <w:color w:val="000000"/>
                <w:kern w:val="0"/>
                <w:sz w:val="24"/>
              </w:rPr>
            </w:pPr>
          </w:p>
        </w:tc>
        <w:tc>
          <w:tcPr>
            <w:tcW w:w="1103" w:type="dxa"/>
            <w:tcBorders>
              <w:bottom w:val="nil"/>
              <w:tl2br w:val="nil"/>
              <w:tr2bl w:val="nil"/>
            </w:tcBorders>
            <w:vAlign w:val="bottom"/>
          </w:tcPr>
          <w:p>
            <w:pPr>
              <w:widowControl/>
              <w:ind w:firstLine="480" w:firstLineChars="200"/>
              <w:jc w:val="left"/>
              <w:rPr>
                <w:rFonts w:ascii="宋体" w:hAnsi="宋体" w:eastAsia="宋体" w:cs="宋体"/>
                <w:color w:val="000000"/>
                <w:kern w:val="0"/>
                <w:sz w:val="24"/>
              </w:rPr>
            </w:pPr>
          </w:p>
        </w:tc>
        <w:tc>
          <w:tcPr>
            <w:tcW w:w="1207" w:type="dxa"/>
            <w:tcBorders>
              <w:bottom w:val="nil"/>
              <w:tl2br w:val="nil"/>
              <w:tr2bl w:val="nil"/>
            </w:tcBorders>
            <w:vAlign w:val="bottom"/>
          </w:tcPr>
          <w:p>
            <w:pPr>
              <w:widowControl/>
              <w:ind w:firstLine="480" w:firstLineChars="200"/>
              <w:jc w:val="left"/>
              <w:rPr>
                <w:rFonts w:ascii="宋体" w:hAnsi="宋体" w:eastAsia="宋体" w:cs="宋体"/>
                <w:color w:val="000000"/>
                <w:kern w:val="0"/>
                <w:sz w:val="24"/>
              </w:rPr>
            </w:pPr>
          </w:p>
        </w:tc>
        <w:tc>
          <w:tcPr>
            <w:tcW w:w="1208" w:type="dxa"/>
            <w:tcBorders>
              <w:bottom w:val="nil"/>
              <w:tl2br w:val="nil"/>
              <w:tr2bl w:val="nil"/>
            </w:tcBorders>
            <w:vAlign w:val="bottom"/>
          </w:tcPr>
          <w:p>
            <w:pPr>
              <w:widowControl/>
              <w:ind w:firstLine="480" w:firstLineChars="200"/>
              <w:jc w:val="left"/>
              <w:rPr>
                <w:rFonts w:ascii="宋体" w:hAnsi="宋体" w:eastAsia="宋体" w:cs="宋体"/>
                <w:color w:val="000000"/>
                <w:kern w:val="0"/>
                <w:sz w:val="24"/>
              </w:rPr>
            </w:pPr>
          </w:p>
        </w:tc>
        <w:tc>
          <w:tcPr>
            <w:tcW w:w="2520" w:type="dxa"/>
            <w:tcBorders>
              <w:bottom w:val="nil"/>
              <w:tl2br w:val="nil"/>
              <w:tr2bl w:val="nil"/>
            </w:tcBorders>
            <w:vAlign w:val="bottom"/>
          </w:tcPr>
          <w:p>
            <w:pPr>
              <w:widowControl/>
              <w:ind w:firstLine="480" w:firstLineChars="200"/>
              <w:jc w:val="left"/>
              <w:rPr>
                <w:rFonts w:ascii="宋体" w:hAnsi="宋体" w:eastAsia="宋体" w:cs="宋体"/>
                <w:color w:val="000000"/>
                <w:kern w:val="0"/>
                <w:sz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2017" w:type="dxa"/>
            <w:tcBorders>
              <w:top w:val="nil"/>
              <w:bottom w:val="single" w:color="auto" w:sz="4" w:space="0"/>
            </w:tcBorders>
            <w:vAlign w:val="bottom"/>
          </w:tcPr>
          <w:p>
            <w:pPr>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F-statistic</w:t>
            </w:r>
          </w:p>
        </w:tc>
        <w:tc>
          <w:tcPr>
            <w:tcW w:w="1103" w:type="dxa"/>
            <w:tcBorders>
              <w:top w:val="nil"/>
              <w:bottom w:val="single" w:color="auto" w:sz="4" w:space="0"/>
            </w:tcBorders>
            <w:vAlign w:val="bottom"/>
          </w:tcPr>
          <w:p>
            <w:pPr>
              <w:ind w:right="10"/>
              <w:jc w:val="righ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86.17360</w:t>
            </w:r>
          </w:p>
        </w:tc>
        <w:tc>
          <w:tcPr>
            <w:tcW w:w="2415" w:type="dxa"/>
            <w:gridSpan w:val="2"/>
            <w:tcBorders>
              <w:top w:val="nil"/>
              <w:bottom w:val="single" w:color="auto" w:sz="4" w:space="0"/>
            </w:tcBorders>
            <w:vAlign w:val="bottom"/>
          </w:tcPr>
          <w:p>
            <w:pPr>
              <w:ind w:right="1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Prob. F(2,5187)</w:t>
            </w:r>
          </w:p>
        </w:tc>
        <w:tc>
          <w:tcPr>
            <w:tcW w:w="2520" w:type="dxa"/>
            <w:tcBorders>
              <w:top w:val="nil"/>
              <w:bottom w:val="single" w:color="auto" w:sz="4" w:space="0"/>
            </w:tcBorders>
            <w:vAlign w:val="bottom"/>
          </w:tcPr>
          <w:p>
            <w:pPr>
              <w:ind w:right="10"/>
              <w:jc w:val="righ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2017" w:type="dxa"/>
            <w:tcBorders>
              <w:top w:val="single" w:color="auto" w:sz="4" w:space="0"/>
              <w:bottom w:val="single" w:color="auto" w:sz="12" w:space="0"/>
            </w:tcBorders>
            <w:vAlign w:val="bottom"/>
          </w:tcPr>
          <w:p>
            <w:pPr>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Obs*R-squared</w:t>
            </w:r>
          </w:p>
        </w:tc>
        <w:tc>
          <w:tcPr>
            <w:tcW w:w="1103" w:type="dxa"/>
            <w:tcBorders>
              <w:top w:val="single" w:color="auto" w:sz="4" w:space="0"/>
              <w:bottom w:val="single" w:color="auto" w:sz="12" w:space="0"/>
            </w:tcBorders>
            <w:vAlign w:val="bottom"/>
          </w:tcPr>
          <w:p>
            <w:pPr>
              <w:ind w:right="10"/>
              <w:jc w:val="righ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166.9013</w:t>
            </w:r>
          </w:p>
        </w:tc>
        <w:tc>
          <w:tcPr>
            <w:tcW w:w="2415" w:type="dxa"/>
            <w:gridSpan w:val="2"/>
            <w:tcBorders>
              <w:top w:val="single" w:color="auto" w:sz="4" w:space="0"/>
              <w:bottom w:val="single" w:color="auto" w:sz="12" w:space="0"/>
            </w:tcBorders>
            <w:vAlign w:val="bottom"/>
          </w:tcPr>
          <w:p>
            <w:pPr>
              <w:ind w:left="960" w:right="10" w:hanging="840" w:hangingChars="40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Prob.Chi-Square(2)</w:t>
            </w:r>
          </w:p>
        </w:tc>
        <w:tc>
          <w:tcPr>
            <w:tcW w:w="2520" w:type="dxa"/>
            <w:tcBorders>
              <w:top w:val="single" w:color="auto" w:sz="4" w:space="0"/>
              <w:bottom w:val="single" w:color="auto" w:sz="12" w:space="0"/>
            </w:tcBorders>
            <w:vAlign w:val="bottom"/>
          </w:tcPr>
          <w:p>
            <w:pPr>
              <w:ind w:right="10"/>
              <w:jc w:val="righ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2017" w:type="dxa"/>
            <w:tcBorders>
              <w:top w:val="single" w:color="auto" w:sz="12" w:space="0"/>
              <w:bottom w:val="nil"/>
            </w:tcBorders>
            <w:vAlign w:val="bottom"/>
          </w:tcPr>
          <w:p>
            <w:pPr>
              <w:jc w:val="center"/>
              <w:rPr>
                <w:rFonts w:ascii="Arial" w:hAnsi="Arial"/>
                <w:color w:val="000000"/>
                <w:sz w:val="18"/>
              </w:rPr>
            </w:pPr>
          </w:p>
        </w:tc>
        <w:tc>
          <w:tcPr>
            <w:tcW w:w="1103" w:type="dxa"/>
            <w:tcBorders>
              <w:top w:val="single" w:color="auto" w:sz="12" w:space="0"/>
              <w:bottom w:val="nil"/>
            </w:tcBorders>
            <w:vAlign w:val="bottom"/>
          </w:tcPr>
          <w:p>
            <w:pPr>
              <w:jc w:val="center"/>
              <w:rPr>
                <w:rFonts w:ascii="Arial" w:hAnsi="Arial"/>
                <w:color w:val="000000"/>
                <w:sz w:val="18"/>
              </w:rPr>
            </w:pPr>
          </w:p>
        </w:tc>
        <w:tc>
          <w:tcPr>
            <w:tcW w:w="1207" w:type="dxa"/>
            <w:tcBorders>
              <w:top w:val="single" w:color="auto" w:sz="12" w:space="0"/>
              <w:bottom w:val="nil"/>
            </w:tcBorders>
            <w:vAlign w:val="bottom"/>
          </w:tcPr>
          <w:p>
            <w:pPr>
              <w:jc w:val="center"/>
              <w:rPr>
                <w:rFonts w:ascii="Arial" w:hAnsi="Arial"/>
                <w:color w:val="000000"/>
                <w:sz w:val="18"/>
              </w:rPr>
            </w:pPr>
          </w:p>
        </w:tc>
        <w:tc>
          <w:tcPr>
            <w:tcW w:w="1208" w:type="dxa"/>
            <w:tcBorders>
              <w:top w:val="single" w:color="auto" w:sz="12" w:space="0"/>
              <w:bottom w:val="nil"/>
            </w:tcBorders>
            <w:vAlign w:val="bottom"/>
          </w:tcPr>
          <w:p>
            <w:pPr>
              <w:jc w:val="center"/>
              <w:rPr>
                <w:rFonts w:ascii="Arial" w:hAnsi="Arial"/>
                <w:color w:val="000000"/>
                <w:sz w:val="18"/>
              </w:rPr>
            </w:pPr>
          </w:p>
        </w:tc>
        <w:tc>
          <w:tcPr>
            <w:tcW w:w="2520" w:type="dxa"/>
            <w:tcBorders>
              <w:top w:val="single" w:color="auto" w:sz="12" w:space="0"/>
              <w:bottom w:val="nil"/>
            </w:tcBorders>
            <w:vAlign w:val="bottom"/>
          </w:tcPr>
          <w:p>
            <w:pPr>
              <w:jc w:val="center"/>
              <w:rPr>
                <w:rFonts w:ascii="Arial" w:hAnsi="Arial"/>
                <w:color w:val="000000"/>
                <w:sz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2017" w:type="dxa"/>
            <w:tcBorders>
              <w:top w:val="nil"/>
              <w:bottom w:val="nil"/>
            </w:tcBorders>
            <w:vAlign w:val="bottom"/>
          </w:tcPr>
          <w:p>
            <w:pPr>
              <w:jc w:val="center"/>
              <w:rPr>
                <w:rFonts w:ascii="Arial" w:hAnsi="Arial"/>
                <w:color w:val="000000"/>
                <w:sz w:val="18"/>
              </w:rPr>
            </w:pPr>
          </w:p>
        </w:tc>
        <w:tc>
          <w:tcPr>
            <w:tcW w:w="1103" w:type="dxa"/>
            <w:tcBorders>
              <w:top w:val="nil"/>
              <w:bottom w:val="nil"/>
            </w:tcBorders>
            <w:vAlign w:val="bottom"/>
          </w:tcPr>
          <w:p>
            <w:pPr>
              <w:jc w:val="center"/>
              <w:rPr>
                <w:rFonts w:ascii="Arial" w:hAnsi="Arial"/>
                <w:color w:val="000000"/>
                <w:sz w:val="18"/>
              </w:rPr>
            </w:pPr>
          </w:p>
        </w:tc>
        <w:tc>
          <w:tcPr>
            <w:tcW w:w="1207" w:type="dxa"/>
            <w:tcBorders>
              <w:top w:val="nil"/>
              <w:bottom w:val="nil"/>
            </w:tcBorders>
            <w:vAlign w:val="bottom"/>
          </w:tcPr>
          <w:p>
            <w:pPr>
              <w:jc w:val="center"/>
              <w:rPr>
                <w:rFonts w:ascii="Arial" w:hAnsi="Arial"/>
                <w:color w:val="000000"/>
                <w:sz w:val="18"/>
              </w:rPr>
            </w:pPr>
          </w:p>
        </w:tc>
        <w:tc>
          <w:tcPr>
            <w:tcW w:w="1208" w:type="dxa"/>
            <w:tcBorders>
              <w:top w:val="nil"/>
              <w:bottom w:val="nil"/>
            </w:tcBorders>
            <w:vAlign w:val="bottom"/>
          </w:tcPr>
          <w:p>
            <w:pPr>
              <w:jc w:val="center"/>
              <w:rPr>
                <w:rFonts w:ascii="Arial" w:hAnsi="Arial"/>
                <w:color w:val="000000"/>
                <w:sz w:val="18"/>
              </w:rPr>
            </w:pPr>
          </w:p>
        </w:tc>
        <w:tc>
          <w:tcPr>
            <w:tcW w:w="2520" w:type="dxa"/>
            <w:tcBorders>
              <w:top w:val="nil"/>
              <w:bottom w:val="nil"/>
            </w:tcBorders>
            <w:vAlign w:val="bottom"/>
          </w:tcPr>
          <w:p>
            <w:pPr>
              <w:jc w:val="center"/>
              <w:rPr>
                <w:rFonts w:ascii="Arial" w:hAnsi="Arial"/>
                <w:color w:val="000000"/>
                <w:sz w:val="18"/>
              </w:rPr>
            </w:pPr>
          </w:p>
        </w:tc>
      </w:tr>
    </w:tbl>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表4.</w:t>
      </w:r>
      <w:r>
        <w:rPr>
          <w:rFonts w:hint="eastAsia" w:ascii="宋体" w:hAnsi="宋体" w:eastAsia="宋体" w:cs="宋体"/>
          <w:color w:val="000000"/>
          <w:kern w:val="0"/>
          <w:sz w:val="21"/>
          <w:szCs w:val="21"/>
          <w:lang w:val="en-US" w:eastAsia="zh-CN"/>
        </w:rPr>
        <w:t xml:space="preserve">6  </w:t>
      </w:r>
      <w:r>
        <w:rPr>
          <w:rFonts w:hint="eastAsia" w:ascii="宋体" w:hAnsi="宋体" w:eastAsia="宋体" w:cs="宋体"/>
          <w:color w:val="000000"/>
          <w:kern w:val="0"/>
          <w:sz w:val="21"/>
          <w:szCs w:val="21"/>
        </w:rPr>
        <w:t>ARCH效应检验</w:t>
      </w:r>
    </w:p>
    <w:p>
      <w:pPr>
        <w:keepNext w:val="0"/>
        <w:keepLines w:val="0"/>
        <w:pageBreakBefore w:val="0"/>
        <w:widowControl w:val="0"/>
        <w:kinsoku/>
        <w:wordWrap/>
        <w:overflowPunct/>
        <w:topLinePunct w:val="0"/>
        <w:autoSpaceDE/>
        <w:autoSpaceDN/>
        <w:bidi w:val="0"/>
        <w:adjustRightInd/>
        <w:snapToGrid/>
        <w:spacing w:before="120" w:after="240" w:line="240" w:lineRule="auto"/>
        <w:textAlignment w:val="auto"/>
        <w:rPr>
          <w:rFonts w:asciiTheme="minorEastAsia" w:hAnsiTheme="minorEastAsia" w:cstheme="minorEastAsia"/>
          <w:sz w:val="24"/>
        </w:rPr>
      </w:pPr>
      <w:r>
        <w:rPr>
          <w:rFonts w:hint="eastAsia" w:asciiTheme="minorEastAsia" w:hAnsiTheme="minorEastAsia" w:cstheme="minorEastAsia"/>
          <w:sz w:val="21"/>
          <w:szCs w:val="21"/>
        </w:rPr>
        <w:t>数据来源：Eviews软件</w:t>
      </w:r>
      <w:r>
        <w:rPr>
          <w:rFonts w:hint="eastAsia" w:asciiTheme="minorEastAsia" w:hAnsiTheme="minorEastAsia" w:cstheme="minorEastAsia"/>
          <w:sz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根据表4.</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 xml:space="preserve"> ARCH-LM检验结果显示F统计量的值为 86.17360，Obs*R-squared统计量的值为 166.9013，其对应的P值为0，说明自回归方程的随机扰动项序列</w:t>
      </w:r>
      <w:r>
        <w:rPr>
          <w:rStyle w:val="24"/>
          <w:rFonts w:hint="eastAsia" w:asciiTheme="minorEastAsia" w:hAnsiTheme="minorEastAsia" w:eastAsiaTheme="minorEastAsia" w:cstheme="minorEastAsia"/>
          <w:position w:val="-12"/>
          <w:sz w:val="24"/>
          <w:szCs w:val="24"/>
        </w:rPr>
        <w:object>
          <v:shape id="_x0000_i1087" o:spt="75" type="#_x0000_t75" style="height:18pt;width:13.95pt;" o:ole="t" filled="f" o:preferrelative="t" stroked="f" coordsize="21600,21600">
            <v:path/>
            <v:fill on="f" focussize="0,0"/>
            <v:stroke on="f"/>
            <v:imagedata r:id="rId104" o:title=""/>
            <o:lock v:ext="edit" aspectratio="t"/>
            <w10:wrap type="none"/>
            <w10:anchorlock/>
          </v:shape>
          <o:OLEObject Type="Embed" ProgID="Equation.KSEE3" ShapeID="_x0000_i1087" DrawAspect="Content" ObjectID="_1468075787" r:id="rId105">
            <o:LockedField>false</o:LockedField>
          </o:OLEObject>
        </w:object>
      </w:r>
      <w:r>
        <w:rPr>
          <w:rFonts w:hint="eastAsia" w:asciiTheme="minorEastAsia" w:hAnsiTheme="minorEastAsia" w:cstheme="minorEastAsia"/>
          <w:sz w:val="24"/>
        </w:rPr>
        <w:t>存在异方差，因此存在</w:t>
      </w:r>
      <w:r>
        <w:rPr>
          <w:rFonts w:asciiTheme="minorEastAsia" w:hAnsiTheme="minorEastAsia" w:cstheme="minorEastAsia"/>
          <w:sz w:val="24"/>
        </w:rPr>
        <w:t>ARCH</w:t>
      </w:r>
      <w:r>
        <w:rPr>
          <w:rFonts w:hint="eastAsia" w:asciiTheme="minorEastAsia" w:hAnsiTheme="minorEastAsia" w:cstheme="minorEastAsia"/>
          <w:sz w:val="24"/>
        </w:rPr>
        <w:t>效应。</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eastAsia="黑体" w:cs="黑体"/>
          <w:b w:val="0"/>
          <w:bCs/>
          <w:kern w:val="2"/>
          <w:sz w:val="28"/>
          <w:szCs w:val="28"/>
          <w:lang w:val="en-US" w:eastAsia="zh-CN" w:bidi="ar-SA"/>
        </w:rPr>
      </w:pPr>
      <w:bookmarkStart w:id="190" w:name="_Toc8516"/>
      <w:bookmarkStart w:id="191" w:name="_Toc12614"/>
      <w:bookmarkStart w:id="192" w:name="_Toc3834"/>
      <w:bookmarkStart w:id="193" w:name="_Toc14457"/>
      <w:bookmarkStart w:id="194" w:name="_Toc13922"/>
      <w:r>
        <w:rPr>
          <w:rFonts w:hint="eastAsia" w:ascii="黑体" w:hAnsi="黑体" w:eastAsia="黑体" w:cs="黑体"/>
          <w:b w:val="0"/>
          <w:bCs/>
          <w:kern w:val="2"/>
          <w:sz w:val="28"/>
          <w:szCs w:val="28"/>
          <w:lang w:val="en-US" w:eastAsia="zh-CN" w:bidi="ar-SA"/>
        </w:rPr>
        <w:t xml:space="preserve">4.3.3 </w:t>
      </w:r>
      <w:bookmarkEnd w:id="190"/>
      <w:bookmarkEnd w:id="191"/>
      <w:bookmarkEnd w:id="192"/>
      <w:bookmarkEnd w:id="193"/>
      <w:r>
        <w:rPr>
          <w:rFonts w:hint="eastAsia" w:ascii="黑体" w:hAnsi="黑体" w:eastAsia="黑体" w:cs="黑体"/>
          <w:b w:val="0"/>
          <w:bCs/>
          <w:kern w:val="2"/>
          <w:sz w:val="28"/>
          <w:szCs w:val="28"/>
          <w:lang w:val="en-US" w:eastAsia="zh-CN" w:bidi="ar-SA"/>
        </w:rPr>
        <w:t>构建AR-GARCH模型</w:t>
      </w:r>
      <w:bookmarkEnd w:id="19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根据上文检验可知</w:t>
      </w:r>
      <w:r>
        <w:rPr>
          <w:rFonts w:hint="eastAsia" w:asciiTheme="minorEastAsia" w:hAnsiTheme="minorEastAsia" w:eastAsiaTheme="minorEastAsia" w:cstheme="minorEastAsia"/>
          <w:position w:val="-12"/>
          <w:sz w:val="24"/>
          <w:szCs w:val="24"/>
        </w:rPr>
        <w:object>
          <v:shape id="_x0000_i1088"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8" DrawAspect="Content" ObjectID="_1468075788" r:id="rId106">
            <o:LockedField>false</o:LockedField>
          </o:OLEObject>
        </w:object>
      </w:r>
      <w:r>
        <w:rPr>
          <w:rFonts w:hint="eastAsia" w:asciiTheme="minorEastAsia" w:hAnsiTheme="minorEastAsia" w:cstheme="minorEastAsia"/>
          <w:sz w:val="24"/>
        </w:rPr>
        <w:t>具有自相关性，同时自回归方程的随机扰动项序列存在</w:t>
      </w:r>
      <w:r>
        <w:rPr>
          <w:rFonts w:asciiTheme="minorEastAsia" w:hAnsiTheme="minorEastAsia" w:cstheme="minorEastAsia"/>
          <w:sz w:val="24"/>
        </w:rPr>
        <w:t>ARCH</w:t>
      </w:r>
      <w:r>
        <w:rPr>
          <w:rFonts w:hint="eastAsia" w:asciiTheme="minorEastAsia" w:hAnsiTheme="minorEastAsia" w:cstheme="minorEastAsia"/>
          <w:sz w:val="24"/>
        </w:rPr>
        <w:t>效应，故对</w:t>
      </w:r>
      <w:r>
        <w:rPr>
          <w:rFonts w:hint="eastAsia" w:asciiTheme="minorEastAsia" w:hAnsiTheme="minorEastAsia" w:cstheme="minorEastAsia"/>
          <w:sz w:val="24"/>
          <w:lang w:val="en-US" w:eastAsia="zh-CN"/>
        </w:rPr>
        <w:t>序列</w:t>
      </w:r>
      <w:r>
        <w:rPr>
          <w:rFonts w:hint="eastAsia" w:asciiTheme="minorEastAsia" w:hAnsiTheme="minorEastAsia" w:eastAsiaTheme="minorEastAsia" w:cstheme="minorEastAsia"/>
          <w:position w:val="-12"/>
          <w:sz w:val="24"/>
          <w:szCs w:val="24"/>
        </w:rPr>
        <w:object>
          <v:shape id="_x0000_i1089"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89" DrawAspect="Content" ObjectID="_1468075789" r:id="rId107">
            <o:LockedField>false</o:LockedField>
          </o:OLEObject>
        </w:object>
      </w:r>
      <w:r>
        <w:rPr>
          <w:rFonts w:hint="eastAsia" w:asciiTheme="minorEastAsia" w:hAnsiTheme="minorEastAsia" w:cstheme="minorEastAsia"/>
          <w:sz w:val="24"/>
          <w:lang w:val="en-US" w:eastAsia="zh-CN"/>
        </w:rPr>
        <w:t>建立</w:t>
      </w:r>
      <w:r>
        <w:rPr>
          <w:rFonts w:hint="eastAsia" w:asciiTheme="minorEastAsia" w:hAnsiTheme="minorEastAsia" w:cstheme="minorEastAsia"/>
          <w:sz w:val="24"/>
        </w:rPr>
        <w:t>GARCH（p,q）模型。然而根据上文</w:t>
      </w:r>
      <w:r>
        <w:rPr>
          <w:rFonts w:hint="eastAsia" w:asciiTheme="minorEastAsia" w:hAnsiTheme="minorEastAsia" w:cstheme="minorEastAsia"/>
          <w:sz w:val="24"/>
          <w:lang w:val="en-US" w:eastAsia="zh-CN"/>
        </w:rPr>
        <w:t>2.2</w:t>
      </w:r>
      <w:r>
        <w:rPr>
          <w:rFonts w:hint="eastAsia" w:asciiTheme="minorEastAsia" w:hAnsiTheme="minorEastAsia" w:cstheme="minorEastAsia"/>
          <w:sz w:val="24"/>
        </w:rPr>
        <w:t>节GARCH模型理论介绍可知，本文通过建立GARCH(1,1)模型就可以达到本文的目的以及可以很好的解释去中心化价差序列</w:t>
      </w:r>
      <w:r>
        <w:rPr>
          <w:rFonts w:hint="eastAsia" w:asciiTheme="minorEastAsia" w:hAnsiTheme="minorEastAsia" w:eastAsiaTheme="minorEastAsia" w:cstheme="minorEastAsia"/>
          <w:position w:val="-12"/>
          <w:sz w:val="24"/>
          <w:szCs w:val="24"/>
        </w:rPr>
        <w:object>
          <v:shape id="_x0000_i1090"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KSEE3" ShapeID="_x0000_i1090" DrawAspect="Content" ObjectID="_1468075790" r:id="rId108">
            <o:LockedField>false</o:LockedField>
          </o:OLEObject>
        </w:object>
      </w:r>
      <w:r>
        <w:rPr>
          <w:rFonts w:hint="eastAsia" w:asciiTheme="minorEastAsia" w:hAnsiTheme="minorEastAsia" w:cstheme="minorEastAsia"/>
          <w:sz w:val="24"/>
        </w:rPr>
        <w:t>的波动性。</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sz w:val="21"/>
          <w:szCs w:val="21"/>
        </w:rPr>
      </w:pPr>
      <w:r>
        <w:rPr>
          <w:rFonts w:hint="eastAsia" w:asciiTheme="minorEastAsia" w:hAnsiTheme="minorEastAsia" w:cstheme="minorEastAsia"/>
          <w:sz w:val="21"/>
          <w:szCs w:val="21"/>
        </w:rPr>
        <w:t>表4.</w:t>
      </w:r>
      <w:r>
        <w:rPr>
          <w:rFonts w:hint="eastAsia" w:asciiTheme="minorEastAsia" w:hAnsiTheme="minorEastAsia" w:cstheme="minorEastAsia"/>
          <w:sz w:val="21"/>
          <w:szCs w:val="21"/>
          <w:lang w:val="en-US" w:eastAsia="zh-CN"/>
        </w:rPr>
        <w:t>7</w:t>
      </w:r>
      <w:r>
        <w:rPr>
          <w:rFonts w:hint="eastAsia" w:asciiTheme="minorEastAsia" w:hAnsiTheme="minorEastAsia" w:cstheme="minorEastAsia"/>
          <w:sz w:val="21"/>
          <w:szCs w:val="21"/>
        </w:rPr>
        <w:t xml:space="preserve">  </w:t>
      </w:r>
      <w:r>
        <w:rPr>
          <w:rFonts w:hint="eastAsia"/>
          <w:sz w:val="21"/>
          <w:szCs w:val="21"/>
        </w:rPr>
        <w:t xml:space="preserve"> </w:t>
      </w:r>
      <w:r>
        <w:rPr>
          <w:rFonts w:hint="eastAsia" w:asciiTheme="minorEastAsia" w:hAnsiTheme="minorEastAsia" w:cstheme="minorEastAsia"/>
          <w:sz w:val="21"/>
          <w:szCs w:val="21"/>
        </w:rPr>
        <w:t>AR-GARCH模型估计结果</w:t>
      </w:r>
    </w:p>
    <w:tbl>
      <w:tblPr>
        <w:tblStyle w:val="14"/>
        <w:tblW w:w="8326"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Layout w:type="fixed"/>
        <w:tblCellMar>
          <w:top w:w="0" w:type="dxa"/>
          <w:left w:w="0" w:type="dxa"/>
          <w:bottom w:w="0" w:type="dxa"/>
          <w:right w:w="0" w:type="dxa"/>
        </w:tblCellMar>
      </w:tblPr>
      <w:tblGrid>
        <w:gridCol w:w="1518"/>
        <w:gridCol w:w="1662"/>
        <w:gridCol w:w="1626"/>
        <w:gridCol w:w="1835"/>
        <w:gridCol w:w="168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tcBorders>
              <w:top w:val="single" w:color="000000" w:sz="12" w:space="0"/>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p>
        </w:tc>
        <w:tc>
          <w:tcPr>
            <w:tcW w:w="1662" w:type="dxa"/>
            <w:tcBorders>
              <w:top w:val="single" w:color="000000" w:sz="12"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变量</w:t>
            </w:r>
          </w:p>
        </w:tc>
        <w:tc>
          <w:tcPr>
            <w:tcW w:w="1626" w:type="dxa"/>
            <w:tcBorders>
              <w:top w:val="single" w:color="000000" w:sz="12"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系数</w:t>
            </w:r>
          </w:p>
        </w:tc>
        <w:tc>
          <w:tcPr>
            <w:tcW w:w="1835" w:type="dxa"/>
            <w:tcBorders>
              <w:top w:val="single" w:color="000000" w:sz="12"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z统计量</w:t>
            </w:r>
          </w:p>
        </w:tc>
        <w:tc>
          <w:tcPr>
            <w:tcW w:w="1685" w:type="dxa"/>
            <w:tcBorders>
              <w:top w:val="single" w:color="000000" w:sz="12" w:space="0"/>
              <w:left w:val="nil"/>
              <w:bottom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P值</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vMerge w:val="restart"/>
            <w:tcBorders>
              <w:top w:val="nil"/>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ind w:firstLine="420" w:firstLineChars="20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均值方程</w:t>
            </w:r>
          </w:p>
        </w:tc>
        <w:tc>
          <w:tcPr>
            <w:tcW w:w="1662"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AR(1)</w:t>
            </w:r>
          </w:p>
        </w:tc>
        <w:tc>
          <w:tcPr>
            <w:tcW w:w="1626"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0.726972</w:t>
            </w:r>
          </w:p>
        </w:tc>
        <w:tc>
          <w:tcPr>
            <w:tcW w:w="1835"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51.80417</w:t>
            </w:r>
          </w:p>
        </w:tc>
        <w:tc>
          <w:tcPr>
            <w:tcW w:w="1685" w:type="dxa"/>
            <w:tcBorders>
              <w:top w:val="nil"/>
              <w:left w:val="nil"/>
              <w:bottom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vMerge w:val="continue"/>
            <w:tcBorders>
              <w:top w:val="nil"/>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p>
        </w:tc>
        <w:tc>
          <w:tcPr>
            <w:tcW w:w="1662"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AR(2)</w:t>
            </w:r>
          </w:p>
        </w:tc>
        <w:tc>
          <w:tcPr>
            <w:tcW w:w="1626"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0.160861</w:t>
            </w:r>
          </w:p>
        </w:tc>
        <w:tc>
          <w:tcPr>
            <w:tcW w:w="1835"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8.328168</w:t>
            </w:r>
          </w:p>
        </w:tc>
        <w:tc>
          <w:tcPr>
            <w:tcW w:w="1685" w:type="dxa"/>
            <w:tcBorders>
              <w:top w:val="nil"/>
              <w:left w:val="nil"/>
              <w:bottom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vMerge w:val="continue"/>
            <w:tcBorders>
              <w:top w:val="nil"/>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p>
        </w:tc>
        <w:tc>
          <w:tcPr>
            <w:tcW w:w="1662"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AR(3)</w:t>
            </w:r>
          </w:p>
        </w:tc>
        <w:tc>
          <w:tcPr>
            <w:tcW w:w="1626"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0.107421</w:t>
            </w:r>
          </w:p>
        </w:tc>
        <w:tc>
          <w:tcPr>
            <w:tcW w:w="1835"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7.314917</w:t>
            </w:r>
          </w:p>
        </w:tc>
        <w:tc>
          <w:tcPr>
            <w:tcW w:w="1685" w:type="dxa"/>
            <w:tcBorders>
              <w:top w:val="nil"/>
              <w:left w:val="nil"/>
              <w:bottom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tcBorders>
              <w:top w:val="nil"/>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p>
        </w:tc>
        <w:tc>
          <w:tcPr>
            <w:tcW w:w="1662"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C</w:t>
            </w:r>
          </w:p>
        </w:tc>
        <w:tc>
          <w:tcPr>
            <w:tcW w:w="1626"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5.18E-06</w:t>
            </w:r>
          </w:p>
        </w:tc>
        <w:tc>
          <w:tcPr>
            <w:tcW w:w="1835"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12.30075</w:t>
            </w:r>
          </w:p>
        </w:tc>
        <w:tc>
          <w:tcPr>
            <w:tcW w:w="1685" w:type="dxa"/>
            <w:tcBorders>
              <w:top w:val="nil"/>
              <w:left w:val="nil"/>
              <w:bottom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tcBorders>
              <w:top w:val="nil"/>
              <w:bottom w:val="nil"/>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条件方差方程</w:t>
            </w:r>
          </w:p>
        </w:tc>
        <w:tc>
          <w:tcPr>
            <w:tcW w:w="1662"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RESID(-1)^2</w:t>
            </w:r>
          </w:p>
        </w:tc>
        <w:tc>
          <w:tcPr>
            <w:tcW w:w="1626"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0.181702</w:t>
            </w:r>
          </w:p>
        </w:tc>
        <w:tc>
          <w:tcPr>
            <w:tcW w:w="1835" w:type="dxa"/>
            <w:tcBorders>
              <w:top w:val="nil"/>
              <w:left w:val="nil"/>
              <w:bottom w:val="nil"/>
              <w:right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17.64785</w:t>
            </w:r>
          </w:p>
        </w:tc>
        <w:tc>
          <w:tcPr>
            <w:tcW w:w="1685" w:type="dxa"/>
            <w:tcBorders>
              <w:top w:val="nil"/>
              <w:left w:val="nil"/>
              <w:bottom w:val="nil"/>
            </w:tcBorders>
            <w:shd w:val="clear" w:color="auto" w:fill="auto"/>
            <w:tcMar>
              <w:top w:w="15" w:type="dxa"/>
              <w:left w:w="15" w:type="dxa"/>
              <w:right w:w="15" w:type="dxa"/>
            </w:tcMar>
            <w:vAlign w:val="bottom"/>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trPr>
        <w:tc>
          <w:tcPr>
            <w:tcW w:w="1518" w:type="dxa"/>
            <w:tcBorders>
              <w:top w:val="nil"/>
              <w:bottom w:val="single" w:color="auto" w:sz="4" w:space="0"/>
              <w:right w:val="nil"/>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kern w:val="2"/>
                <w:sz w:val="21"/>
                <w:szCs w:val="21"/>
                <w:lang w:val="en-US" w:eastAsia="zh-CN" w:bidi="ar-SA"/>
              </w:rPr>
            </w:pPr>
          </w:p>
        </w:tc>
        <w:tc>
          <w:tcPr>
            <w:tcW w:w="1662" w:type="dxa"/>
            <w:tcBorders>
              <w:top w:val="nil"/>
              <w:left w:val="nil"/>
              <w:bottom w:val="single" w:color="auto" w:sz="4" w:space="0"/>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GARCH(-1)</w:t>
            </w:r>
          </w:p>
        </w:tc>
        <w:tc>
          <w:tcPr>
            <w:tcW w:w="1626" w:type="dxa"/>
            <w:tcBorders>
              <w:top w:val="nil"/>
              <w:left w:val="nil"/>
              <w:bottom w:val="single" w:color="auto" w:sz="4" w:space="0"/>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0.741692</w:t>
            </w:r>
          </w:p>
        </w:tc>
        <w:tc>
          <w:tcPr>
            <w:tcW w:w="1835" w:type="dxa"/>
            <w:tcBorders>
              <w:top w:val="nil"/>
              <w:left w:val="nil"/>
              <w:bottom w:val="single" w:color="auto" w:sz="4" w:space="0"/>
              <w:right w:val="nil"/>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52.99227</w:t>
            </w:r>
          </w:p>
        </w:tc>
        <w:tc>
          <w:tcPr>
            <w:tcW w:w="1685" w:type="dxa"/>
            <w:tcBorders>
              <w:top w:val="nil"/>
              <w:left w:val="nil"/>
              <w:bottom w:val="single" w:color="auto" w:sz="4" w:space="0"/>
            </w:tcBorders>
            <w:shd w:val="clear" w:color="auto" w:fill="auto"/>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bottom"/>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0.0000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85" w:hRule="atLeast"/>
        </w:trPr>
        <w:tc>
          <w:tcPr>
            <w:tcW w:w="8326" w:type="dxa"/>
            <w:gridSpan w:val="5"/>
            <w:tcBorders>
              <w:top w:val="single" w:color="auto" w:sz="4" w:space="0"/>
              <w:bottom w:val="single" w:color="000000" w:sz="12" w:space="0"/>
            </w:tcBorders>
            <w:shd w:val="clear" w:color="auto" w:fill="auto"/>
            <w:noWrap/>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400" w:lineRule="exact"/>
              <w:ind w:firstLine="420" w:firstLineChars="20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拟合优度</w:t>
            </w:r>
            <w:r>
              <w:rPr>
                <w:rFonts w:hint="eastAsia" w:ascii="宋体" w:hAnsi="宋体" w:eastAsia="宋体" w:cs="宋体"/>
                <w:kern w:val="2"/>
                <w:sz w:val="21"/>
                <w:szCs w:val="21"/>
                <w:lang w:val="en-US" w:eastAsia="zh-CN" w:bidi="ar-SA"/>
              </w:rPr>
              <w:object>
                <v:shape id="_x0000_i1091" o:spt="75" type="#_x0000_t75" style="height:15pt;width:16pt;" o:ole="t" filled="f" o:preferrelative="t" stroked="f" coordsize="21600,21600">
                  <v:path/>
                  <v:fill on="f" focussize="0,0"/>
                  <v:stroke on="f"/>
                  <v:imagedata r:id="rId110" o:title=""/>
                  <o:lock v:ext="edit" aspectratio="t"/>
                  <w10:wrap type="none"/>
                  <w10:anchorlock/>
                </v:shape>
                <o:OLEObject Type="Embed" ProgID="Equation.KSEE3" ShapeID="_x0000_i1091" DrawAspect="Content" ObjectID="_1468075791" r:id="rId109">
                  <o:LockedField>false</o:LockedField>
                </o:OLEObject>
              </w:object>
            </w:r>
            <w:r>
              <w:rPr>
                <w:rFonts w:hint="eastAsia" w:ascii="宋体" w:hAnsi="宋体" w:eastAsia="宋体" w:cs="宋体"/>
                <w:kern w:val="2"/>
                <w:sz w:val="21"/>
                <w:szCs w:val="21"/>
                <w:lang w:val="en-US" w:eastAsia="zh-CN" w:bidi="ar-SA"/>
              </w:rPr>
              <w:t>=0.983115</w:t>
            </w:r>
          </w:p>
        </w:tc>
      </w:tr>
    </w:tbl>
    <w:p>
      <w:pPr>
        <w:keepNext w:val="0"/>
        <w:keepLines w:val="0"/>
        <w:pageBreakBefore w:val="0"/>
        <w:widowControl w:val="0"/>
        <w:kinsoku/>
        <w:wordWrap/>
        <w:overflowPunct/>
        <w:topLinePunct w:val="0"/>
        <w:autoSpaceDE/>
        <w:autoSpaceDN/>
        <w:bidi w:val="0"/>
        <w:adjustRightInd/>
        <w:snapToGrid/>
        <w:spacing w:before="120" w:after="240" w:line="240" w:lineRule="auto"/>
        <w:jc w:val="both"/>
        <w:textAlignment w:val="auto"/>
        <w:rPr>
          <w:sz w:val="21"/>
          <w:szCs w:val="21"/>
        </w:rPr>
      </w:pPr>
      <w:r>
        <w:rPr>
          <w:rFonts w:hint="eastAsia" w:asciiTheme="minorEastAsia" w:hAnsiTheme="minorEastAsia" w:cstheme="minorEastAsia"/>
          <w:sz w:val="21"/>
          <w:szCs w:val="21"/>
        </w:rPr>
        <w:t>数据来源：根据Eviews软件整理而得</w:t>
      </w:r>
      <w:r>
        <w:rPr>
          <w:rFonts w:hint="eastAsia"/>
          <w:sz w:val="21"/>
          <w:szCs w:val="21"/>
        </w:rPr>
        <w:t xml:space="preserve"> </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szCs w:val="24"/>
        </w:rPr>
      </w:pPr>
      <w:r>
        <w:rPr>
          <w:rFonts w:hint="eastAsia" w:asciiTheme="minorEastAsia" w:hAnsiTheme="minorEastAsia" w:cstheme="minorEastAsia"/>
          <w:sz w:val="24"/>
          <w:szCs w:val="24"/>
        </w:rPr>
        <w:t>根据表4.</w:t>
      </w:r>
      <w:r>
        <w:rPr>
          <w:rFonts w:hint="eastAsia" w:asciiTheme="minorEastAsia" w:hAnsiTheme="minorEastAsia" w:cstheme="minorEastAsia"/>
          <w:sz w:val="24"/>
          <w:szCs w:val="24"/>
          <w:lang w:val="en-US" w:eastAsia="zh-CN"/>
        </w:rPr>
        <w:t>7</w:t>
      </w:r>
      <w:r>
        <w:rPr>
          <w:rFonts w:hint="eastAsia" w:asciiTheme="minorEastAsia" w:hAnsiTheme="minorEastAsia" w:cstheme="minorEastAsia"/>
          <w:sz w:val="24"/>
          <w:szCs w:val="24"/>
        </w:rPr>
        <w:t xml:space="preserve"> AR-GARCH模型估计结果可知，如下均值方程和条件方差方程：</w:t>
      </w:r>
    </w:p>
    <w:p>
      <w:pPr>
        <w:keepNext w:val="0"/>
        <w:keepLines w:val="0"/>
        <w:pageBreakBefore w:val="0"/>
        <w:kinsoku/>
        <w:wordWrap/>
        <w:overflowPunct/>
        <w:topLinePunct w:val="0"/>
        <w:autoSpaceDE/>
        <w:autoSpaceDN/>
        <w:bidi w:val="0"/>
        <w:adjustRightInd/>
        <w:snapToGrid/>
        <w:spacing w:line="400" w:lineRule="exact"/>
        <w:ind w:left="719" w:leftChars="114" w:hanging="480" w:hangingChars="200"/>
        <w:jc w:val="both"/>
        <w:textAlignment w:val="auto"/>
        <w:rPr>
          <w:rFonts w:asciiTheme="minorEastAsia" w:hAnsiTheme="minorEastAsia" w:cstheme="minorEastAsia"/>
          <w:sz w:val="24"/>
          <w:szCs w:val="24"/>
        </w:rPr>
      </w:pPr>
      <w:r>
        <w:rPr>
          <w:rFonts w:hint="eastAsia" w:asciiTheme="minorEastAsia" w:hAnsiTheme="minorEastAsia" w:cstheme="minorEastAsia"/>
          <w:position w:val="-12"/>
          <w:sz w:val="24"/>
          <w:szCs w:val="24"/>
        </w:rPr>
        <w:object>
          <v:shape id="_x0000_i1092" o:spt="75" type="#_x0000_t75" style="height:18pt;width:12pt;" o:ole="t" filled="f" o:preferrelative="t" stroked="f" coordsize="21600,21600">
            <v:path/>
            <v:fill on="f" focussize="0,0"/>
            <v:stroke on="f" joinstyle="miter"/>
            <v:imagedata r:id="rId112" o:title=""/>
            <o:lock v:ext="edit" aspectratio="t"/>
            <w10:wrap type="none"/>
            <w10:anchorlock/>
          </v:shape>
          <o:OLEObject Type="Embed" ProgID="Equation.KSEE3" ShapeID="_x0000_i1092" DrawAspect="Content" ObjectID="_1468075792" r:id="rId111">
            <o:LockedField>false</o:LockedField>
          </o:OLEObject>
        </w:object>
      </w:r>
      <w:r>
        <w:rPr>
          <w:rFonts w:hint="eastAsia" w:asciiTheme="minorEastAsia" w:hAnsiTheme="minorEastAsia" w:cstheme="minorEastAsia"/>
          <w:sz w:val="24"/>
          <w:szCs w:val="24"/>
        </w:rPr>
        <w:t>=0.726972*</w:t>
      </w:r>
      <w:r>
        <w:rPr>
          <w:rFonts w:hint="eastAsia" w:asciiTheme="minorEastAsia" w:hAnsiTheme="minorEastAsia" w:cstheme="minorEastAsia"/>
          <w:position w:val="-12"/>
          <w:sz w:val="24"/>
          <w:szCs w:val="24"/>
        </w:rPr>
        <w:object>
          <v:shape id="_x0000_i1093" o:spt="75" type="#_x0000_t75" style="height:18pt;width:19.5pt;" o:ole="t" filled="f" o:preferrelative="t" stroked="f" coordsize="21600,21600">
            <v:path/>
            <v:fill on="f" focussize="0,0"/>
            <v:stroke on="f" joinstyle="miter"/>
            <v:imagedata r:id="rId114" o:title=""/>
            <o:lock v:ext="edit" aspectratio="t"/>
            <w10:wrap type="none"/>
            <w10:anchorlock/>
          </v:shape>
          <o:OLEObject Type="Embed" ProgID="Equation.KSEE3" ShapeID="_x0000_i1093" DrawAspect="Content" ObjectID="_1468075793" r:id="rId113">
            <o:LockedField>false</o:LockedField>
          </o:OLEObject>
        </w:object>
      </w:r>
      <w:r>
        <w:rPr>
          <w:rFonts w:hint="eastAsia" w:asciiTheme="minorEastAsia" w:hAnsiTheme="minorEastAsia" w:cstheme="minorEastAsia"/>
          <w:sz w:val="24"/>
          <w:szCs w:val="24"/>
        </w:rPr>
        <w:t>+ 0.160861*</w:t>
      </w:r>
      <w:r>
        <w:rPr>
          <w:rFonts w:hint="eastAsia" w:asciiTheme="minorEastAsia" w:hAnsiTheme="minorEastAsia" w:cstheme="minorEastAsia"/>
          <w:position w:val="-12"/>
          <w:sz w:val="24"/>
          <w:szCs w:val="24"/>
        </w:rPr>
        <w:object>
          <v:shape id="_x0000_i1094" o:spt="75" type="#_x0000_t75" style="height:18pt;width:19.5pt;" o:ole="t" filled="f" o:preferrelative="t" stroked="f" coordsize="21600,21600">
            <v:path/>
            <v:fill on="f" focussize="0,0"/>
            <v:stroke on="f" joinstyle="miter"/>
            <v:imagedata r:id="rId116" o:title=""/>
            <o:lock v:ext="edit" aspectratio="t"/>
            <w10:wrap type="none"/>
            <w10:anchorlock/>
          </v:shape>
          <o:OLEObject Type="Embed" ProgID="Equation.KSEE3" ShapeID="_x0000_i1094" DrawAspect="Content" ObjectID="_1468075794" r:id="rId115">
            <o:LockedField>false</o:LockedField>
          </o:OLEObject>
        </w:object>
      </w:r>
      <w:r>
        <w:rPr>
          <w:rFonts w:hint="eastAsia" w:asciiTheme="minorEastAsia" w:hAnsiTheme="minorEastAsia" w:cstheme="minorEastAsia"/>
          <w:sz w:val="24"/>
          <w:szCs w:val="24"/>
        </w:rPr>
        <w:t>+ 0.107421*</w:t>
      </w:r>
      <w:r>
        <w:rPr>
          <w:rFonts w:hint="eastAsia" w:asciiTheme="minorEastAsia" w:hAnsiTheme="minorEastAsia" w:cstheme="minorEastAsia"/>
          <w:position w:val="-12"/>
          <w:sz w:val="24"/>
          <w:szCs w:val="24"/>
        </w:rPr>
        <w:object>
          <v:shape id="_x0000_i1095" o:spt="75" type="#_x0000_t75" style="height:18pt;width:19.5pt;" o:ole="t" filled="f" o:preferrelative="t" stroked="f" coordsize="21600,21600">
            <v:path/>
            <v:fill on="f" focussize="0,0"/>
            <v:stroke on="f" joinstyle="miter"/>
            <v:imagedata r:id="rId118" o:title=""/>
            <o:lock v:ext="edit" aspectratio="t"/>
            <w10:wrap type="none"/>
            <w10:anchorlock/>
          </v:shape>
          <o:OLEObject Type="Embed" ProgID="Equation.KSEE3" ShapeID="_x0000_i1095" DrawAspect="Content" ObjectID="_1468075795" r:id="rId117">
            <o:LockedField>false</o:LockedField>
          </o:OLEObject>
        </w:object>
      </w:r>
      <w:r>
        <w:rPr>
          <w:rFonts w:hint="eastAsia" w:asciiTheme="minorEastAsia" w:hAnsiTheme="minorEastAsia" w:cstheme="minorEastAsia"/>
          <w:sz w:val="24"/>
          <w:szCs w:val="24"/>
        </w:rPr>
        <w:t>+</w:t>
      </w:r>
      <w:r>
        <w:rPr>
          <w:rFonts w:hint="eastAsia" w:asciiTheme="minorEastAsia" w:hAnsiTheme="minorEastAsia" w:cstheme="minorEastAsia"/>
          <w:position w:val="-12"/>
          <w:sz w:val="24"/>
          <w:szCs w:val="24"/>
        </w:rPr>
        <w:object>
          <v:shape id="_x0000_i1096" o:spt="75" type="#_x0000_t75" style="height:18pt;width:13.5pt;" o:ole="t" filled="f" o:preferrelative="t" stroked="f" coordsize="21600,21600">
            <v:path/>
            <v:fill on="f" focussize="0,0"/>
            <v:stroke on="f" joinstyle="miter"/>
            <v:imagedata r:id="rId120" o:title=""/>
            <o:lock v:ext="edit" aspectratio="t"/>
            <w10:wrap type="none"/>
            <w10:anchorlock/>
          </v:shape>
          <o:OLEObject Type="Embed" ProgID="Equation.KSEE3" ShapeID="_x0000_i1096" DrawAspect="Content" ObjectID="_1468075796" r:id="rId119">
            <o:LockedField>false</o:LockedField>
          </o:OLEObject>
        </w:object>
      </w:r>
      <w:r>
        <w:rPr>
          <w:rFonts w:hint="eastAsia" w:asciiTheme="minorEastAsia" w:hAnsiTheme="minorEastAsia" w:cstheme="minorEastAsia"/>
          <w:sz w:val="24"/>
          <w:szCs w:val="24"/>
        </w:rPr>
        <w:t xml:space="preserve">       （4.4）</w:t>
      </w:r>
    </w:p>
    <w:p>
      <w:pPr>
        <w:keepNext w:val="0"/>
        <w:keepLines w:val="0"/>
        <w:pageBreakBefore w:val="0"/>
        <w:kinsoku/>
        <w:wordWrap/>
        <w:overflowPunct/>
        <w:topLinePunct w:val="0"/>
        <w:autoSpaceDE/>
        <w:autoSpaceDN/>
        <w:bidi w:val="0"/>
        <w:adjustRightInd/>
        <w:snapToGrid/>
        <w:spacing w:line="400" w:lineRule="exact"/>
        <w:ind w:left="719" w:leftChars="114" w:hanging="480" w:hangingChars="200"/>
        <w:jc w:val="both"/>
        <w:textAlignment w:val="auto"/>
        <w:rPr>
          <w:rFonts w:asciiTheme="minorEastAsia" w:hAnsiTheme="minorEastAsia" w:cstheme="minorEastAsia"/>
          <w:sz w:val="24"/>
          <w:szCs w:val="24"/>
        </w:rPr>
      </w:pPr>
      <w:r>
        <w:rPr>
          <w:rFonts w:asciiTheme="minorEastAsia" w:hAnsiTheme="minorEastAsia" w:cstheme="minorEastAsia"/>
          <w:position w:val="-12"/>
          <w:sz w:val="24"/>
          <w:szCs w:val="24"/>
        </w:rPr>
        <w:object>
          <v:shape id="_x0000_i1097" o:spt="75" type="#_x0000_t75" style="height:19.5pt;width:16.5pt;" o:ole="t" filled="f" o:preferrelative="t" stroked="f" coordsize="21600,21600">
            <v:path/>
            <v:fill on="f" focussize="0,0"/>
            <v:stroke on="f" joinstyle="miter"/>
            <v:imagedata r:id="rId122" o:title=""/>
            <o:lock v:ext="edit" aspectratio="t"/>
            <w10:wrap type="none"/>
            <w10:anchorlock/>
          </v:shape>
          <o:OLEObject Type="Embed" ProgID="Equation.KSEE3" ShapeID="_x0000_i1097" DrawAspect="Content" ObjectID="_1468075797" r:id="rId121">
            <o:LockedField>false</o:LockedField>
          </o:OLEObject>
        </w:object>
      </w:r>
      <w:r>
        <w:rPr>
          <w:rFonts w:hint="eastAsia" w:asciiTheme="minorEastAsia" w:hAnsiTheme="minorEastAsia" w:cstheme="minorEastAsia"/>
          <w:sz w:val="24"/>
          <w:szCs w:val="24"/>
        </w:rPr>
        <w:t>=0.00000518 + 0.181702*</w:t>
      </w:r>
      <w:r>
        <w:rPr>
          <w:rFonts w:hint="eastAsia" w:asciiTheme="minorEastAsia" w:hAnsiTheme="minorEastAsia" w:cstheme="minorEastAsia"/>
          <w:position w:val="-12"/>
          <w:sz w:val="24"/>
          <w:szCs w:val="24"/>
        </w:rPr>
        <w:object>
          <v:shape id="_x0000_i1098" o:spt="75" type="#_x0000_t75" style="height:19.5pt;width:21pt;" o:ole="t" filled="f" o:preferrelative="t" stroked="f" coordsize="21600,21600">
            <v:path/>
            <v:fill on="f" focussize="0,0"/>
            <v:stroke on="f" joinstyle="miter"/>
            <v:imagedata r:id="rId124" o:title=""/>
            <o:lock v:ext="edit" aspectratio="t"/>
            <w10:wrap type="none"/>
            <w10:anchorlock/>
          </v:shape>
          <o:OLEObject Type="Embed" ProgID="Equation.KSEE3" ShapeID="_x0000_i1098" DrawAspect="Content" ObjectID="_1468075798" r:id="rId123">
            <o:LockedField>false</o:LockedField>
          </o:OLEObject>
        </w:object>
      </w:r>
      <w:r>
        <w:rPr>
          <w:rFonts w:hint="eastAsia" w:asciiTheme="minorEastAsia" w:hAnsiTheme="minorEastAsia" w:cstheme="minorEastAsia"/>
          <w:sz w:val="24"/>
          <w:szCs w:val="24"/>
        </w:rPr>
        <w:t>+ 0.741692*</w:t>
      </w:r>
      <w:r>
        <w:rPr>
          <w:rFonts w:hint="eastAsia" w:asciiTheme="minorEastAsia" w:hAnsiTheme="minorEastAsia" w:cstheme="minorEastAsia"/>
          <w:position w:val="-12"/>
          <w:sz w:val="24"/>
          <w:szCs w:val="24"/>
        </w:rPr>
        <w:object>
          <v:shape id="_x0000_i1099" o:spt="75" type="#_x0000_t75" style="height:19.5pt;width:21pt;" o:ole="t" filled="f" o:preferrelative="t" stroked="f" coordsize="21600,21600">
            <v:path/>
            <v:fill on="f" focussize="0,0"/>
            <v:stroke on="f" joinstyle="miter"/>
            <v:imagedata r:id="rId126" o:title=""/>
            <o:lock v:ext="edit" aspectratio="t"/>
            <w10:wrap type="none"/>
            <w10:anchorlock/>
          </v:shape>
          <o:OLEObject Type="Embed" ProgID="Equation.KSEE3" ShapeID="_x0000_i1099" DrawAspect="Content" ObjectID="_1468075799" r:id="rId125">
            <o:LockedField>false</o:LockedField>
          </o:OLEObject>
        </w:object>
      </w:r>
      <w:r>
        <w:rPr>
          <w:rFonts w:hint="eastAsia" w:asciiTheme="minorEastAsia" w:hAnsiTheme="minorEastAsia" w:cstheme="minorEastAsia"/>
          <w:sz w:val="24"/>
          <w:szCs w:val="24"/>
        </w:rPr>
        <w:t xml:space="preserve">           （4.5）</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由于均值方程和条件方差方程各系数的P值均为0，故拒绝系数为零的原假设，说明各个系数显著不为0，ARCH项和GARCH项的系数之和为0.923394小于1，满足GARCH模型的参数约束条件，同时调整后的拟合优度</w:t>
      </w:r>
      <w:r>
        <w:rPr>
          <w:rFonts w:hint="eastAsia" w:asciiTheme="minorEastAsia" w:hAnsiTheme="minorEastAsia" w:cstheme="minorEastAsia"/>
          <w:position w:val="-4"/>
          <w:sz w:val="24"/>
          <w:szCs w:val="24"/>
        </w:rPr>
        <w:object>
          <v:shape id="_x0000_i1100" o:spt="75" type="#_x0000_t75" style="height:15pt;width:16.5pt;" o:ole="t" filled="f" o:preferrelative="t" stroked="f" coordsize="21600,21600">
            <v:path/>
            <v:fill on="f" focussize="0,0"/>
            <v:stroke on="f" joinstyle="miter"/>
            <v:imagedata r:id="rId128" o:title=""/>
            <o:lock v:ext="edit" aspectratio="t"/>
            <w10:wrap type="none"/>
            <w10:anchorlock/>
          </v:shape>
          <o:OLEObject Type="Embed" ProgID="Equation.KSEE3" ShapeID="_x0000_i1100" DrawAspect="Content" ObjectID="_1468075800" r:id="rId127">
            <o:LockedField>false</o:LockedField>
          </o:OLEObject>
        </w:object>
      </w:r>
      <w:r>
        <w:rPr>
          <w:rFonts w:hint="eastAsia" w:asciiTheme="minorEastAsia" w:hAnsiTheme="minorEastAsia" w:cstheme="minorEastAsia"/>
          <w:sz w:val="24"/>
          <w:szCs w:val="24"/>
        </w:rPr>
        <w:t>=0.983115,表明拟合优度较好，由上述分析可知均值方程和条件方差方程成立。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本文基于统计套利的原理在价差的均值回复特征，在价差偏离均值超过一定程度时进行两种国债期货合约的买卖操作，也就是利用价差的波动情况进行分析判断策略的入场点和离场点。因此为了更加精准本文利用自回归方程的残差序列代替去中心化价差序列，</w:t>
      </w:r>
      <w:r>
        <w:rPr>
          <w:rFonts w:hint="eastAsia" w:asciiTheme="minorEastAsia" w:hAnsiTheme="minorEastAsia" w:cstheme="minorEastAsia"/>
          <w:sz w:val="24"/>
          <w:szCs w:val="24"/>
          <w:lang w:val="en-US" w:eastAsia="zh-CN"/>
        </w:rPr>
        <w:t>通过建立的AR-GARCH模型计算价差序列的时变方差，</w:t>
      </w:r>
      <w:r>
        <w:rPr>
          <w:rFonts w:hint="eastAsia" w:asciiTheme="minorEastAsia" w:hAnsiTheme="minorEastAsia" w:cstheme="minorEastAsia"/>
          <w:sz w:val="24"/>
          <w:szCs w:val="24"/>
        </w:rPr>
        <w:t>根据自回归方程的残差序列</w:t>
      </w:r>
      <w:r>
        <w:rPr>
          <w:rFonts w:hint="eastAsia" w:asciiTheme="minorEastAsia" w:hAnsiTheme="minorEastAsia" w:cstheme="minorEastAsia"/>
          <w:position w:val="-12"/>
          <w:sz w:val="24"/>
          <w:szCs w:val="24"/>
        </w:rPr>
        <w:object>
          <v:shape id="_x0000_i1101"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01" DrawAspect="Content" ObjectID="_1468075801" r:id="rId129">
            <o:LockedField>false</o:LockedField>
          </o:OLEObject>
        </w:object>
      </w:r>
      <w:r>
        <w:rPr>
          <w:rFonts w:hint="eastAsia" w:asciiTheme="minorEastAsia" w:hAnsiTheme="minorEastAsia" w:cstheme="minorEastAsia"/>
          <w:sz w:val="24"/>
          <w:szCs w:val="24"/>
        </w:rPr>
        <w:t>偏离均值</w:t>
      </w:r>
      <w:r>
        <w:rPr>
          <w:rFonts w:hint="eastAsia" w:asciiTheme="minorEastAsia" w:hAnsiTheme="minorEastAsia" w:cstheme="minorEastAsia"/>
          <w:position w:val="-6"/>
          <w:sz w:val="24"/>
          <w:szCs w:val="24"/>
        </w:rPr>
        <w:object>
          <v:shape id="_x0000_i1102" o:spt="75" type="#_x0000_t75" style="height:10.5pt;width:12pt;" o:ole="t" filled="f" o:preferrelative="t" stroked="f" coordsize="21600,21600">
            <v:path/>
            <v:fill on="f" focussize="0,0"/>
            <v:stroke on="f" joinstyle="miter"/>
            <v:imagedata r:id="rId132" o:title=""/>
            <o:lock v:ext="edit" aspectratio="t"/>
            <w10:wrap type="none"/>
            <w10:anchorlock/>
          </v:shape>
          <o:OLEObject Type="Embed" ProgID="Equation.KSEE3" ShapeID="_x0000_i1102" DrawAspect="Content" ObjectID="_1468075802" r:id="rId131">
            <o:LockedField>false</o:LockedField>
          </o:OLEObject>
        </w:object>
      </w:r>
      <w:r>
        <w:rPr>
          <w:rFonts w:hint="eastAsia" w:asciiTheme="minorEastAsia" w:hAnsiTheme="minorEastAsia" w:cstheme="minorEastAsia"/>
          <w:sz w:val="24"/>
          <w:szCs w:val="24"/>
        </w:rPr>
        <w:t>的程度与时变标准序列</w:t>
      </w:r>
      <w:r>
        <w:rPr>
          <w:rFonts w:hint="eastAsia" w:asciiTheme="minorEastAsia" w:hAnsiTheme="minorEastAsia" w:cstheme="minorEastAsia"/>
          <w:position w:val="-12"/>
          <w:sz w:val="24"/>
          <w:szCs w:val="24"/>
        </w:rPr>
        <w:object>
          <v:shape id="_x0000_i1103"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03" DrawAspect="Content" ObjectID="_1468075803" r:id="rId133">
            <o:LockedField>false</o:LockedField>
          </o:OLEObject>
        </w:object>
      </w:r>
      <w:r>
        <w:rPr>
          <w:rFonts w:hint="eastAsia" w:asciiTheme="minorEastAsia" w:hAnsiTheme="minorEastAsia" w:cstheme="minorEastAsia"/>
          <w:sz w:val="24"/>
          <w:szCs w:val="24"/>
        </w:rPr>
        <w:t>来确定交易信号。</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kern w:val="2"/>
          <w:sz w:val="28"/>
          <w:szCs w:val="28"/>
          <w:lang w:val="en-US" w:eastAsia="zh-CN" w:bidi="ar-SA"/>
        </w:rPr>
      </w:pPr>
      <w:bookmarkStart w:id="195" w:name="_Toc4217"/>
      <w:r>
        <w:rPr>
          <w:rFonts w:hint="eastAsia" w:ascii="黑体" w:hAnsi="黑体" w:eastAsia="黑体" w:cs="黑体"/>
          <w:b w:val="0"/>
          <w:bCs/>
          <w:kern w:val="2"/>
          <w:sz w:val="28"/>
          <w:szCs w:val="28"/>
          <w:lang w:val="en-US" w:eastAsia="zh-CN" w:bidi="ar-SA"/>
        </w:rPr>
        <w:t>4.3.3 设定套利区间</w:t>
      </w:r>
      <w:bookmarkEnd w:id="195"/>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在套利模型建立完成后</w:t>
      </w:r>
      <w:r>
        <w:rPr>
          <w:rFonts w:hint="eastAsia" w:asciiTheme="minorEastAsia" w:hAnsiTheme="minorEastAsia" w:cstheme="minorEastAsia"/>
          <w:sz w:val="24"/>
          <w:szCs w:val="24"/>
          <w:lang w:val="en-US" w:eastAsia="zh-CN"/>
        </w:rPr>
        <w:t>根据模型得到</w:t>
      </w:r>
      <w:r>
        <w:rPr>
          <w:rFonts w:hint="eastAsia" w:asciiTheme="minorEastAsia" w:hAnsiTheme="minorEastAsia" w:cstheme="minorEastAsia"/>
          <w:sz w:val="24"/>
          <w:szCs w:val="24"/>
        </w:rPr>
        <w:t>残差序列</w:t>
      </w:r>
      <w:r>
        <w:rPr>
          <w:rFonts w:hint="eastAsia" w:asciiTheme="minorEastAsia" w:hAnsiTheme="minorEastAsia" w:cstheme="minorEastAsia"/>
          <w:position w:val="-12"/>
          <w:sz w:val="24"/>
          <w:szCs w:val="24"/>
        </w:rPr>
        <w:object>
          <v:shape id="_x0000_i1104"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04" DrawAspect="Content" ObjectID="_1468075804" r:id="rId135">
            <o:LockedField>false</o:LockedField>
          </o:OLEObject>
        </w:objec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时变标准序列</w:t>
      </w:r>
      <w:r>
        <w:rPr>
          <w:rFonts w:hint="eastAsia" w:asciiTheme="minorEastAsia" w:hAnsiTheme="minorEastAsia" w:cstheme="minorEastAsia"/>
          <w:position w:val="-12"/>
          <w:sz w:val="24"/>
          <w:szCs w:val="24"/>
        </w:rPr>
        <w:object>
          <v:shape id="_x0000_i1105"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05" DrawAspect="Content" ObjectID="_1468075805" r:id="rId136">
            <o:LockedField>false</o:LockedField>
          </o:OLEObject>
        </w:object>
      </w:r>
      <w:r>
        <w:rPr>
          <w:rFonts w:hint="eastAsia" w:asciiTheme="minorEastAsia" w:hAnsiTheme="minorEastAsia" w:cstheme="minorEastAsia"/>
          <w:sz w:val="24"/>
          <w:szCs w:val="24"/>
        </w:rPr>
        <w:t>对套利</w:t>
      </w:r>
      <w:r>
        <w:rPr>
          <w:rFonts w:hint="eastAsia" w:asciiTheme="minorEastAsia" w:hAnsiTheme="minorEastAsia" w:cstheme="minorEastAsia"/>
          <w:sz w:val="24"/>
          <w:szCs w:val="24"/>
          <w:lang w:val="en-US" w:eastAsia="zh-CN"/>
        </w:rPr>
        <w:t>区间</w:t>
      </w:r>
      <w:r>
        <w:rPr>
          <w:rFonts w:hint="eastAsia" w:asciiTheme="minorEastAsia" w:hAnsiTheme="minorEastAsia" w:cstheme="minorEastAsia"/>
          <w:sz w:val="24"/>
          <w:szCs w:val="24"/>
        </w:rPr>
        <w:t>进行</w:t>
      </w:r>
      <w:r>
        <w:rPr>
          <w:rFonts w:hint="eastAsia" w:asciiTheme="minorEastAsia" w:hAnsiTheme="minorEastAsia" w:cstheme="minorEastAsia"/>
          <w:sz w:val="24"/>
          <w:szCs w:val="24"/>
          <w:lang w:val="en-US" w:eastAsia="zh-CN"/>
        </w:rPr>
        <w:t>设定</w:t>
      </w:r>
      <w:r>
        <w:rPr>
          <w:rFonts w:hint="eastAsia" w:asciiTheme="minorEastAsia" w:hAnsiTheme="minorEastAsia" w:cstheme="minorEastAsia"/>
          <w:sz w:val="24"/>
          <w:szCs w:val="24"/>
        </w:rPr>
        <w:t>，在何时买入何时卖出何种合约</w:t>
      </w:r>
      <w:r>
        <w:rPr>
          <w:rFonts w:hint="eastAsia" w:asciiTheme="minorEastAsia" w:hAnsiTheme="minorEastAsia" w:cstheme="minorEastAsia"/>
          <w:sz w:val="24"/>
          <w:szCs w:val="24"/>
          <w:lang w:val="en-US" w:eastAsia="zh-CN"/>
        </w:rPr>
        <w:t>以及交易原则</w:t>
      </w:r>
      <w:r>
        <w:rPr>
          <w:rFonts w:hint="eastAsia" w:asciiTheme="minorEastAsia" w:hAnsiTheme="minorEastAsia" w:cstheme="minorEastAsia"/>
          <w:sz w:val="24"/>
          <w:szCs w:val="24"/>
        </w:rPr>
        <w:t>，因此接下来是对</w:t>
      </w:r>
      <w:r>
        <w:rPr>
          <w:rFonts w:hint="eastAsia" w:asciiTheme="minorEastAsia" w:hAnsiTheme="minorEastAsia" w:cstheme="minorEastAsia"/>
          <w:sz w:val="24"/>
          <w:szCs w:val="24"/>
          <w:lang w:val="en-US" w:eastAsia="zh-CN"/>
        </w:rPr>
        <w:t>套利区间的设</w:t>
      </w:r>
      <w:r>
        <w:rPr>
          <w:rFonts w:hint="eastAsia" w:asciiTheme="minorEastAsia" w:hAnsiTheme="minorEastAsia" w:cstheme="minorEastAsia"/>
          <w:sz w:val="24"/>
          <w:szCs w:val="24"/>
        </w:rPr>
        <w:t>定，但是不能忽略存在价差长期偏离均衡价差（均值）的情况，这样可能造成资金的占用，考虑时间成本以及避免风险，我们需要设计止损值，才能使得策略更加完整和实用，使得策略更加有效。</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利用</w:t>
      </w:r>
      <w:r>
        <w:rPr>
          <w:rFonts w:hint="eastAsia" w:asciiTheme="minorEastAsia" w:hAnsiTheme="minorEastAsia" w:cstheme="minorEastAsia"/>
          <w:sz w:val="24"/>
          <w:szCs w:val="24"/>
        </w:rPr>
        <w:t>自回归方程的残差序列</w:t>
      </w:r>
      <w:r>
        <w:rPr>
          <w:rFonts w:hint="eastAsia" w:asciiTheme="minorEastAsia" w:hAnsiTheme="minorEastAsia" w:cstheme="minorEastAsia"/>
          <w:position w:val="-12"/>
          <w:sz w:val="24"/>
          <w:szCs w:val="24"/>
        </w:rPr>
        <w:object>
          <v:shape id="_x0000_i1106"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06" DrawAspect="Content" ObjectID="_1468075806" r:id="rId137">
            <o:LockedField>false</o:LockedField>
          </o:OLEObject>
        </w:object>
      </w:r>
      <w:r>
        <w:rPr>
          <w:rFonts w:hint="eastAsia" w:asciiTheme="minorEastAsia" w:hAnsiTheme="minorEastAsia" w:cstheme="minorEastAsia"/>
          <w:sz w:val="24"/>
          <w:szCs w:val="24"/>
        </w:rPr>
        <w:t>（下文简称</w:t>
      </w:r>
      <w:r>
        <w:rPr>
          <w:rFonts w:hint="eastAsia" w:asciiTheme="minorEastAsia" w:hAnsiTheme="minorEastAsia" w:cstheme="minorEastAsia"/>
          <w:position w:val="-12"/>
          <w:sz w:val="24"/>
          <w:szCs w:val="24"/>
        </w:rPr>
        <w:object>
          <v:shape id="_x0000_i1107"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07" DrawAspect="Content" ObjectID="_1468075807" r:id="rId138">
            <o:LockedField>false</o:LockedField>
          </o:OLEObject>
        </w:object>
      </w:r>
      <w:r>
        <w:rPr>
          <w:rFonts w:hint="eastAsia" w:asciiTheme="minorEastAsia" w:hAnsiTheme="minorEastAsia" w:cstheme="minorEastAsia"/>
          <w:sz w:val="24"/>
          <w:szCs w:val="24"/>
        </w:rPr>
        <w:t>）偏离其均值</w:t>
      </w:r>
      <w:r>
        <w:rPr>
          <w:rFonts w:hint="eastAsia" w:asciiTheme="minorEastAsia" w:hAnsiTheme="minorEastAsia" w:cstheme="minorEastAsia"/>
          <w:position w:val="-6"/>
          <w:sz w:val="24"/>
          <w:szCs w:val="24"/>
        </w:rPr>
        <w:object>
          <v:shape id="_x0000_i1108" o:spt="75" type="#_x0000_t75" style="height:10.5pt;width:12pt;" o:ole="t" filled="f" o:preferrelative="t" stroked="f" coordsize="21600,21600">
            <v:path/>
            <v:fill on="f" focussize="0,0"/>
            <v:stroke on="f" joinstyle="miter"/>
            <v:imagedata r:id="rId132" o:title=""/>
            <o:lock v:ext="edit" aspectratio="t"/>
            <w10:wrap type="none"/>
            <w10:anchorlock/>
          </v:shape>
          <o:OLEObject Type="Embed" ProgID="Equation.KSEE3" ShapeID="_x0000_i1108" DrawAspect="Content" ObjectID="_1468075808" r:id="rId139">
            <o:LockedField>false</o:LockedField>
          </o:OLEObject>
        </w:object>
      </w:r>
      <w:r>
        <w:rPr>
          <w:rFonts w:hint="eastAsia" w:asciiTheme="minorEastAsia" w:hAnsiTheme="minorEastAsia" w:cstheme="minorEastAsia"/>
          <w:sz w:val="24"/>
          <w:szCs w:val="24"/>
        </w:rPr>
        <w:t>=0的情况来确定何时开仓买卖TS合约和TF合约的，何时进行平仓操作以及何时启动止损。为了使策略便于控制和方便，在已开仓后不能重复开仓，在平仓之后才能再次开仓</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假设存在对称的交易信号，</w:t>
      </w:r>
      <w:r>
        <w:rPr>
          <w:rFonts w:hint="eastAsia" w:asciiTheme="minorEastAsia" w:hAnsiTheme="minorEastAsia" w:cstheme="minorEastAsia"/>
          <w:sz w:val="24"/>
          <w:szCs w:val="24"/>
        </w:rPr>
        <w:t>分别将开仓、止损参数设为n</w: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rPr>
        <w:object>
          <v:shape id="_x0000_i1109"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09" DrawAspect="Content" ObjectID="_1468075809" r:id="rId140">
            <o:LockedField>false</o:LockedField>
          </o:OLEObject>
        </w:object>
      </w:r>
      <w:r>
        <w:rPr>
          <w:rFonts w:hint="eastAsia" w:asciiTheme="minorEastAsia" w:hAnsiTheme="minorEastAsia" w:cstheme="minorEastAsia"/>
          <w:sz w:val="24"/>
          <w:szCs w:val="24"/>
        </w:rPr>
        <w:t>、m</w: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rPr>
        <w:object>
          <v:shape id="_x0000_i1110"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10" DrawAspect="Content" ObjectID="_1468075810" r:id="rId141">
            <o:LockedField>false</o:LockedField>
          </o:OLEObject>
        </w:object>
      </w:r>
      <w:r>
        <w:rPr>
          <w:rFonts w:hint="eastAsia" w:asciiTheme="minorEastAsia" w:hAnsiTheme="minorEastAsia" w:cstheme="minorEastAsia"/>
          <w:sz w:val="24"/>
          <w:szCs w:val="24"/>
          <w:lang w:val="en-US" w:eastAsia="zh-CN"/>
        </w:rPr>
        <w:t>且</w:t>
      </w:r>
      <w:r>
        <w:rPr>
          <w:rFonts w:hint="eastAsia" w:asciiTheme="minorEastAsia" w:hAnsiTheme="minorEastAsia" w:cstheme="minorEastAsia"/>
          <w:sz w:val="24"/>
          <w:szCs w:val="24"/>
        </w:rPr>
        <w:t>n&lt;m</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076190" cy="1876425"/>
            <wp:effectExtent l="0" t="0" r="10160" b="9525"/>
            <wp:docPr id="13" name="图片 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1"/>
                    <pic:cNvPicPr>
                      <a:picLocks noChangeAspect="1"/>
                    </pic:cNvPicPr>
                  </pic:nvPicPr>
                  <pic:blipFill>
                    <a:blip r:embed="rId142"/>
                    <a:stretch>
                      <a:fillRect/>
                    </a:stretch>
                  </pic:blipFill>
                  <pic:spPr>
                    <a:xfrm>
                      <a:off x="0" y="0"/>
                      <a:ext cx="5076190" cy="18764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firstLine="482"/>
        <w:jc w:val="center"/>
        <w:textAlignment w:val="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图4.4  套利区间示意图</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图4.4为套利区间示意图，蓝色线表示</w:t>
      </w:r>
      <w:r>
        <w:rPr>
          <w:rFonts w:hint="eastAsia" w:asciiTheme="minorEastAsia" w:hAnsiTheme="minorEastAsia" w:cstheme="minorEastAsia"/>
          <w:position w:val="-12"/>
          <w:sz w:val="24"/>
          <w:szCs w:val="24"/>
        </w:rPr>
        <w:object>
          <v:shape id="_x0000_i1111"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11" DrawAspect="Content" ObjectID="_1468075811" r:id="rId143">
            <o:LockedField>false</o:LockedField>
          </o:OLEObject>
        </w:object>
      </w:r>
      <w:r>
        <w:rPr>
          <w:rFonts w:hint="eastAsia" w:asciiTheme="minorEastAsia" w:hAnsiTheme="minorEastAsia" w:cstheme="minorEastAsia"/>
          <w:sz w:val="24"/>
          <w:szCs w:val="24"/>
          <w:lang w:val="en-US" w:eastAsia="zh-CN"/>
        </w:rPr>
        <w:t>序列，黑色线表示</w:t>
      </w:r>
      <w:r>
        <w:rPr>
          <w:rFonts w:hint="eastAsia" w:asciiTheme="minorEastAsia" w:hAnsiTheme="minorEastAsia" w:cstheme="minorEastAsia"/>
          <w:sz w:val="24"/>
          <w:szCs w:val="24"/>
        </w:rPr>
        <w:t>n</w: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rPr>
        <w:object>
          <v:shape id="_x0000_i1112"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12" DrawAspect="Content" ObjectID="_1468075812" r:id="rId144">
            <o:LockedField>false</o:LockedField>
          </o:OLEObject>
        </w:object>
      </w:r>
      <w:r>
        <w:rPr>
          <w:rFonts w:hint="eastAsia" w:asciiTheme="minorEastAsia" w:hAnsiTheme="minorEastAsia" w:cstheme="minorEastAsia"/>
          <w:sz w:val="24"/>
          <w:szCs w:val="24"/>
          <w:lang w:val="en-US" w:eastAsia="zh-CN"/>
        </w:rPr>
        <w:t>，即开仓信号，橙色线表示</w:t>
      </w:r>
      <w:r>
        <w:rPr>
          <w:rFonts w:hint="eastAsia" w:asciiTheme="minorEastAsia" w:hAnsiTheme="minorEastAsia" w:cstheme="minorEastAsia"/>
          <w:sz w:val="24"/>
          <w:szCs w:val="24"/>
        </w:rPr>
        <w:t>m</w: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rPr>
        <w:object>
          <v:shape id="_x0000_i1113"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13" DrawAspect="Content" ObjectID="_1468075813" r:id="rId145">
            <o:LockedField>false</o:LockedField>
          </o:OLEObject>
        </w:object>
      </w:r>
      <w:r>
        <w:rPr>
          <w:rFonts w:hint="eastAsia" w:asciiTheme="minorEastAsia" w:hAnsiTheme="minorEastAsia" w:cstheme="minorEastAsia"/>
          <w:sz w:val="24"/>
          <w:szCs w:val="24"/>
          <w:lang w:val="en-US" w:eastAsia="zh-CN"/>
        </w:rPr>
        <w:t>，即止损信号，其中蓝色点时开仓，买入价差组合，橙色点时平仓。</w:t>
      </w:r>
      <w:r>
        <w:rPr>
          <w:rFonts w:hint="eastAsia" w:asciiTheme="minorEastAsia" w:hAnsiTheme="minorEastAsia" w:cstheme="minorEastAsia"/>
          <w:sz w:val="24"/>
          <w:szCs w:val="24"/>
        </w:rPr>
        <w:t>具体</w:t>
      </w:r>
      <w:r>
        <w:rPr>
          <w:rFonts w:hint="eastAsia" w:asciiTheme="minorEastAsia" w:hAnsiTheme="minorEastAsia" w:cstheme="minorEastAsia"/>
          <w:sz w:val="24"/>
          <w:szCs w:val="24"/>
          <w:lang w:val="en-US" w:eastAsia="zh-CN"/>
        </w:rPr>
        <w:t>套利区间及套利交易</w:t>
      </w:r>
      <w:r>
        <w:rPr>
          <w:rFonts w:hint="eastAsia" w:asciiTheme="minorEastAsia" w:hAnsiTheme="minorEastAsia" w:cstheme="minorEastAsia"/>
          <w:sz w:val="24"/>
          <w:szCs w:val="24"/>
        </w:rPr>
        <w:t>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1）若残差序列</w:t>
      </w:r>
      <w:r>
        <w:rPr>
          <w:rFonts w:hint="eastAsia" w:asciiTheme="minorEastAsia" w:hAnsiTheme="minorEastAsia" w:cstheme="minorEastAsia"/>
          <w:position w:val="-12"/>
          <w:sz w:val="24"/>
          <w:szCs w:val="24"/>
        </w:rPr>
        <w:object>
          <v:shape id="_x0000_i1114"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14" DrawAspect="Content" ObjectID="_1468075814" r:id="rId146">
            <o:LockedField>false</o:LockedField>
          </o:OLEObject>
        </w:object>
      </w:r>
      <w:r>
        <w:rPr>
          <w:rFonts w:hint="eastAsia" w:asciiTheme="minorEastAsia" w:hAnsiTheme="minorEastAsia" w:cstheme="minorEastAsia"/>
          <w:sz w:val="24"/>
          <w:szCs w:val="24"/>
        </w:rPr>
        <w:t>&gt;n*</w:t>
      </w:r>
      <w:r>
        <w:rPr>
          <w:rFonts w:hint="eastAsia" w:asciiTheme="minorEastAsia" w:hAnsiTheme="minorEastAsia" w:cstheme="minorEastAsia"/>
          <w:position w:val="-12"/>
          <w:sz w:val="24"/>
          <w:szCs w:val="24"/>
        </w:rPr>
        <w:object>
          <v:shape id="_x0000_i1115"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15" DrawAspect="Content" ObjectID="_1468075815" r:id="rId147">
            <o:LockedField>false</o:LockedField>
          </o:OLEObject>
        </w:object>
      </w:r>
      <w:r>
        <w:rPr>
          <w:rFonts w:hint="eastAsia" w:asciiTheme="minorEastAsia" w:hAnsiTheme="minorEastAsia" w:cstheme="minorEastAsia"/>
          <w:sz w:val="24"/>
          <w:szCs w:val="24"/>
        </w:rPr>
        <w:t>且</w:t>
      </w:r>
      <w:r>
        <w:rPr>
          <w:rFonts w:hint="eastAsia" w:asciiTheme="minorEastAsia" w:hAnsiTheme="minorEastAsia" w:cstheme="minorEastAsia"/>
          <w:position w:val="-12"/>
          <w:sz w:val="24"/>
          <w:szCs w:val="24"/>
        </w:rPr>
        <w:object>
          <v:shape id="_x0000_i1116"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16" DrawAspect="Content" ObjectID="_1468075816" r:id="rId148">
            <o:LockedField>false</o:LockedField>
          </o:OLEObject>
        </w:object>
      </w:r>
      <w:r>
        <w:rPr>
          <w:rFonts w:hint="eastAsia" w:asciiTheme="minorEastAsia" w:hAnsiTheme="minorEastAsia" w:cstheme="minorEastAsia"/>
          <w:sz w:val="24"/>
          <w:szCs w:val="24"/>
        </w:rPr>
        <w:t>&lt;m*</w:t>
      </w:r>
      <w:r>
        <w:rPr>
          <w:rFonts w:hint="eastAsia" w:asciiTheme="minorEastAsia" w:hAnsiTheme="minorEastAsia" w:cstheme="minorEastAsia"/>
          <w:position w:val="-12"/>
          <w:sz w:val="24"/>
          <w:szCs w:val="24"/>
        </w:rPr>
        <w:object>
          <v:shape id="_x0000_i1117"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17" DrawAspect="Content" ObjectID="_1468075817" r:id="rId149">
            <o:LockedField>false</o:LockedField>
          </o:OLEObject>
        </w:object>
      </w:r>
      <w:r>
        <w:rPr>
          <w:rFonts w:hint="eastAsia" w:asciiTheme="minorEastAsia" w:hAnsiTheme="minorEastAsia" w:cstheme="minorEastAsia"/>
          <w:sz w:val="24"/>
          <w:szCs w:val="24"/>
        </w:rPr>
        <w:t>时，2年期国债期货TS2009合约相对于5年期国债期货TS2009合约被高估，因此根据低买高卖的原则，做空价差，即卖出10手TS合约，同时买入</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手TF合约，然后在</w:t>
      </w:r>
      <w:r>
        <w:rPr>
          <w:rFonts w:hint="eastAsia" w:asciiTheme="minorEastAsia" w:hAnsiTheme="minorEastAsia" w:cstheme="minorEastAsia"/>
          <w:position w:val="-12"/>
          <w:sz w:val="24"/>
          <w:szCs w:val="24"/>
        </w:rPr>
        <w:object>
          <v:shape id="_x0000_i1118"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18" DrawAspect="Content" ObjectID="_1468075818" r:id="rId150">
            <o:LockedField>false</o:LockedField>
          </o:OLEObject>
        </w:object>
      </w:r>
      <w:r>
        <w:rPr>
          <w:rFonts w:hint="eastAsia" w:asciiTheme="minorEastAsia" w:hAnsiTheme="minorEastAsia" w:cstheme="minorEastAsia"/>
          <w:sz w:val="24"/>
          <w:szCs w:val="24"/>
        </w:rPr>
        <w:t>回复到均值</w:t>
      </w:r>
      <w:r>
        <w:rPr>
          <w:rFonts w:hint="eastAsia" w:asciiTheme="minorEastAsia" w:hAnsiTheme="minorEastAsia" w:cstheme="minorEastAsia"/>
          <w:position w:val="-6"/>
          <w:sz w:val="24"/>
          <w:szCs w:val="24"/>
        </w:rPr>
        <w:object>
          <v:shape id="_x0000_i1119" o:spt="75" type="#_x0000_t75" style="height:10.5pt;width:12pt;" o:ole="t" filled="f" o:preferrelative="t" stroked="f" coordsize="21600,21600">
            <v:path/>
            <v:fill on="f" focussize="0,0"/>
            <v:stroke on="f" joinstyle="miter"/>
            <v:imagedata r:id="rId132" o:title=""/>
            <o:lock v:ext="edit" aspectratio="t"/>
            <w10:wrap type="none"/>
            <w10:anchorlock/>
          </v:shape>
          <o:OLEObject Type="Embed" ProgID="Equation.KSEE3" ShapeID="_x0000_i1119" DrawAspect="Content" ObjectID="_1468075819" r:id="rId151">
            <o:LockedField>false</o:LockedField>
          </o:OLEObject>
        </w:object>
      </w:r>
      <w:r>
        <w:rPr>
          <w:rFonts w:hint="eastAsia" w:asciiTheme="minorEastAsia" w:hAnsiTheme="minorEastAsia" w:cstheme="minorEastAsia"/>
          <w:sz w:val="24"/>
          <w:szCs w:val="24"/>
        </w:rPr>
        <w:t>时，进行反向操作，买入10手TS合约，同时卖出</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手TF合约，进行平仓，此次做空价差的套利被定义为正向套利。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2）若</w:t>
      </w:r>
      <w:r>
        <w:rPr>
          <w:rFonts w:hint="eastAsia" w:asciiTheme="minorEastAsia" w:hAnsiTheme="minorEastAsia" w:cstheme="minorEastAsia"/>
          <w:position w:val="-12"/>
          <w:sz w:val="24"/>
          <w:szCs w:val="24"/>
        </w:rPr>
        <w:object>
          <v:shape id="_x0000_i1120"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20" DrawAspect="Content" ObjectID="_1468075820" r:id="rId152">
            <o:LockedField>false</o:LockedField>
          </o:OLEObject>
        </w:object>
      </w:r>
      <w:r>
        <w:rPr>
          <w:rFonts w:hint="eastAsia" w:asciiTheme="minorEastAsia" w:hAnsiTheme="minorEastAsia" w:cstheme="minorEastAsia"/>
          <w:sz w:val="24"/>
          <w:szCs w:val="24"/>
        </w:rPr>
        <w:t>&lt;-n*</w:t>
      </w:r>
      <w:r>
        <w:rPr>
          <w:rFonts w:hint="eastAsia" w:asciiTheme="minorEastAsia" w:hAnsiTheme="minorEastAsia" w:cstheme="minorEastAsia"/>
          <w:position w:val="-12"/>
          <w:sz w:val="24"/>
          <w:szCs w:val="24"/>
        </w:rPr>
        <w:object>
          <v:shape id="_x0000_i1121"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21" DrawAspect="Content" ObjectID="_1468075821" r:id="rId153">
            <o:LockedField>false</o:LockedField>
          </o:OLEObject>
        </w:object>
      </w:r>
      <w:r>
        <w:rPr>
          <w:rFonts w:hint="eastAsia" w:asciiTheme="minorEastAsia" w:hAnsiTheme="minorEastAsia" w:cstheme="minorEastAsia"/>
          <w:sz w:val="24"/>
          <w:szCs w:val="24"/>
        </w:rPr>
        <w:t>且</w:t>
      </w:r>
      <w:r>
        <w:rPr>
          <w:rFonts w:hint="eastAsia" w:asciiTheme="minorEastAsia" w:hAnsiTheme="minorEastAsia" w:cstheme="minorEastAsia"/>
          <w:position w:val="-12"/>
          <w:sz w:val="24"/>
          <w:szCs w:val="24"/>
        </w:rPr>
        <w:object>
          <v:shape id="_x0000_i1122"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22" DrawAspect="Content" ObjectID="_1468075822" r:id="rId154">
            <o:LockedField>false</o:LockedField>
          </o:OLEObject>
        </w:object>
      </w:r>
      <w:r>
        <w:rPr>
          <w:rFonts w:hint="eastAsia" w:asciiTheme="minorEastAsia" w:hAnsiTheme="minorEastAsia" w:cstheme="minorEastAsia"/>
          <w:sz w:val="24"/>
          <w:szCs w:val="24"/>
        </w:rPr>
        <w:t>&gt;- m*</w:t>
      </w:r>
      <w:r>
        <w:rPr>
          <w:rFonts w:hint="eastAsia" w:asciiTheme="minorEastAsia" w:hAnsiTheme="minorEastAsia" w:cstheme="minorEastAsia"/>
          <w:position w:val="-12"/>
          <w:sz w:val="24"/>
          <w:szCs w:val="24"/>
        </w:rPr>
        <w:object>
          <v:shape id="_x0000_i1123"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23" DrawAspect="Content" ObjectID="_1468075823" r:id="rId155">
            <o:LockedField>false</o:LockedField>
          </o:OLEObject>
        </w:object>
      </w:r>
      <w:r>
        <w:rPr>
          <w:rFonts w:hint="eastAsia" w:asciiTheme="minorEastAsia" w:hAnsiTheme="minorEastAsia" w:cstheme="minorEastAsia"/>
          <w:sz w:val="24"/>
          <w:szCs w:val="24"/>
        </w:rPr>
        <w:t>时，2年期国债期货TS2009合约相对于5年期国债期货TS2009合约被低估，因此根据低买高卖的原则，做多价差，即买入10手TS合约，同时卖出</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手TF合约，然后在</w:t>
      </w:r>
      <w:r>
        <w:rPr>
          <w:rFonts w:hint="eastAsia" w:asciiTheme="minorEastAsia" w:hAnsiTheme="minorEastAsia" w:cstheme="minorEastAsia"/>
          <w:position w:val="-12"/>
          <w:sz w:val="24"/>
          <w:szCs w:val="24"/>
        </w:rPr>
        <w:object>
          <v:shape id="_x0000_i1124"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24" DrawAspect="Content" ObjectID="_1468075824" r:id="rId156">
            <o:LockedField>false</o:LockedField>
          </o:OLEObject>
        </w:object>
      </w:r>
      <w:r>
        <w:rPr>
          <w:rFonts w:hint="eastAsia" w:asciiTheme="minorEastAsia" w:hAnsiTheme="minorEastAsia" w:cstheme="minorEastAsia"/>
          <w:sz w:val="24"/>
          <w:szCs w:val="24"/>
        </w:rPr>
        <w:t>回复到均值</w:t>
      </w:r>
      <w:r>
        <w:rPr>
          <w:rFonts w:hint="eastAsia" w:asciiTheme="minorEastAsia" w:hAnsiTheme="minorEastAsia" w:cstheme="minorEastAsia"/>
          <w:position w:val="-6"/>
          <w:sz w:val="24"/>
          <w:szCs w:val="24"/>
        </w:rPr>
        <w:object>
          <v:shape id="_x0000_i1125" o:spt="75" type="#_x0000_t75" style="height:10.5pt;width:12pt;" o:ole="t" filled="f" o:preferrelative="t" stroked="f" coordsize="21600,21600">
            <v:path/>
            <v:fill on="f" focussize="0,0"/>
            <v:stroke on="f" joinstyle="miter"/>
            <v:imagedata r:id="rId132" o:title=""/>
            <o:lock v:ext="edit" aspectratio="t"/>
            <w10:wrap type="none"/>
            <w10:anchorlock/>
          </v:shape>
          <o:OLEObject Type="Embed" ProgID="Equation.KSEE3" ShapeID="_x0000_i1125" DrawAspect="Content" ObjectID="_1468075825" r:id="rId157">
            <o:LockedField>false</o:LockedField>
          </o:OLEObject>
        </w:object>
      </w:r>
      <w:r>
        <w:rPr>
          <w:rFonts w:hint="eastAsia" w:asciiTheme="minorEastAsia" w:hAnsiTheme="minorEastAsia" w:cstheme="minorEastAsia"/>
          <w:sz w:val="24"/>
          <w:szCs w:val="24"/>
        </w:rPr>
        <w:t>时，进行反向操作，卖出10手TS合约，同时买入</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手TF合约，进行平仓，此次做多价差的套利被定义为反向套利。</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asciiTheme="minorEastAsia" w:hAnsiTheme="minorEastAsia" w:cstheme="minorEastAsia"/>
          <w:sz w:val="24"/>
          <w:szCs w:val="24"/>
        </w:rPr>
      </w:pPr>
      <w:r>
        <w:rPr>
          <w:rFonts w:hint="eastAsia" w:asciiTheme="minorEastAsia" w:hAnsiTheme="minorEastAsia" w:cstheme="minorEastAsia"/>
          <w:sz w:val="24"/>
          <w:szCs w:val="24"/>
        </w:rPr>
        <w:t>3）若</w:t>
      </w:r>
      <w:r>
        <w:rPr>
          <w:rFonts w:hint="eastAsia" w:asciiTheme="minorEastAsia" w:hAnsiTheme="minorEastAsia" w:cstheme="minorEastAsia"/>
          <w:position w:val="-12"/>
          <w:sz w:val="24"/>
          <w:szCs w:val="24"/>
        </w:rPr>
        <w:object>
          <v:shape id="_x0000_i1126"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26" DrawAspect="Content" ObjectID="_1468075826" r:id="rId158">
            <o:LockedField>false</o:LockedField>
          </o:OLEObject>
        </w:object>
      </w:r>
      <w:r>
        <w:rPr>
          <w:rFonts w:hint="eastAsia" w:asciiTheme="minorEastAsia" w:hAnsiTheme="minorEastAsia" w:cstheme="minorEastAsia"/>
          <w:sz w:val="24"/>
          <w:szCs w:val="24"/>
        </w:rPr>
        <w:t>&gt; m*</w:t>
      </w:r>
      <w:r>
        <w:rPr>
          <w:rFonts w:hint="eastAsia" w:asciiTheme="minorEastAsia" w:hAnsiTheme="minorEastAsia" w:cstheme="minorEastAsia"/>
          <w:position w:val="-12"/>
          <w:sz w:val="24"/>
          <w:szCs w:val="24"/>
        </w:rPr>
        <w:object>
          <v:shape id="_x0000_i1127"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27" DrawAspect="Content" ObjectID="_1468075827" r:id="rId159">
            <o:LockedField>false</o:LockedField>
          </o:OLEObject>
        </w:object>
      </w:r>
      <w:r>
        <w:rPr>
          <w:rFonts w:hint="eastAsia" w:asciiTheme="minorEastAsia" w:hAnsiTheme="minorEastAsia" w:cstheme="minorEastAsia"/>
          <w:sz w:val="24"/>
          <w:szCs w:val="24"/>
        </w:rPr>
        <w:t>时，可能出现价差长期偏离</w:t>
      </w:r>
      <w:r>
        <w:rPr>
          <w:rFonts w:hint="eastAsia" w:asciiTheme="minorEastAsia" w:hAnsiTheme="minorEastAsia" w:cstheme="minorEastAsia"/>
          <w:sz w:val="24"/>
          <w:szCs w:val="24"/>
          <w:lang w:val="en-US" w:eastAsia="zh-CN"/>
        </w:rPr>
        <w:t>均衡价差</w:t>
      </w:r>
      <w:r>
        <w:rPr>
          <w:rFonts w:hint="eastAsia" w:asciiTheme="minorEastAsia" w:hAnsiTheme="minorEastAsia" w:cstheme="minorEastAsia"/>
          <w:sz w:val="24"/>
          <w:szCs w:val="24"/>
        </w:rPr>
        <w:t>，2年期国债期货TS2009合约将在很长的时间高于5年期国债期货TS2009合约，基于资金的时间成本以及安全性，在此时对之前的头寸进行平仓，启动止损程序及时进行止损，此时应买入10手TS合约，同时卖出</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手TF合约，进行平仓。</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asciiTheme="minorEastAsia" w:hAnsiTheme="minorEastAsia" w:cstheme="minorEastAsia"/>
          <w:sz w:val="24"/>
          <w:szCs w:val="24"/>
        </w:rPr>
      </w:pPr>
      <w:r>
        <w:rPr>
          <w:rFonts w:hint="eastAsia" w:asciiTheme="minorEastAsia" w:hAnsiTheme="minorEastAsia" w:cstheme="minorEastAsia"/>
          <w:sz w:val="24"/>
          <w:szCs w:val="24"/>
        </w:rPr>
        <w:t>4）若</w:t>
      </w:r>
      <w:r>
        <w:rPr>
          <w:rFonts w:hint="eastAsia" w:asciiTheme="minorEastAsia" w:hAnsiTheme="minorEastAsia" w:cstheme="minorEastAsia"/>
          <w:position w:val="-12"/>
          <w:sz w:val="24"/>
          <w:szCs w:val="24"/>
        </w:rPr>
        <w:object>
          <v:shape id="_x0000_i1128"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28" DrawAspect="Content" ObjectID="_1468075828" r:id="rId160">
            <o:LockedField>false</o:LockedField>
          </o:OLEObject>
        </w:object>
      </w:r>
      <w:r>
        <w:rPr>
          <w:rFonts w:hint="eastAsia" w:asciiTheme="minorEastAsia" w:hAnsiTheme="minorEastAsia" w:cstheme="minorEastAsia"/>
          <w:sz w:val="24"/>
          <w:szCs w:val="24"/>
        </w:rPr>
        <w:t>&lt;-m*</w:t>
      </w:r>
      <w:r>
        <w:rPr>
          <w:rFonts w:hint="eastAsia" w:asciiTheme="minorEastAsia" w:hAnsiTheme="minorEastAsia" w:cstheme="minorEastAsia"/>
          <w:position w:val="-12"/>
          <w:sz w:val="24"/>
          <w:szCs w:val="24"/>
        </w:rPr>
        <w:object>
          <v:shape id="_x0000_i1129"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29" DrawAspect="Content" ObjectID="_1468075829" r:id="rId161">
            <o:LockedField>false</o:LockedField>
          </o:OLEObject>
        </w:object>
      </w:r>
      <w:r>
        <w:rPr>
          <w:rFonts w:hint="eastAsia" w:asciiTheme="minorEastAsia" w:hAnsiTheme="minorEastAsia" w:cstheme="minorEastAsia"/>
          <w:sz w:val="24"/>
          <w:szCs w:val="24"/>
        </w:rPr>
        <w:t>时，可能出现2年期国债期货TS2009合约将在很长的时间低于5年期国债期货TS2009合约，基于资金的时间成本以及安全性，对之前的头寸进行平仓，此时应卖出10手TS合约，同时买入</w:t>
      </w: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rPr>
        <w:t>手TF合约，进行平仓止损。</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lang w:val="en-US" w:eastAsia="zh-CN"/>
        </w:rPr>
      </w:pPr>
      <w:bookmarkStart w:id="196" w:name="_Toc18370"/>
      <w:bookmarkStart w:id="197" w:name="_Toc27225"/>
      <w:bookmarkStart w:id="198" w:name="_Toc10089"/>
      <w:bookmarkStart w:id="199" w:name="_Toc26986"/>
      <w:bookmarkStart w:id="200" w:name="_Toc15650"/>
      <w:r>
        <w:rPr>
          <w:rFonts w:hint="eastAsia" w:ascii="黑体" w:hAnsi="黑体" w:eastAsia="黑体" w:cs="黑体"/>
          <w:b w:val="0"/>
          <w:bCs/>
          <w:lang w:val="en-US" w:eastAsia="zh-CN"/>
        </w:rPr>
        <w:t>4.4</w:t>
      </w:r>
      <w:r>
        <w:rPr>
          <w:rFonts w:hint="eastAsia" w:ascii="黑体" w:hAnsi="黑体" w:eastAsia="黑体" w:cs="黑体"/>
          <w:b w:val="0"/>
          <w:bCs/>
        </w:rPr>
        <w:t>跨品种套利策略</w:t>
      </w:r>
      <w:r>
        <w:rPr>
          <w:rFonts w:hint="eastAsia" w:ascii="黑体" w:hAnsi="黑体" w:eastAsia="黑体" w:cs="黑体"/>
          <w:b w:val="0"/>
          <w:bCs/>
          <w:lang w:val="en-US" w:eastAsia="zh-CN"/>
        </w:rPr>
        <w:t>设计</w:t>
      </w:r>
      <w:bookmarkEnd w:id="19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本文是利用夏普比率最大化以及套利结果最优来寻求最优套利策略，故此策略设计部分首先需要对套利策略评价指标的设定以及套利交易成本进行分析，之后进行交易信号设计。</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eastAsia="黑体" w:cs="黑体"/>
          <w:b w:val="0"/>
          <w:bCs/>
          <w:kern w:val="2"/>
          <w:sz w:val="28"/>
          <w:szCs w:val="28"/>
          <w:lang w:val="en-US" w:eastAsia="zh-CN" w:bidi="ar-SA"/>
        </w:rPr>
      </w:pPr>
      <w:bookmarkStart w:id="201" w:name="_Toc15103"/>
      <w:bookmarkStart w:id="202" w:name="_Toc22504"/>
      <w:bookmarkStart w:id="203" w:name="_Toc1818"/>
      <w:bookmarkStart w:id="204" w:name="_Toc25760"/>
      <w:bookmarkStart w:id="205" w:name="_Toc26472"/>
      <w:r>
        <w:rPr>
          <w:rFonts w:hint="eastAsia" w:ascii="黑体" w:hAnsi="黑体" w:eastAsia="黑体" w:cs="黑体"/>
          <w:b w:val="0"/>
          <w:bCs/>
          <w:kern w:val="2"/>
          <w:sz w:val="28"/>
          <w:szCs w:val="28"/>
          <w:lang w:val="en-US" w:eastAsia="zh-CN" w:bidi="ar-SA"/>
        </w:rPr>
        <w:t>4.4.1 套利策略评价指标</w:t>
      </w:r>
      <w:bookmarkEnd w:id="201"/>
      <w:bookmarkEnd w:id="202"/>
      <w:bookmarkEnd w:id="203"/>
      <w:bookmarkEnd w:id="204"/>
      <w:r>
        <w:rPr>
          <w:rFonts w:hint="eastAsia" w:ascii="黑体" w:hAnsi="黑体" w:eastAsia="黑体" w:cs="黑体"/>
          <w:b w:val="0"/>
          <w:bCs/>
          <w:kern w:val="2"/>
          <w:sz w:val="28"/>
          <w:szCs w:val="28"/>
          <w:lang w:val="en-US" w:eastAsia="zh-CN" w:bidi="ar-SA"/>
        </w:rPr>
        <w:t>的设定</w:t>
      </w:r>
      <w:bookmarkEnd w:id="20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由于本文要以夏普比率最大化作为寻找最优开仓阈值的目标，因此在本文对交易信号设计前需要对策略评价体系进行介绍，主要为后文止损信号、开平仓信号设计做铺垫。</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1.套利</w:t>
      </w:r>
      <w:r>
        <w:rPr>
          <w:rFonts w:hint="eastAsia" w:asciiTheme="minorEastAsia" w:hAnsiTheme="minorEastAsia" w:cstheme="minorEastAsia"/>
          <w:sz w:val="24"/>
        </w:rPr>
        <w:t>交易</w:t>
      </w:r>
      <w:r>
        <w:rPr>
          <w:rFonts w:hint="eastAsia" w:asciiTheme="minorEastAsia" w:hAnsiTheme="minorEastAsia" w:cstheme="minorEastAsia"/>
          <w:sz w:val="24"/>
          <w:lang w:val="en-US" w:eastAsia="zh-CN"/>
        </w:rPr>
        <w:t>的收益计算</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rPr>
        <w:t>套利策略的盈利能力是交易者最为关注的，净利润以及最终权益是最为直观看出策略的盈亏结果的，因此只有保证了套利策略有正的净利润和出现资产升值才能说明此套利策略为好的策略。在本文中每完成一次套利交易从中获得的利润的计算如下式：</w:t>
      </w:r>
    </w:p>
    <w:p>
      <w:pPr>
        <w:keepNext w:val="0"/>
        <w:keepLines w:val="0"/>
        <w:pageBreakBefore w:val="0"/>
        <w:kinsoku/>
        <w:wordWrap/>
        <w:overflowPunct/>
        <w:topLinePunct w:val="0"/>
        <w:autoSpaceDE/>
        <w:autoSpaceDN/>
        <w:bidi w:val="0"/>
        <w:adjustRightInd/>
        <w:snapToGrid/>
        <w:spacing w:line="400" w:lineRule="exact"/>
        <w:jc w:val="both"/>
        <w:textAlignment w:val="auto"/>
        <w:rPr>
          <w:rFonts w:asciiTheme="minorEastAsia" w:hAnsiTheme="minorEastAsia" w:cstheme="minorEastAsia"/>
          <w:sz w:val="24"/>
        </w:rPr>
      </w:pPr>
      <w:r>
        <w:rPr>
          <w:rFonts w:hint="eastAsia" w:asciiTheme="minorEastAsia" w:hAnsiTheme="minorEastAsia" w:cstheme="minorEastAsia"/>
          <w:sz w:val="24"/>
        </w:rPr>
        <w:t xml:space="preserve">正向套利：  </w:t>
      </w:r>
      <w:r>
        <w:rPr>
          <w:rFonts w:hint="eastAsia" w:asciiTheme="minorEastAsia" w:hAnsiTheme="minorEastAsia" w:cstheme="minorEastAsia"/>
          <w:position w:val="-12"/>
          <w:sz w:val="24"/>
        </w:rPr>
        <w:object>
          <v:shape id="_x0000_i1130" o:spt="75" type="#_x0000_t75" style="height:18pt;width:13.5pt;" o:ole="t" filled="f" o:preferrelative="t" stroked="f" coordsize="21600,21600">
            <v:path/>
            <v:fill on="f" focussize="0,0"/>
            <v:stroke on="f" joinstyle="miter"/>
            <v:imagedata r:id="rId163" o:title=""/>
            <o:lock v:ext="edit" aspectratio="t"/>
            <w10:wrap type="none"/>
            <w10:anchorlock/>
          </v:shape>
          <o:OLEObject Type="Embed" ProgID="Equation.KSEE3" ShapeID="_x0000_i1130" DrawAspect="Content" ObjectID="_1468075830" r:id="rId162">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10*</w:t>
      </w:r>
      <w:r>
        <w:rPr>
          <w:rFonts w:hint="eastAsia" w:asciiTheme="minorEastAsia" w:hAnsiTheme="minorEastAsia" w:cstheme="minorEastAsia"/>
          <w:sz w:val="24"/>
          <w:lang w:eastAsia="zh-CN"/>
        </w:rPr>
        <w:t>（</w:t>
      </w:r>
      <w:r>
        <w:rPr>
          <w:rFonts w:hint="eastAsia" w:asciiTheme="minorEastAsia" w:hAnsiTheme="minorEastAsia" w:cstheme="minorEastAsia"/>
          <w:position w:val="-12"/>
          <w:sz w:val="24"/>
        </w:rPr>
        <w:object>
          <v:shape id="_x0000_i1131" o:spt="75" type="#_x0000_t75" style="height:18pt;width:17.25pt;" o:ole="t" filled="f" o:preferrelative="t" stroked="f" coordsize="21600,21600">
            <v:path/>
            <v:fill on="f" focussize="0,0"/>
            <v:stroke on="f" joinstyle="miter"/>
            <v:imagedata r:id="rId165" o:title=""/>
            <o:lock v:ext="edit" aspectratio="t"/>
            <w10:wrap type="none"/>
            <w10:anchorlock/>
          </v:shape>
          <o:OLEObject Type="Embed" ProgID="Equation.KSEE3" ShapeID="_x0000_i1131" DrawAspect="Content" ObjectID="_1468075831" r:id="rId164">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32" o:spt="75" type="#_x0000_t75" style="height:18pt;width:16.5pt;" o:ole="t" filled="f" o:preferrelative="t" stroked="f" coordsize="21600,21600">
            <v:path/>
            <v:fill on="f" focussize="0,0"/>
            <v:stroke on="f" joinstyle="miter"/>
            <v:imagedata r:id="rId167" o:title=""/>
            <o:lock v:ext="edit" aspectratio="t"/>
            <w10:wrap type="none"/>
            <w10:anchorlock/>
          </v:shape>
          <o:OLEObject Type="Embed" ProgID="Equation.KSEE3" ShapeID="_x0000_i1132" DrawAspect="Content" ObjectID="_1468075832" r:id="rId166">
            <o:LockedField>false</o:LockedField>
          </o:OLEObject>
        </w:objec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*20000+5*（</w:t>
      </w:r>
      <w:r>
        <w:rPr>
          <w:rFonts w:hint="eastAsia" w:asciiTheme="minorEastAsia" w:hAnsiTheme="minorEastAsia" w:cstheme="minorEastAsia"/>
          <w:position w:val="-12"/>
          <w:sz w:val="24"/>
        </w:rPr>
        <w:object>
          <v:shape id="_x0000_i1133" o:spt="75" type="#_x0000_t75" style="height:18pt;width:16.5pt;" o:ole="t" filled="f" o:preferrelative="t" stroked="f" coordsize="21600,21600">
            <v:path/>
            <v:fill on="f" focussize="0,0"/>
            <v:stroke on="f" joinstyle="miter"/>
            <v:imagedata r:id="rId169" o:title=""/>
            <o:lock v:ext="edit" aspectratio="t"/>
            <w10:wrap type="none"/>
            <w10:anchorlock/>
          </v:shape>
          <o:OLEObject Type="Embed" ProgID="Equation.KSEE3" ShapeID="_x0000_i1133" DrawAspect="Content" ObjectID="_1468075833" r:id="rId1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34" o:spt="75" type="#_x0000_t75" style="height:18pt;width:17.25pt;" o:ole="t" filled="f" o:preferrelative="t" stroked="f" coordsize="21600,21600">
            <v:path/>
            <v:fill on="f" focussize="0,0"/>
            <v:stroke on="f" joinstyle="miter"/>
            <v:imagedata r:id="rId171" o:title=""/>
            <o:lock v:ext="edit" aspectratio="t"/>
            <w10:wrap type="none"/>
            <w10:anchorlock/>
          </v:shape>
          <o:OLEObject Type="Embed" ProgID="Equation.KSEE3" ShapeID="_x0000_i1134" DrawAspect="Content" ObjectID="_1468075834" r:id="rId170">
            <o:LockedField>false</o:LockedField>
          </o:OLEObject>
        </w:objec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 xml:space="preserve">*10000-45*2  </w:t>
      </w:r>
      <w:r>
        <w:rPr>
          <w:rFonts w:hint="eastAsia" w:asciiTheme="minorEastAsia" w:hAnsiTheme="minorEastAsia" w:cstheme="minorEastAsia"/>
          <w:sz w:val="24"/>
        </w:rPr>
        <w:t>（4.</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 xml:space="preserve">）反向套利：  </w:t>
      </w:r>
      <w:r>
        <w:rPr>
          <w:rFonts w:hint="eastAsia" w:asciiTheme="minorEastAsia" w:hAnsiTheme="minorEastAsia" w:cstheme="minorEastAsia"/>
          <w:position w:val="-12"/>
          <w:sz w:val="24"/>
        </w:rPr>
        <w:object>
          <v:shape id="_x0000_i1135" o:spt="75" type="#_x0000_t75" style="height:18pt;width:13.5pt;" o:ole="t" filled="f" o:preferrelative="t" stroked="f" coordsize="21600,21600">
            <v:path/>
            <v:fill on="f" focussize="0,0"/>
            <v:stroke on="f" joinstyle="miter"/>
            <v:imagedata r:id="rId163" o:title=""/>
            <o:lock v:ext="edit" aspectratio="t"/>
            <w10:wrap type="none"/>
            <w10:anchorlock/>
          </v:shape>
          <o:OLEObject Type="Embed" ProgID="Equation.KSEE3" ShapeID="_x0000_i1135" DrawAspect="Content" ObjectID="_1468075835" r:id="rId172">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10*</w:t>
      </w:r>
      <w:r>
        <w:rPr>
          <w:rFonts w:hint="eastAsia" w:asciiTheme="minorEastAsia" w:hAnsiTheme="minorEastAsia" w:cstheme="minorEastAsia"/>
          <w:sz w:val="24"/>
          <w:lang w:eastAsia="zh-CN"/>
        </w:rPr>
        <w:t>（</w:t>
      </w:r>
      <w:r>
        <w:rPr>
          <w:rFonts w:hint="eastAsia" w:asciiTheme="minorEastAsia" w:hAnsiTheme="minorEastAsia" w:cstheme="minorEastAsia"/>
          <w:position w:val="-12"/>
          <w:sz w:val="24"/>
        </w:rPr>
        <w:object>
          <v:shape id="_x0000_i1136" o:spt="75" type="#_x0000_t75" style="height:18pt;width:16.5pt;" o:ole="t" filled="f" o:preferrelative="t" stroked="f" coordsize="21600,21600">
            <v:path/>
            <v:fill on="f" focussize="0,0"/>
            <v:stroke on="f" joinstyle="miter"/>
            <v:imagedata r:id="rId167" o:title=""/>
            <o:lock v:ext="edit" aspectratio="t"/>
            <w10:wrap type="none"/>
            <w10:anchorlock/>
          </v:shape>
          <o:OLEObject Type="Embed" ProgID="Equation.KSEE3" ShapeID="_x0000_i1136" DrawAspect="Content" ObjectID="_1468075836" r:id="rId173">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37" o:spt="75" type="#_x0000_t75" style="height:18pt;width:17.25pt;" o:ole="t" filled="f" o:preferrelative="t" stroked="f" coordsize="21600,21600">
            <v:path/>
            <v:fill on="f" focussize="0,0"/>
            <v:stroke on="f" joinstyle="miter"/>
            <v:imagedata r:id="rId165" o:title=""/>
            <o:lock v:ext="edit" aspectratio="t"/>
            <w10:wrap type="none"/>
            <w10:anchorlock/>
          </v:shape>
          <o:OLEObject Type="Embed" ProgID="Equation.KSEE3" ShapeID="_x0000_i1137" DrawAspect="Content" ObjectID="_1468075837" r:id="rId174">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*20000+5*</w:t>
      </w:r>
      <w:r>
        <w:rPr>
          <w:rFonts w:hint="eastAsia" w:asciiTheme="minorEastAsia" w:hAnsiTheme="minorEastAsia" w:cstheme="minorEastAsia"/>
          <w:sz w:val="24"/>
          <w:lang w:eastAsia="zh-CN"/>
        </w:rPr>
        <w:t>（</w:t>
      </w:r>
      <w:r>
        <w:rPr>
          <w:rFonts w:hint="eastAsia" w:asciiTheme="minorEastAsia" w:hAnsiTheme="minorEastAsia" w:cstheme="minorEastAsia"/>
          <w:position w:val="-12"/>
          <w:sz w:val="24"/>
        </w:rPr>
        <w:object>
          <v:shape id="_x0000_i1138" o:spt="75" type="#_x0000_t75" style="height:18pt;width:17.25pt;" o:ole="t" filled="f" o:preferrelative="t" stroked="f" coordsize="21600,21600">
            <v:path/>
            <v:fill on="f" focussize="0,0"/>
            <v:stroke on="f" joinstyle="miter"/>
            <v:imagedata r:id="rId171" o:title=""/>
            <o:lock v:ext="edit" aspectratio="t"/>
            <w10:wrap type="none"/>
            <w10:anchorlock/>
          </v:shape>
          <o:OLEObject Type="Embed" ProgID="Equation.KSEE3" ShapeID="_x0000_i1138" DrawAspect="Content" ObjectID="_1468075838" r:id="rId175">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39" o:spt="75" type="#_x0000_t75" style="height:18pt;width:16.5pt;" o:ole="t" filled="f" o:preferrelative="t" stroked="f" coordsize="21600,21600">
            <v:path/>
            <v:fill on="f" focussize="0,0"/>
            <v:stroke on="f" joinstyle="miter"/>
            <v:imagedata r:id="rId169" o:title=""/>
            <o:lock v:ext="edit" aspectratio="t"/>
            <w10:wrap type="none"/>
            <w10:anchorlock/>
          </v:shape>
          <o:OLEObject Type="Embed" ProgID="Equation.KSEE3" ShapeID="_x0000_i1139" DrawAspect="Content" ObjectID="_1468075839" r:id="rId176">
            <o:LockedField>false</o:LockedField>
          </o:OLEObject>
        </w:objec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 xml:space="preserve">*10000-45*2  </w:t>
      </w:r>
      <w:r>
        <w:rPr>
          <w:rFonts w:hint="eastAsia" w:asciiTheme="minorEastAsia" w:hAnsiTheme="minorEastAsia" w:cstheme="minorEastAsia"/>
          <w:sz w:val="24"/>
        </w:rPr>
        <w:t>（4.</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其中：</w:t>
      </w:r>
      <w:r>
        <w:rPr>
          <w:rFonts w:hint="eastAsia" w:asciiTheme="minorEastAsia" w:hAnsiTheme="minorEastAsia" w:cstheme="minorEastAsia"/>
          <w:position w:val="-12"/>
          <w:sz w:val="24"/>
        </w:rPr>
        <w:object>
          <v:shape id="_x0000_i1140" o:spt="75" type="#_x0000_t75" style="height:18pt;width:13.5pt;" o:ole="t" filled="f" o:preferrelative="t" stroked="f" coordsize="21600,21600">
            <v:path/>
            <v:fill on="f" focussize="0,0"/>
            <v:stroke on="f" joinstyle="miter"/>
            <v:imagedata r:id="rId163" o:title=""/>
            <o:lock v:ext="edit" aspectratio="t"/>
            <w10:wrap type="none"/>
            <w10:anchorlock/>
          </v:shape>
          <o:OLEObject Type="Embed" ProgID="Equation.KSEE3" ShapeID="_x0000_i1140" DrawAspect="Content" ObjectID="_1468075840" r:id="rId177">
            <o:LockedField>false</o:LockedField>
          </o:OLEObject>
        </w:object>
      </w:r>
      <w:r>
        <w:rPr>
          <w:rFonts w:hint="eastAsia" w:asciiTheme="minorEastAsia" w:hAnsiTheme="minorEastAsia" w:cstheme="minorEastAsia"/>
          <w:sz w:val="24"/>
        </w:rPr>
        <w:t>为完成一次套利交易从中获得的利润；0时刻表示开仓时刻，1时刻表示平仓时刻，i表示第i次套利交易；对于正向套利（4.</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）式</w:t>
      </w:r>
      <w:r>
        <w:rPr>
          <w:rFonts w:hint="eastAsia" w:asciiTheme="minorEastAsia" w:hAnsiTheme="minorEastAsia" w:cstheme="minorEastAsia"/>
          <w:position w:val="-12"/>
          <w:sz w:val="24"/>
        </w:rPr>
        <w:object>
          <v:shape id="_x0000_i1141" o:spt="75" type="#_x0000_t75" style="height:18pt;width:16.5pt;" o:ole="t" filled="f" o:preferrelative="t" stroked="f" coordsize="21600,21600">
            <v:path/>
            <v:fill on="f" focussize="0,0"/>
            <v:stroke on="f" joinstyle="miter"/>
            <v:imagedata r:id="rId167" o:title=""/>
            <o:lock v:ext="edit" aspectratio="t"/>
            <w10:wrap type="none"/>
            <w10:anchorlock/>
          </v:shape>
          <o:OLEObject Type="Embed" ProgID="Equation.KSEE3" ShapeID="_x0000_i1141" DrawAspect="Content" ObjectID="_1468075841" r:id="rId178">
            <o:LockedField>false</o:LockedField>
          </o:OLEObject>
        </w:object>
      </w:r>
      <w:r>
        <w:rPr>
          <w:rFonts w:hint="eastAsia" w:asciiTheme="minorEastAsia" w:hAnsiTheme="minorEastAsia" w:cstheme="minorEastAsia"/>
          <w:sz w:val="24"/>
        </w:rPr>
        <w:t>是2年期国债期货TS2009合约的买入价，</w:t>
      </w:r>
      <w:r>
        <w:rPr>
          <w:rFonts w:hint="eastAsia" w:asciiTheme="minorEastAsia" w:hAnsiTheme="minorEastAsia" w:cstheme="minorEastAsia"/>
          <w:position w:val="-12"/>
          <w:sz w:val="24"/>
        </w:rPr>
        <w:object>
          <v:shape id="_x0000_i1142" o:spt="75" type="#_x0000_t75" style="height:18pt;width:17.25pt;" o:ole="t" filled="f" o:preferrelative="t" stroked="f" coordsize="21600,21600">
            <v:path/>
            <v:fill on="f" focussize="0,0"/>
            <v:stroke on="f" joinstyle="miter"/>
            <v:imagedata r:id="rId165" o:title=""/>
            <o:lock v:ext="edit" aspectratio="t"/>
            <w10:wrap type="none"/>
            <w10:anchorlock/>
          </v:shape>
          <o:OLEObject Type="Embed" ProgID="Equation.KSEE3" ShapeID="_x0000_i1142" DrawAspect="Content" ObjectID="_1468075842" r:id="rId179">
            <o:LockedField>false</o:LockedField>
          </o:OLEObject>
        </w:object>
      </w:r>
      <w:r>
        <w:rPr>
          <w:rFonts w:hint="eastAsia" w:asciiTheme="minorEastAsia" w:hAnsiTheme="minorEastAsia" w:cstheme="minorEastAsia"/>
          <w:sz w:val="24"/>
        </w:rPr>
        <w:t>是2年期国债期货TS2009合约的卖出价；</w:t>
      </w:r>
      <w:r>
        <w:rPr>
          <w:rFonts w:hint="eastAsia" w:asciiTheme="minorEastAsia" w:hAnsiTheme="minorEastAsia" w:cstheme="minorEastAsia"/>
          <w:position w:val="-12"/>
          <w:sz w:val="24"/>
        </w:rPr>
        <w:object>
          <v:shape id="_x0000_i1143" o:spt="75" type="#_x0000_t75" style="height:18pt;width:16.5pt;" o:ole="t" filled="f" o:preferrelative="t" stroked="f" coordsize="21600,21600">
            <v:path/>
            <v:fill on="f" focussize="0,0"/>
            <v:stroke on="f" joinstyle="miter"/>
            <v:imagedata r:id="rId169" o:title=""/>
            <o:lock v:ext="edit" aspectratio="t"/>
            <w10:wrap type="none"/>
            <w10:anchorlock/>
          </v:shape>
          <o:OLEObject Type="Embed" ProgID="Equation.KSEE3" ShapeID="_x0000_i1143" DrawAspect="Content" ObjectID="_1468075843" r:id="rId180">
            <o:LockedField>false</o:LockedField>
          </o:OLEObject>
        </w:object>
      </w:r>
      <w:r>
        <w:rPr>
          <w:rFonts w:hint="eastAsia" w:asciiTheme="minorEastAsia" w:hAnsiTheme="minorEastAsia" w:cstheme="minorEastAsia"/>
          <w:sz w:val="24"/>
        </w:rPr>
        <w:t>是5年期国债期货TF2009合约的卖出价,</w:t>
      </w:r>
      <w:r>
        <w:rPr>
          <w:rFonts w:hint="eastAsia" w:asciiTheme="minorEastAsia" w:hAnsiTheme="minorEastAsia" w:cstheme="minorEastAsia"/>
          <w:position w:val="-12"/>
          <w:sz w:val="24"/>
        </w:rPr>
        <w:object>
          <v:shape id="_x0000_i1144" o:spt="75" type="#_x0000_t75" style="height:18pt;width:17.25pt;" o:ole="t" filled="f" o:preferrelative="t" stroked="f" coordsize="21600,21600">
            <v:path/>
            <v:fill on="f" focussize="0,0"/>
            <v:stroke on="f" joinstyle="miter"/>
            <v:imagedata r:id="rId171" o:title=""/>
            <o:lock v:ext="edit" aspectratio="t"/>
            <w10:wrap type="none"/>
            <w10:anchorlock/>
          </v:shape>
          <o:OLEObject Type="Embed" ProgID="Equation.KSEE3" ShapeID="_x0000_i1144" DrawAspect="Content" ObjectID="_1468075844" r:id="rId181">
            <o:LockedField>false</o:LockedField>
          </o:OLEObject>
        </w:object>
      </w:r>
      <w:r>
        <w:rPr>
          <w:rFonts w:hint="eastAsia" w:asciiTheme="minorEastAsia" w:hAnsiTheme="minorEastAsia" w:cstheme="minorEastAsia"/>
          <w:sz w:val="24"/>
        </w:rPr>
        <w:t>是5年期国债期货TF2009合约的买入价。对于反向套利（4.</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）式</w:t>
      </w:r>
      <w:r>
        <w:rPr>
          <w:rFonts w:hint="eastAsia" w:asciiTheme="minorEastAsia" w:hAnsiTheme="minorEastAsia" w:cstheme="minorEastAsia"/>
          <w:position w:val="-12"/>
          <w:sz w:val="24"/>
        </w:rPr>
        <w:object>
          <v:shape id="_x0000_i1145" o:spt="75" type="#_x0000_t75" style="height:18pt;width:16.5pt;" o:ole="t" filled="f" o:preferrelative="t" stroked="f" coordsize="21600,21600">
            <v:path/>
            <v:fill on="f" focussize="0,0"/>
            <v:stroke on="f" joinstyle="miter"/>
            <v:imagedata r:id="rId167" o:title=""/>
            <o:lock v:ext="edit" aspectratio="t"/>
            <w10:wrap type="none"/>
            <w10:anchorlock/>
          </v:shape>
          <o:OLEObject Type="Embed" ProgID="Equation.KSEE3" ShapeID="_x0000_i1145" DrawAspect="Content" ObjectID="_1468075845" r:id="rId182">
            <o:LockedField>false</o:LockedField>
          </o:OLEObject>
        </w:object>
      </w:r>
      <w:r>
        <w:rPr>
          <w:rFonts w:hint="eastAsia" w:asciiTheme="minorEastAsia" w:hAnsiTheme="minorEastAsia" w:cstheme="minorEastAsia"/>
          <w:sz w:val="24"/>
        </w:rPr>
        <w:t>是2年期国债期货TS2009合约的卖出价，</w:t>
      </w:r>
      <w:r>
        <w:rPr>
          <w:rFonts w:hint="eastAsia" w:asciiTheme="minorEastAsia" w:hAnsiTheme="minorEastAsia" w:cstheme="minorEastAsia"/>
          <w:position w:val="-12"/>
          <w:sz w:val="24"/>
        </w:rPr>
        <w:object>
          <v:shape id="_x0000_i1146" o:spt="75" type="#_x0000_t75" style="height:18pt;width:17.25pt;" o:ole="t" filled="f" o:preferrelative="t" stroked="f" coordsize="21600,21600">
            <v:path/>
            <v:fill on="f" focussize="0,0"/>
            <v:stroke on="f" joinstyle="miter"/>
            <v:imagedata r:id="rId165" o:title=""/>
            <o:lock v:ext="edit" aspectratio="t"/>
            <w10:wrap type="none"/>
            <w10:anchorlock/>
          </v:shape>
          <o:OLEObject Type="Embed" ProgID="Equation.KSEE3" ShapeID="_x0000_i1146" DrawAspect="Content" ObjectID="_1468075846" r:id="rId183">
            <o:LockedField>false</o:LockedField>
          </o:OLEObject>
        </w:object>
      </w:r>
      <w:r>
        <w:rPr>
          <w:rFonts w:hint="eastAsia" w:asciiTheme="minorEastAsia" w:hAnsiTheme="minorEastAsia" w:cstheme="minorEastAsia"/>
          <w:sz w:val="24"/>
        </w:rPr>
        <w:t>是2年期国债期货TS2009合约的买入价；</w:t>
      </w:r>
      <w:r>
        <w:rPr>
          <w:rFonts w:hint="eastAsia" w:asciiTheme="minorEastAsia" w:hAnsiTheme="minorEastAsia" w:cstheme="minorEastAsia"/>
          <w:position w:val="-12"/>
          <w:sz w:val="24"/>
        </w:rPr>
        <w:object>
          <v:shape id="_x0000_i1147" o:spt="75" type="#_x0000_t75" style="height:18pt;width:16.5pt;" o:ole="t" filled="f" o:preferrelative="t" stroked="f" coordsize="21600,21600">
            <v:path/>
            <v:fill on="f" focussize="0,0"/>
            <v:stroke on="f" joinstyle="miter"/>
            <v:imagedata r:id="rId169" o:title=""/>
            <o:lock v:ext="edit" aspectratio="t"/>
            <w10:wrap type="none"/>
            <w10:anchorlock/>
          </v:shape>
          <o:OLEObject Type="Embed" ProgID="Equation.KSEE3" ShapeID="_x0000_i1147" DrawAspect="Content" ObjectID="_1468075847" r:id="rId184">
            <o:LockedField>false</o:LockedField>
          </o:OLEObject>
        </w:object>
      </w:r>
      <w:r>
        <w:rPr>
          <w:rFonts w:hint="eastAsia" w:asciiTheme="minorEastAsia" w:hAnsiTheme="minorEastAsia" w:cstheme="minorEastAsia"/>
          <w:sz w:val="24"/>
        </w:rPr>
        <w:t>是5年期国债期货TF2009合约的买入价,</w:t>
      </w:r>
      <w:r>
        <w:rPr>
          <w:rFonts w:hint="eastAsia" w:asciiTheme="minorEastAsia" w:hAnsiTheme="minorEastAsia" w:cstheme="minorEastAsia"/>
          <w:position w:val="-12"/>
          <w:sz w:val="24"/>
        </w:rPr>
        <w:object>
          <v:shape id="_x0000_i1148" o:spt="75" type="#_x0000_t75" style="height:18pt;width:17.25pt;" o:ole="t" filled="f" o:preferrelative="t" stroked="f" coordsize="21600,21600">
            <v:path/>
            <v:fill on="f" focussize="0,0"/>
            <v:stroke on="f" joinstyle="miter"/>
            <v:imagedata r:id="rId171" o:title=""/>
            <o:lock v:ext="edit" aspectratio="t"/>
            <w10:wrap type="none"/>
            <w10:anchorlock/>
          </v:shape>
          <o:OLEObject Type="Embed" ProgID="Equation.KSEE3" ShapeID="_x0000_i1148" DrawAspect="Content" ObjectID="_1468075848" r:id="rId185">
            <o:LockedField>false</o:LockedField>
          </o:OLEObject>
        </w:object>
      </w:r>
      <w:r>
        <w:rPr>
          <w:rFonts w:hint="eastAsia" w:asciiTheme="minorEastAsia" w:hAnsiTheme="minorEastAsia" w:cstheme="minorEastAsia"/>
          <w:sz w:val="24"/>
        </w:rPr>
        <w:t>是5年期国债期货TF2009合约的卖出价。</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rPr>
        <w:t xml:space="preserve">             总收益（总的净利润）R=</w:t>
      </w:r>
      <w:r>
        <w:rPr>
          <w:rFonts w:hint="eastAsia" w:asciiTheme="minorEastAsia" w:hAnsiTheme="minorEastAsia" w:cstheme="minorEastAsia"/>
          <w:position w:val="-28"/>
          <w:sz w:val="24"/>
        </w:rPr>
        <w:object>
          <v:shape id="_x0000_i1149" o:spt="75" type="#_x0000_t75" style="height:27pt;width:28.5pt;" o:ole="t" filled="f" o:preferrelative="t" stroked="f" coordsize="21600,21600">
            <v:path/>
            <v:fill on="f" focussize="0,0"/>
            <v:stroke on="f" joinstyle="miter"/>
            <v:imagedata r:id="rId187" o:title=""/>
            <o:lock v:ext="edit" aspectratio="t"/>
            <w10:wrap type="none"/>
            <w10:anchorlock/>
          </v:shape>
          <o:OLEObject Type="Embed" ProgID="Equation.KSEE3" ShapeID="_x0000_i1149" DrawAspect="Content" ObjectID="_1468075849" r:id="rId186">
            <o:LockedField>false</o:LockedField>
          </o:OLEObject>
        </w:object>
      </w:r>
      <w:r>
        <w:rPr>
          <w:rFonts w:hint="eastAsia" w:asciiTheme="minorEastAsia" w:hAnsiTheme="minorEastAsia" w:cstheme="minorEastAsia"/>
          <w:sz w:val="24"/>
        </w:rPr>
        <w:t xml:space="preserve">       （4.</w:t>
      </w:r>
      <w:r>
        <w:rPr>
          <w:rFonts w:hint="eastAsia" w:asciiTheme="minorEastAsia" w:hAnsiTheme="minorEastAsia" w:cstheme="minorEastAsia"/>
          <w:sz w:val="24"/>
          <w:lang w:val="en-US" w:eastAsia="zh-CN"/>
        </w:rPr>
        <w:t>8</w:t>
      </w:r>
      <w:r>
        <w:rPr>
          <w:rFonts w:hint="eastAsia" w:asciiTheme="minorEastAsia" w:hAnsiTheme="minorEastAsia" w:cs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累计收益率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累计收益率是资产在某一个时间段内所产生的总收益除以期初总成本，这是对资产在持有期内发生的盈利的反映，利用累计收益率考虑了投入成本的大小对收益的影响，所以比总收益更客观更具有可比性。假设交易n次，每一交易的收益率用</w:t>
      </w:r>
      <w:r>
        <w:rPr>
          <w:rFonts w:hint="eastAsia" w:asciiTheme="minorEastAsia" w:hAnsiTheme="minorEastAsia" w:cstheme="minorEastAsia"/>
          <w:position w:val="-12"/>
          <w:sz w:val="24"/>
        </w:rPr>
        <w:object>
          <v:shape id="_x0000_i1150" o:spt="75" type="#_x0000_t75" style="height:18pt;width:9.75pt;" o:ole="t" filled="f" o:preferrelative="t" stroked="f" coordsize="21600,21600">
            <v:path/>
            <v:fill on="f" focussize="0,0"/>
            <v:stroke on="f" joinstyle="miter"/>
            <v:imagedata r:id="rId189" o:title=""/>
            <o:lock v:ext="edit" aspectratio="t"/>
            <w10:wrap type="none"/>
            <w10:anchorlock/>
          </v:shape>
          <o:OLEObject Type="Embed" ProgID="Equation.KSEE3" ShapeID="_x0000_i1150" DrawAspect="Content" ObjectID="_1468075850" r:id="rId188">
            <o:LockedField>false</o:LockedField>
          </o:OLEObject>
        </w:object>
      </w:r>
      <w:r>
        <w:rPr>
          <w:rFonts w:hint="eastAsia" w:asciiTheme="minorEastAsia" w:hAnsiTheme="minorEastAsia" w:cstheme="minorEastAsia"/>
          <w:sz w:val="24"/>
        </w:rPr>
        <w:t>表示，累计收益率的计算如下</w:t>
      </w:r>
      <w:r>
        <w:rPr>
          <w:rFonts w:hint="eastAsia" w:asciiTheme="minorEastAsia" w:hAnsiTheme="minorEastAsia" w:cstheme="minorEastAsia"/>
          <w:sz w:val="24"/>
          <w:lang w:eastAsia="zh-CN"/>
        </w:rPr>
        <w:t>：</w:t>
      </w:r>
      <w:r>
        <w:rPr>
          <w:rFonts w:hint="eastAsia" w:asciiTheme="minorEastAsia" w:hAnsiTheme="minorEastAsia" w:cstheme="minorEastAsia"/>
          <w:sz w:val="24"/>
        </w:rPr>
        <w:t xml:space="preserve">         </w:t>
      </w:r>
    </w:p>
    <w:p>
      <w:pPr>
        <w:spacing w:line="360" w:lineRule="auto"/>
        <w:ind w:firstLine="2640" w:firstLineChars="1100"/>
        <w:rPr>
          <w:rFonts w:asciiTheme="minorEastAsia" w:hAnsiTheme="minorEastAsia" w:cstheme="minorEastAsia"/>
          <w:sz w:val="24"/>
        </w:rPr>
      </w:pPr>
      <w:r>
        <w:rPr>
          <w:rFonts w:hint="eastAsia" w:asciiTheme="minorEastAsia" w:hAnsiTheme="minorEastAsia" w:cstheme="minorEastAsia"/>
          <w:sz w:val="24"/>
        </w:rPr>
        <w:t xml:space="preserve">r = </w:t>
      </w:r>
      <w:r>
        <w:rPr>
          <w:rFonts w:hint="eastAsia" w:asciiTheme="minorEastAsia" w:hAnsiTheme="minorEastAsia" w:cstheme="minorEastAsia"/>
          <w:position w:val="-28"/>
          <w:sz w:val="24"/>
        </w:rPr>
        <w:object>
          <v:shape id="_x0000_i1151" o:spt="75" type="#_x0000_t75" style="height:34.5pt;width:24.75pt;" o:ole="t" filled="f" o:preferrelative="t" stroked="f" coordsize="21600,21600">
            <v:path/>
            <v:fill on="f" focussize="0,0"/>
            <v:stroke on="f" joinstyle="miter"/>
            <v:imagedata r:id="rId191" o:title=""/>
            <o:lock v:ext="edit" aspectratio="t"/>
            <w10:wrap type="none"/>
            <w10:anchorlock/>
          </v:shape>
          <o:OLEObject Type="Embed" ProgID="Equation.KSEE3" ShapeID="_x0000_i1151" DrawAspect="Content" ObjectID="_1468075851" r:id="rId1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2"/>
          <w:sz w:val="24"/>
        </w:rPr>
        <w:object>
          <v:shape id="_x0000_i1152" o:spt="75" type="#_x0000_t75" style="height:34.3pt;width:14.3pt;" o:ole="t" filled="f" o:preferrelative="t" stroked="f" coordsize="21600,21600">
            <v:path/>
            <v:fill on="f" focussize="0,0"/>
            <v:stroke on="f"/>
            <v:imagedata r:id="rId193" o:title=""/>
            <o:lock v:ext="edit" aspectratio="t"/>
            <w10:wrap type="none"/>
            <w10:anchorlock/>
          </v:shape>
          <o:OLEObject Type="Embed" ProgID="Equation.KSEE3" ShapeID="_x0000_i1152" DrawAspect="Content" ObjectID="_1468075852" r:id="rId192">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 xml:space="preserve"> （4.</w:t>
      </w:r>
      <w:r>
        <w:rPr>
          <w:rFonts w:hint="eastAsia" w:asciiTheme="minorEastAsia" w:hAnsiTheme="minorEastAsia" w:cstheme="minorEastAsia"/>
          <w:sz w:val="24"/>
          <w:lang w:val="en-US" w:eastAsia="zh-CN"/>
        </w:rPr>
        <w:t>9</w:t>
      </w:r>
      <w:r>
        <w:rPr>
          <w:rFonts w:hint="eastAsia" w:asciiTheme="minorEastAsia" w:hAnsiTheme="minorEastAsia" w:cs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其中：R由（4.</w:t>
      </w:r>
      <w:r>
        <w:rPr>
          <w:rFonts w:hint="eastAsia" w:asciiTheme="minorEastAsia" w:hAnsiTheme="minorEastAsia" w:cstheme="minorEastAsia"/>
          <w:sz w:val="24"/>
          <w:lang w:val="en-US" w:eastAsia="zh-CN"/>
        </w:rPr>
        <w:t>8</w:t>
      </w:r>
      <w:r>
        <w:rPr>
          <w:rFonts w:hint="eastAsia" w:asciiTheme="minorEastAsia" w:hAnsiTheme="minorEastAsia" w:cstheme="minorEastAsia"/>
          <w:sz w:val="24"/>
        </w:rPr>
        <w:t>）式计算而来，C是套利期初投入的总成本。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3.</w:t>
      </w:r>
      <w:r>
        <w:rPr>
          <w:rFonts w:hint="eastAsia" w:asciiTheme="minorEastAsia" w:hAnsiTheme="minorEastAsia" w:cstheme="minorEastAsia"/>
          <w:sz w:val="24"/>
        </w:rPr>
        <w:t>年化收益率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年化收益率是指投资期限为一年所获得的收益率。因为累计收益率没有考虑时间因素的影响，对于不同投资期限的投资组合，单纯的比较累计收益是不严谨的，时间越长可能累计的收益越大。对于现在很多的理财产品以及投资都是以年化收益率来衡量其收益情况的，因此本文也利用年化收益率。年化收益率的计算公式如下：</w:t>
      </w:r>
    </w:p>
    <w:p>
      <w:pPr>
        <w:spacing w:line="360" w:lineRule="auto"/>
        <w:ind w:firstLine="480" w:firstLineChars="200"/>
        <w:rPr>
          <w:rFonts w:asciiTheme="minorEastAsia" w:hAnsiTheme="minorEastAsia" w:cstheme="minorEastAsia"/>
          <w:position w:val="-14"/>
          <w:sz w:val="24"/>
        </w:rPr>
      </w:pPr>
      <w:r>
        <w:rPr>
          <w:rFonts w:hint="eastAsia" w:asciiTheme="minorEastAsia" w:hAnsiTheme="minorEastAsia" w:cstheme="minorEastAsia"/>
          <w:sz w:val="24"/>
        </w:rPr>
        <w:t xml:space="preserve">         </w:t>
      </w:r>
      <w:r>
        <w:rPr>
          <w:rFonts w:hint="eastAsia" w:asciiTheme="minorEastAsia" w:hAnsiTheme="minorEastAsia" w:cstheme="minorEastAsia"/>
          <w:position w:val="-14"/>
          <w:sz w:val="24"/>
        </w:rPr>
        <w:object>
          <v:shape id="_x0000_i1153" o:spt="75" type="#_x0000_t75" style="height:31.5pt;width:218.25pt;" o:ole="t" filled="f" o:preferrelative="t" stroked="f" coordsize="21600,21600">
            <v:path/>
            <v:fill on="f" focussize="0,0"/>
            <v:stroke on="f" joinstyle="miter"/>
            <v:imagedata r:id="rId195" o:title=""/>
            <o:lock v:ext="edit" aspectratio="t"/>
            <w10:wrap type="none"/>
            <w10:anchorlock/>
          </v:shape>
          <o:OLEObject Type="Embed" ProgID="Equation.KSEE3" ShapeID="_x0000_i1153" DrawAspect="Content" ObjectID="_1468075853" r:id="rId194">
            <o:LockedField>false</o:LockedField>
          </o:OLEObject>
        </w:object>
      </w:r>
      <w:r>
        <w:rPr>
          <w:rFonts w:hint="eastAsia" w:asciiTheme="minorEastAsia" w:hAnsiTheme="minorEastAsia" w:cstheme="minorEastAsia"/>
          <w:position w:val="-14"/>
          <w:sz w:val="24"/>
        </w:rPr>
        <w:t xml:space="preserve"> （4.</w:t>
      </w:r>
      <w:r>
        <w:rPr>
          <w:rFonts w:hint="eastAsia" w:asciiTheme="minorEastAsia" w:hAnsiTheme="minorEastAsia" w:cstheme="minorEastAsia"/>
          <w:position w:val="-14"/>
          <w:sz w:val="24"/>
          <w:lang w:val="en-US" w:eastAsia="zh-CN"/>
        </w:rPr>
        <w:t>10</w:t>
      </w:r>
      <w:r>
        <w:rPr>
          <w:rFonts w:hint="eastAsia" w:asciiTheme="minorEastAsia" w:hAnsiTheme="minorEastAsia" w:cstheme="minorEastAsia"/>
          <w:position w:val="-14"/>
          <w:sz w:val="24"/>
        </w:rPr>
        <w:t>）</w:t>
      </w:r>
    </w:p>
    <w:p>
      <w:pPr>
        <w:spacing w:line="360" w:lineRule="auto"/>
        <w:ind w:firstLine="480" w:firstLineChars="200"/>
        <w:rPr>
          <w:rFonts w:asciiTheme="minorEastAsia" w:hAnsiTheme="minorEastAsia" w:cstheme="minorEastAsia"/>
          <w:position w:val="-14"/>
          <w:sz w:val="24"/>
        </w:rPr>
      </w:pPr>
      <w:r>
        <w:rPr>
          <w:rFonts w:hint="eastAsia" w:asciiTheme="minorEastAsia" w:hAnsiTheme="minorEastAsia" w:cstheme="minorEastAsia"/>
          <w:position w:val="-14"/>
          <w:sz w:val="24"/>
        </w:rPr>
        <w:t>其中：</w:t>
      </w:r>
      <w:r>
        <w:rPr>
          <w:rFonts w:hint="eastAsia" w:asciiTheme="minorEastAsia" w:hAnsiTheme="minorEastAsia" w:cstheme="minorEastAsia"/>
          <w:position w:val="-14"/>
          <w:sz w:val="24"/>
        </w:rPr>
        <w:object>
          <v:shape id="_x0000_i1154" o:spt="75" type="#_x0000_t75" style="height:19.5pt;width:10.5pt;" o:ole="t" filled="f" o:preferrelative="t" stroked="f" coordsize="21600,21600">
            <v:path/>
            <v:fill on="f" focussize="0,0"/>
            <v:stroke on="f" joinstyle="miter"/>
            <v:imagedata r:id="rId197" o:title=""/>
            <o:lock v:ext="edit" aspectratio="t"/>
            <w10:wrap type="none"/>
            <w10:anchorlock/>
          </v:shape>
          <o:OLEObject Type="Embed" ProgID="Equation.KSEE3" ShapeID="_x0000_i1154" DrawAspect="Content" ObjectID="_1468075854" r:id="rId196">
            <o:LockedField>false</o:LockedField>
          </o:OLEObject>
        </w:object>
      </w:r>
      <w:r>
        <w:rPr>
          <w:rFonts w:hint="eastAsia" w:asciiTheme="minorEastAsia" w:hAnsiTheme="minorEastAsia" w:cstheme="minorEastAsia"/>
          <w:position w:val="-14"/>
          <w:sz w:val="24"/>
        </w:rPr>
        <w:t>是年化收益率，n是样本个数，假设一年有250个交易日</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lang w:val="en-US" w:eastAsia="zh-CN"/>
        </w:rPr>
        <w:t>4.</w:t>
      </w:r>
      <w:r>
        <w:rPr>
          <w:rFonts w:hint="eastAsia" w:asciiTheme="minorEastAsia" w:hAnsiTheme="minorEastAsia" w:cstheme="minorEastAsia"/>
          <w:sz w:val="24"/>
        </w:rPr>
        <w:t>年化收益率标准差</w:t>
      </w:r>
    </w:p>
    <w:p>
      <w:pPr>
        <w:spacing w:line="360" w:lineRule="auto"/>
        <w:ind w:left="420" w:leftChars="200"/>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 xml:space="preserve">       </w:t>
      </w:r>
      <w:r>
        <w:rPr>
          <w:rFonts w:hint="eastAsia" w:asciiTheme="minorEastAsia" w:hAnsiTheme="minorEastAsia" w:cstheme="minorEastAsia"/>
          <w:position w:val="-14"/>
          <w:sz w:val="24"/>
        </w:rPr>
        <w:object>
          <v:shape id="_x0000_i1155" o:spt="75" type="#_x0000_t75" style="height:19.5pt;width:16.5pt;" o:ole="t" filled="f" o:preferrelative="t" stroked="f" coordsize="21600,21600">
            <v:path/>
            <v:fill on="f" focussize="0,0"/>
            <v:stroke on="f" joinstyle="miter"/>
            <v:imagedata r:id="rId199" o:title=""/>
            <o:lock v:ext="edit" aspectratio="t"/>
            <w10:wrap type="none"/>
            <w10:anchorlock/>
          </v:shape>
          <o:OLEObject Type="Embed" ProgID="Equation.KSEE3" ShapeID="_x0000_i1155" DrawAspect="Content" ObjectID="_1468075855" r:id="rId198">
            <o:LockedField>false</o:LockedField>
          </o:OLEObject>
        </w:object>
      </w:r>
      <w:r>
        <w:rPr>
          <w:rFonts w:hint="eastAsia" w:asciiTheme="minorEastAsia" w:hAnsiTheme="minorEastAsia" w:cstheme="minorEastAsia"/>
          <w:position w:val="-14"/>
          <w:sz w:val="24"/>
        </w:rPr>
        <w:t xml:space="preserve">= </w:t>
      </w:r>
      <w:r>
        <w:rPr>
          <w:rFonts w:hint="eastAsia" w:asciiTheme="minorEastAsia" w:hAnsiTheme="minorEastAsia" w:cstheme="minorEastAsia"/>
          <w:position w:val="-30"/>
          <w:sz w:val="24"/>
        </w:rPr>
        <w:object>
          <v:shape id="_x0000_i1156" o:spt="75" type="#_x0000_t75" style="height:36pt;width:105.75pt;" o:ole="t" filled="f" o:preferrelative="t" stroked="f" coordsize="21600,21600">
            <v:path/>
            <v:fill on="f" focussize="0,0"/>
            <v:stroke on="f" joinstyle="miter"/>
            <v:imagedata r:id="rId201" o:title=""/>
            <o:lock v:ext="edit" aspectratio="t"/>
            <w10:wrap type="none"/>
            <w10:anchorlock/>
          </v:shape>
          <o:OLEObject Type="Embed" ProgID="Equation.KSEE3" ShapeID="_x0000_i1156" DrawAspect="Content" ObjectID="_1468075856" r:id="rId20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（4.11）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其中：</w:t>
      </w:r>
      <w:r>
        <w:rPr>
          <w:rFonts w:hint="eastAsia" w:asciiTheme="minorEastAsia" w:hAnsiTheme="minorEastAsia" w:cstheme="minorEastAsia"/>
          <w:position w:val="-14"/>
          <w:sz w:val="24"/>
        </w:rPr>
        <w:object>
          <v:shape id="_x0000_i1157" o:spt="75" type="#_x0000_t75" style="height:21pt;width:13.5pt;" o:ole="t" filled="f" o:preferrelative="t" stroked="f" coordsize="21600,21600">
            <v:path/>
            <v:fill on="f" focussize="0,0"/>
            <v:stroke on="f" joinstyle="miter"/>
            <v:imagedata r:id="rId203" o:title=""/>
            <o:lock v:ext="edit" aspectratio="t"/>
            <w10:wrap type="none"/>
            <w10:anchorlock/>
          </v:shape>
          <o:OLEObject Type="Embed" ProgID="Equation.KSEE3" ShapeID="_x0000_i1157" DrawAspect="Content" ObjectID="_1468075857" r:id="rId202">
            <o:LockedField>false</o:LockedField>
          </o:OLEObject>
        </w:object>
      </w:r>
      <w:r>
        <w:rPr>
          <w:rFonts w:hint="eastAsia" w:asciiTheme="minorEastAsia" w:hAnsiTheme="minorEastAsia" w:cstheme="minorEastAsia"/>
          <w:sz w:val="24"/>
        </w:rPr>
        <w:t>是平均收益率，</w:t>
      </w:r>
      <w:r>
        <w:rPr>
          <w:rFonts w:hint="eastAsia" w:asciiTheme="minorEastAsia" w:hAnsiTheme="minorEastAsia" w:cstheme="minorEastAsia"/>
          <w:position w:val="-14"/>
          <w:sz w:val="24"/>
        </w:rPr>
        <w:object>
          <v:shape id="_x0000_i1158" o:spt="75" type="#_x0000_t75" style="height:19.5pt;width:13.5pt;" o:ole="t" filled="f" o:preferrelative="t" stroked="f" coordsize="21600,21600">
            <v:path/>
            <v:fill on="f" focussize="0,0"/>
            <v:stroke on="f" joinstyle="miter"/>
            <v:imagedata r:id="rId205" o:title=""/>
            <o:lock v:ext="edit" aspectratio="t"/>
            <w10:wrap type="none"/>
            <w10:anchorlock/>
          </v:shape>
          <o:OLEObject Type="Embed" ProgID="Equation.KSEE3" ShapeID="_x0000_i1158" DrawAspect="Content" ObjectID="_1468075858" r:id="rId204">
            <o:LockedField>false</o:LockedField>
          </o:OLEObject>
        </w:object>
      </w:r>
      <w:r>
        <w:rPr>
          <w:rFonts w:hint="eastAsia" w:asciiTheme="minorEastAsia" w:hAnsiTheme="minorEastAsia" w:cstheme="minorEastAsia"/>
          <w:sz w:val="24"/>
        </w:rPr>
        <w:t>是每隔3分钟的收益率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 xml:space="preserve">    5.</w:t>
      </w:r>
      <w:r>
        <w:rPr>
          <w:rFonts w:hint="eastAsia" w:asciiTheme="minorEastAsia" w:hAnsiTheme="minorEastAsia" w:cstheme="minorEastAsia"/>
          <w:sz w:val="24"/>
        </w:rPr>
        <w:t>夏普比率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cstheme="minorEastAsia"/>
          <w:sz w:val="24"/>
        </w:rPr>
      </w:pPr>
      <w:r>
        <w:rPr>
          <w:rFonts w:hint="eastAsia" w:asciiTheme="minorEastAsia" w:hAnsiTheme="minorEastAsia" w:cstheme="minorEastAsia"/>
          <w:sz w:val="24"/>
        </w:rPr>
        <w:t xml:space="preserve">    夏普比率是由诺贝尔经济学奖获得者威廉夏普提出的，它综合地考量了期望收益相对于风险的表现效果，即一单位总风险下的超额收益。如果夏普比率的值为正，则说明投资期内的净收益增长率是大于无风险利率的，通常来说，夏普比率越大，说明风险的溢价回报越高，也就意味着该投资策略越好。</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4"/>
        </w:rPr>
        <w:tab/>
      </w:r>
      <w:r>
        <w:rPr>
          <w:rFonts w:hint="eastAsia" w:asciiTheme="minorEastAsia" w:hAnsiTheme="minorEastAsia" w:cstheme="minorEastAsia"/>
          <w:sz w:val="24"/>
        </w:rPr>
        <w:t>Sharpe=</w:t>
      </w:r>
      <w:r>
        <w:rPr>
          <w:rFonts w:hint="eastAsia" w:asciiTheme="minorEastAsia" w:hAnsiTheme="minorEastAsia" w:cstheme="minorEastAsia"/>
          <w:position w:val="-32"/>
          <w:sz w:val="24"/>
        </w:rPr>
        <w:object>
          <v:shape id="_x0000_i1159" o:spt="75" type="#_x0000_t75" style="height:36.75pt;width:33pt;" o:ole="t" filled="f" o:preferrelative="t" stroked="f" coordsize="21600,21600">
            <v:path/>
            <v:fill on="f" focussize="0,0"/>
            <v:stroke on="f" joinstyle="miter"/>
            <v:imagedata r:id="rId207" o:title=""/>
            <o:lock v:ext="edit" aspectratio="t"/>
            <w10:wrap type="none"/>
            <w10:anchorlock/>
          </v:shape>
          <o:OLEObject Type="Embed" ProgID="Equation.KSEE3" ShapeID="_x0000_i1159" DrawAspect="Content" ObjectID="_1468075859" r:id="rId206">
            <o:LockedField>false</o:LockedField>
          </o:OLEObject>
        </w:object>
      </w:r>
      <w:r>
        <w:rPr>
          <w:rFonts w:hint="eastAsia" w:asciiTheme="minorEastAsia" w:hAnsiTheme="minorEastAsia" w:cstheme="minorEastAsia"/>
          <w:sz w:val="24"/>
        </w:rPr>
        <w:t xml:space="preserve">                  （4.</w:t>
      </w:r>
      <w:r>
        <w:rPr>
          <w:rFonts w:hint="eastAsia" w:asciiTheme="minorEastAsia" w:hAnsiTheme="minorEastAsia" w:cstheme="minorEastAsia"/>
          <w:sz w:val="24"/>
          <w:lang w:val="en-US" w:eastAsia="zh-CN"/>
        </w:rPr>
        <w:t>12</w:t>
      </w:r>
      <w:r>
        <w:rPr>
          <w:rFonts w:hint="eastAsia" w:asciiTheme="minorEastAsia" w:hAnsiTheme="minorEastAsia" w:cstheme="minorEastAsia"/>
          <w:sz w:val="24"/>
        </w:rPr>
        <w:t>）</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其中：</w:t>
      </w:r>
      <w:r>
        <w:rPr>
          <w:rFonts w:hint="eastAsia" w:asciiTheme="minorEastAsia" w:hAnsiTheme="minorEastAsia" w:cstheme="minorEastAsia"/>
          <w:position w:val="-14"/>
          <w:sz w:val="24"/>
        </w:rPr>
        <w:object>
          <v:shape id="_x0000_i1160" o:spt="75" type="#_x0000_t75" style="height:19.5pt;width:10.5pt;" o:ole="t" filled="f" o:preferrelative="t" stroked="f" coordsize="21600,21600">
            <v:path/>
            <v:fill on="f" focussize="0,0"/>
            <v:stroke on="f" joinstyle="miter"/>
            <v:imagedata r:id="rId197" o:title=""/>
            <o:lock v:ext="edit" aspectratio="t"/>
            <w10:wrap type="none"/>
            <w10:anchorlock/>
          </v:shape>
          <o:OLEObject Type="Embed" ProgID="Equation.KSEE3" ShapeID="_x0000_i1160" DrawAspect="Content" ObjectID="_1468075860" r:id="rId208">
            <o:LockedField>false</o:LockedField>
          </o:OLEObject>
        </w:object>
      </w:r>
      <w:r>
        <w:rPr>
          <w:rFonts w:hint="eastAsia" w:asciiTheme="minorEastAsia" w:hAnsiTheme="minorEastAsia" w:cstheme="minorEastAsia"/>
          <w:sz w:val="24"/>
        </w:rPr>
        <w:t>为年化收益率，由（4.1</w:t>
      </w:r>
      <w:r>
        <w:rPr>
          <w:rFonts w:hint="eastAsia" w:asciiTheme="minorEastAsia" w:hAnsiTheme="minorEastAsia" w:cstheme="minorEastAsia"/>
          <w:sz w:val="24"/>
          <w:lang w:val="en-US" w:eastAsia="zh-CN"/>
        </w:rPr>
        <w:t>0</w:t>
      </w:r>
      <w:r>
        <w:rPr>
          <w:rFonts w:hint="eastAsia" w:asciiTheme="minorEastAsia" w:hAnsiTheme="minorEastAsia" w:cstheme="minorEastAsia"/>
          <w:sz w:val="24"/>
        </w:rPr>
        <w:t>）式计算而来；</w:t>
      </w:r>
      <w:r>
        <w:rPr>
          <w:rFonts w:hint="eastAsia" w:asciiTheme="minorEastAsia" w:hAnsiTheme="minorEastAsia" w:cstheme="minorEastAsia"/>
          <w:position w:val="-12"/>
          <w:sz w:val="24"/>
        </w:rPr>
        <w:object>
          <v:shape id="_x0000_i1161" o:spt="75" type="#_x0000_t75" style="height:18pt;width:10.5pt;" o:ole="t" filled="f" o:preferrelative="t" stroked="f" coordsize="21600,21600">
            <v:path/>
            <v:fill on="f" focussize="0,0"/>
            <v:stroke on="f" joinstyle="miter"/>
            <v:imagedata r:id="rId210" o:title=""/>
            <o:lock v:ext="edit" aspectratio="t"/>
            <w10:wrap type="none"/>
            <w10:anchorlock/>
          </v:shape>
          <o:OLEObject Type="Embed" ProgID="Equation.KSEE3" ShapeID="_x0000_i1161" DrawAspect="Content" ObjectID="_1468075861" r:id="rId209">
            <o:LockedField>false</o:LockedField>
          </o:OLEObject>
        </w:object>
      </w:r>
      <w:r>
        <w:rPr>
          <w:rFonts w:hint="eastAsia" w:asciiTheme="minorEastAsia" w:hAnsiTheme="minorEastAsia" w:cstheme="minorEastAsia"/>
          <w:sz w:val="24"/>
        </w:rPr>
        <w:t>为无风险收益率，本文以银行1年期存款利率作为无风险收益率；</w:t>
      </w:r>
      <w:r>
        <w:rPr>
          <w:rFonts w:hint="eastAsia" w:asciiTheme="minorEastAsia" w:hAnsiTheme="minorEastAsia" w:cstheme="minorEastAsia"/>
          <w:position w:val="-14"/>
          <w:sz w:val="24"/>
        </w:rPr>
        <w:object>
          <v:shape id="_x0000_i1162" o:spt="75" type="#_x0000_t75" style="height:19.5pt;width:16.5pt;" o:ole="t" filled="f" o:preferrelative="t" stroked="f" coordsize="21600,21600">
            <v:path/>
            <v:fill on="f" focussize="0,0"/>
            <v:stroke on="f" joinstyle="miter"/>
            <v:imagedata r:id="rId199" o:title=""/>
            <o:lock v:ext="edit" aspectratio="t"/>
            <w10:wrap type="none"/>
            <w10:anchorlock/>
          </v:shape>
          <o:OLEObject Type="Embed" ProgID="Equation.KSEE3" ShapeID="_x0000_i1162" DrawAspect="Content" ObjectID="_1468075862" r:id="rId211">
            <o:LockedField>false</o:LockedField>
          </o:OLEObject>
        </w:object>
      </w:r>
      <w:r>
        <w:rPr>
          <w:rFonts w:hint="eastAsia" w:asciiTheme="minorEastAsia" w:hAnsiTheme="minorEastAsia" w:cstheme="minorEastAsia"/>
          <w:sz w:val="24"/>
        </w:rPr>
        <w:t>为年化收益率的标准差，由（4.1</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）式计算而来。</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在之前学者的研究中通常以夏普比率作为对策略套利结果的评价标准，而本文以夏普比率</w:t>
      </w:r>
      <w:r>
        <w:rPr>
          <w:rFonts w:hint="eastAsia" w:asciiTheme="minorEastAsia" w:hAnsiTheme="minorEastAsia" w:cstheme="minorEastAsia"/>
          <w:sz w:val="24"/>
          <w:lang w:val="en-US" w:eastAsia="zh-CN"/>
        </w:rPr>
        <w:t>最大</w:t>
      </w:r>
      <w:r>
        <w:rPr>
          <w:rFonts w:hint="eastAsia" w:asciiTheme="minorEastAsia" w:hAnsiTheme="minorEastAsia" w:cstheme="minorEastAsia"/>
          <w:sz w:val="24"/>
        </w:rPr>
        <w:t>为目标来</w:t>
      </w:r>
      <w:r>
        <w:rPr>
          <w:rFonts w:hint="eastAsia" w:asciiTheme="minorEastAsia" w:hAnsiTheme="minorEastAsia" w:cstheme="minorEastAsia"/>
          <w:sz w:val="24"/>
          <w:lang w:val="en-US" w:eastAsia="zh-CN"/>
        </w:rPr>
        <w:t>寻求</w:t>
      </w:r>
      <w:r>
        <w:rPr>
          <w:rFonts w:hint="eastAsia" w:asciiTheme="minorEastAsia" w:hAnsiTheme="minorEastAsia" w:cstheme="minorEastAsia"/>
          <w:sz w:val="24"/>
        </w:rPr>
        <w:t>最优的开平仓阈值，以夏普比率为目标不但衡量了策略的收益，同时也衡量了风险，也就是以单位风险下的收益最大化为目标，进行寻求最优的交易信号，为投资者提供同时考虑风险和收益的策略。</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6.</w:t>
      </w:r>
      <w:r>
        <w:rPr>
          <w:rFonts w:hint="eastAsia" w:asciiTheme="minorEastAsia" w:hAnsiTheme="minorEastAsia" w:cstheme="minorEastAsia"/>
          <w:sz w:val="24"/>
        </w:rPr>
        <w:t>胜率与盈亏比</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sz w:val="24"/>
        </w:rPr>
      </w:pPr>
      <w:r>
        <w:rPr>
          <w:rFonts w:hint="eastAsia" w:asciiTheme="minorEastAsia" w:hAnsiTheme="minorEastAsia" w:cstheme="minorEastAsia"/>
          <w:sz w:val="24"/>
        </w:rPr>
        <w:t>胜率是指在套利策略中套利的盈利交易的次数与总交易次数的比值。胜率大于50%，说明该套利策略的盈利次数大于其亏损次数，但也不是胜率越高意味着越可能获得更高的收益，当盈利次数虽然较多但盈利值不大，亏损次数虽然较少但亏损值加大时，有可能使得策略出现亏损。盈亏比是对策略总体的盈利值和亏损值进行比较，盈亏比越大说明该策略的盈利效果越好。</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eastAsia="黑体" w:cs="黑体"/>
          <w:b w:val="0"/>
          <w:bCs/>
          <w:kern w:val="2"/>
          <w:sz w:val="28"/>
          <w:szCs w:val="28"/>
          <w:lang w:val="en-US" w:eastAsia="zh-CN" w:bidi="ar-SA"/>
        </w:rPr>
      </w:pPr>
      <w:bookmarkStart w:id="206" w:name="_Toc12345"/>
      <w:bookmarkStart w:id="207" w:name="_Toc27768"/>
      <w:bookmarkStart w:id="208" w:name="_Toc25671"/>
      <w:bookmarkStart w:id="209" w:name="_Toc29473"/>
      <w:bookmarkStart w:id="210" w:name="_Toc13668"/>
      <w:r>
        <w:rPr>
          <w:rFonts w:hint="eastAsia" w:ascii="黑体" w:hAnsi="黑体" w:eastAsia="黑体" w:cs="黑体"/>
          <w:b w:val="0"/>
          <w:bCs/>
          <w:kern w:val="2"/>
          <w:sz w:val="28"/>
          <w:szCs w:val="28"/>
          <w:lang w:val="en-US" w:eastAsia="zh-CN" w:bidi="ar-SA"/>
        </w:rPr>
        <w:t>4.4.2 套利成本</w:t>
      </w:r>
      <w:bookmarkEnd w:id="206"/>
      <w:bookmarkEnd w:id="207"/>
      <w:bookmarkEnd w:id="208"/>
      <w:bookmarkEnd w:id="209"/>
      <w:r>
        <w:rPr>
          <w:rFonts w:hint="eastAsia" w:ascii="黑体" w:hAnsi="黑体" w:eastAsia="黑体" w:cs="黑体"/>
          <w:b w:val="0"/>
          <w:bCs/>
          <w:kern w:val="2"/>
          <w:sz w:val="28"/>
          <w:szCs w:val="28"/>
          <w:lang w:val="en-US" w:eastAsia="zh-CN" w:bidi="ar-SA"/>
        </w:rPr>
        <w:t>的确定</w:t>
      </w:r>
      <w:bookmarkEnd w:id="210"/>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在此次套利交易中所涉及到的成本有保证金、手续费、税金以及冲击成本等。由于本文所套利的规模相对较小，再加之本文选取的数据是交易活跃的数据，因此在本文的交易成本的分析中忽略有卖无买或有买无卖造成的冲击成本，仅考虑保证金和手续费。</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保证金</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rPr>
        <w:t>期货市场交易采用保证金制度进行交易，国债期货的具体保证金比率由中金所规定的。根据表2.1可知2年期国债期货的最低保证金是合约价值的0.5%，5年期国债期货的最低保证金是合约价值的1%，投资者只需要缴纳充足的保证金就可以进行交易，但是保证金交易属于杠杆交易，在收益放大的同时投资者需要承担的风险也较大</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因此</w:t>
      </w:r>
      <w:r>
        <w:rPr>
          <w:rFonts w:hint="eastAsia" w:asciiTheme="minorEastAsia" w:hAnsiTheme="minorEastAsia" w:cstheme="minorEastAsia"/>
          <w:sz w:val="24"/>
        </w:rPr>
        <w:t>期货市场的保证金采用的是逐日盯市制度，投资者的保证金必须大于等于中金所所规定的最低保证金比例，当保证金低于最低保证金比例时会将所持有的期货自动进行强行平仓，这样可能会出现亏损或破坏策略的执行。</w:t>
      </w:r>
      <w:r>
        <w:rPr>
          <w:rFonts w:hint="eastAsia" w:asciiTheme="minorEastAsia" w:hAnsiTheme="minorEastAsia" w:cstheme="minorEastAsia"/>
          <w:sz w:val="24"/>
          <w:lang w:val="en-US" w:eastAsia="zh-CN"/>
        </w:rPr>
        <w:t>为避免保证金不足强行平仓，本文</w:t>
      </w:r>
      <w:r>
        <w:rPr>
          <w:rFonts w:hint="eastAsia" w:asciiTheme="minorEastAsia" w:hAnsiTheme="minorEastAsia" w:cstheme="minorEastAsia"/>
          <w:sz w:val="24"/>
        </w:rPr>
        <w:t>将2年期国债期货的保证金比率确定为</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%，将5年期国债期货的保证金比率确定为</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%。根据前文构建的套利组合可知每次交易的合约分别是10手2年期国债期货合约和</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手5年期国债期货合约，因此10手2年期国债期货合约需要的保证金为10*20000*100*</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 xml:space="preserve">% = </w:t>
      </w:r>
      <w:r>
        <w:rPr>
          <w:rFonts w:hint="eastAsia" w:asciiTheme="minorEastAsia" w:hAnsiTheme="minorEastAsia" w:cstheme="minorEastAsia"/>
          <w:sz w:val="24"/>
          <w:lang w:val="en-US" w:eastAsia="zh-CN"/>
        </w:rPr>
        <w:t>200000</w:t>
      </w:r>
      <w:r>
        <w:rPr>
          <w:rFonts w:hint="eastAsia" w:asciiTheme="minorEastAsia" w:hAnsiTheme="minorEastAsia" w:cstheme="minorEastAsia"/>
          <w:sz w:val="24"/>
        </w:rPr>
        <w:t>元，</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手5年期国债期货合约需要的保证金为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*10000*100*</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 xml:space="preserve">% = </w:t>
      </w:r>
      <w:r>
        <w:rPr>
          <w:rFonts w:hint="eastAsia" w:asciiTheme="minorEastAsia" w:hAnsiTheme="minorEastAsia" w:cstheme="minorEastAsia"/>
          <w:sz w:val="24"/>
          <w:lang w:val="en-US" w:eastAsia="zh-CN"/>
        </w:rPr>
        <w:t>100000</w:t>
      </w:r>
      <w:r>
        <w:rPr>
          <w:rFonts w:hint="eastAsia" w:asciiTheme="minorEastAsia" w:hAnsiTheme="minorEastAsia" w:cstheme="minorEastAsia"/>
          <w:sz w:val="24"/>
        </w:rPr>
        <w:t>元。因此将初始套利交易所需要的保证金为</w:t>
      </w:r>
      <w:r>
        <w:rPr>
          <w:rFonts w:hint="eastAsia" w:asciiTheme="minorEastAsia" w:hAnsiTheme="minorEastAsia" w:cstheme="minorEastAsia"/>
          <w:sz w:val="24"/>
          <w:lang w:val="en-US" w:eastAsia="zh-CN"/>
        </w:rPr>
        <w:t>300</w:t>
      </w:r>
      <w:r>
        <w:rPr>
          <w:rFonts w:hint="eastAsia" w:asciiTheme="minorEastAsia" w:hAnsiTheme="minorEastAsia" w:cstheme="minorEastAsia"/>
          <w:sz w:val="24"/>
        </w:rPr>
        <w:t>000元。</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手续费及税金</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rPr>
        <w:t>手续费是指投资者需要向期货交易所、期货公司及相应经纪人缴纳的费用；而税金是指投资者在交易中必须依法向税务机关缴纳的税金，主要包括印花税、资本利得税，在我国期货交易过程中只收取印花税，在国外除了收取印花税外还会收取资本利得税，但我国金融期货市场规定投资者在交易金融期货的过程中不需缴纳印花税。因此，国债期货的跨品种套利交易中交易成本仅包括交易手续费，中金所规定国债期货合约的手续费为每手3元，因此本文套利策略中所交易的合约共1</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手，故每次交易</w:t>
      </w:r>
      <w:r>
        <w:rPr>
          <w:rFonts w:hint="eastAsia" w:asciiTheme="minorEastAsia" w:hAnsiTheme="minorEastAsia" w:cstheme="minorEastAsia"/>
          <w:sz w:val="24"/>
          <w:lang w:val="en-US" w:eastAsia="zh-CN"/>
        </w:rPr>
        <w:t>信号时</w:t>
      </w:r>
      <w:r>
        <w:rPr>
          <w:rFonts w:hint="eastAsia" w:asciiTheme="minorEastAsia" w:hAnsiTheme="minorEastAsia" w:cstheme="minorEastAsia"/>
          <w:sz w:val="24"/>
        </w:rPr>
        <w:t>所需要的手续费为1</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*3=4</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元</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完成一次套利交易需要手续费为90元</w:t>
      </w:r>
      <w:r>
        <w:rPr>
          <w:rFonts w:hint="eastAsia" w:asciiTheme="minorEastAsia" w:hAnsiTheme="minorEastAsia" w:cstheme="minorEastAsia"/>
          <w:sz w:val="24"/>
        </w:rPr>
        <w:t>。</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eastAsia" w:ascii="黑体" w:hAnsi="黑体" w:eastAsia="黑体" w:cs="黑体"/>
          <w:b w:val="0"/>
          <w:bCs/>
          <w:kern w:val="2"/>
          <w:sz w:val="28"/>
          <w:szCs w:val="28"/>
          <w:lang w:val="en-US" w:eastAsia="zh-CN" w:bidi="ar-SA"/>
        </w:rPr>
      </w:pPr>
      <w:bookmarkStart w:id="211" w:name="_Toc3158"/>
      <w:r>
        <w:rPr>
          <w:rFonts w:hint="eastAsia" w:ascii="黑体" w:hAnsi="黑体" w:eastAsia="黑体" w:cs="黑体"/>
          <w:b w:val="0"/>
          <w:bCs/>
          <w:kern w:val="2"/>
          <w:sz w:val="28"/>
          <w:szCs w:val="28"/>
          <w:lang w:val="en-US" w:eastAsia="zh-CN" w:bidi="ar-SA"/>
        </w:rPr>
        <w:t>4.4.3 套利交易信号设计</w:t>
      </w:r>
      <w:bookmarkEnd w:id="21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1.止损信号设计原则</w:t>
      </w:r>
      <w:bookmarkEnd w:id="197"/>
      <w:bookmarkEnd w:id="198"/>
      <w:bookmarkEnd w:id="199"/>
      <w:bookmarkEnd w:id="20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本文利用的是统计套利原理进行</w:t>
      </w:r>
      <w:r>
        <w:rPr>
          <w:rFonts w:hint="eastAsia" w:asciiTheme="minorEastAsia" w:hAnsiTheme="minorEastAsia" w:eastAsiaTheme="minorEastAsia" w:cstheme="minorEastAsia"/>
          <w:sz w:val="24"/>
        </w:rPr>
        <w:t>跨品种套利策略研究，而这一原理主要是基于均值回复特征进行套利的，当价差偏离均衡价格是在一定概率下价差会收敛于均衡价差，但是并非绝对收敛，如果继续持仓可能会造成很大的损失，因此为了控制风险需要将价差不</w:t>
      </w:r>
      <w:r>
        <w:rPr>
          <w:rFonts w:hint="eastAsia" w:asciiTheme="minorEastAsia" w:hAnsiTheme="minorEastAsia" w:eastAsiaTheme="minorEastAsia" w:cstheme="minorEastAsia"/>
          <w:sz w:val="24"/>
          <w:lang w:val="en-US" w:eastAsia="zh-CN"/>
        </w:rPr>
        <w:t>收敛</w:t>
      </w:r>
      <w:r>
        <w:rPr>
          <w:rFonts w:hint="eastAsia" w:asciiTheme="minorEastAsia" w:hAnsiTheme="minorEastAsia" w:eastAsiaTheme="minorEastAsia" w:cstheme="minorEastAsia"/>
          <w:sz w:val="24"/>
        </w:rPr>
        <w:t>的情况考虑到策略设计中，故应该将风险控制加入策略的构建之中，对亏损进行衡量和控制。</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本文在止损信号的设置上通过参考</w:t>
      </w:r>
      <w:r>
        <w:rPr>
          <w:rFonts w:hint="eastAsia" w:asciiTheme="minorEastAsia" w:hAnsiTheme="minorEastAsia" w:eastAsiaTheme="minorEastAsia" w:cstheme="minorEastAsia"/>
          <w:sz w:val="24"/>
        </w:rPr>
        <w:t>现有文献，</w:t>
      </w:r>
      <w:r>
        <w:rPr>
          <w:rFonts w:hint="default" w:ascii="Times New Roman" w:hAnsi="Times New Roman" w:cs="Times New Roman" w:eastAsiaTheme="minorEastAsia"/>
          <w:color w:val="222222"/>
          <w:kern w:val="0"/>
          <w:sz w:val="24"/>
          <w:szCs w:val="24"/>
          <w:lang w:val="en-US" w:eastAsia="zh-CN" w:bidi="ar"/>
        </w:rPr>
        <w:t>Vidyamurthy</w:t>
      </w:r>
      <w:r>
        <w:rPr>
          <w:rFonts w:hint="eastAsia" w:asciiTheme="minorEastAsia" w:hAnsiTheme="minorEastAsia" w:eastAsiaTheme="minorEastAsia" w:cstheme="minorEastAsia"/>
          <w:color w:val="000000"/>
          <w:kern w:val="0"/>
          <w:sz w:val="24"/>
          <w:szCs w:val="24"/>
          <w:lang w:val="en-US" w:eastAsia="zh-CN" w:bidi="ar"/>
        </w:rPr>
        <w:t>（2004）提出以±0.75、±2倍标准差开仓和止损参数，张河生和闻岳春（2013）通过研究表明在止损阈值的确定上应尽量大一些，刘影（2019）对止损阈值分别为2、3、3.5、4进行测试选择止损阈值为3.5。</w:t>
      </w:r>
      <w:r>
        <w:rPr>
          <w:rFonts w:hint="eastAsia" w:asciiTheme="minorEastAsia" w:hAnsiTheme="minorEastAsia" w:eastAsiaTheme="minorEastAsia" w:cstheme="minorEastAsia"/>
          <w:sz w:val="24"/>
          <w:lang w:val="en-US" w:eastAsia="zh-CN"/>
        </w:rPr>
        <w:t>因此本文</w:t>
      </w:r>
      <w:r>
        <w:rPr>
          <w:rFonts w:hint="eastAsia" w:asciiTheme="minorEastAsia" w:hAnsiTheme="minorEastAsia" w:cstheme="minorEastAsia"/>
          <w:sz w:val="24"/>
          <w:lang w:val="en-US" w:eastAsia="zh-CN"/>
        </w:rPr>
        <w:t>根据现有研究在</w:t>
      </w:r>
      <w:r>
        <w:rPr>
          <w:rFonts w:hint="eastAsia" w:asciiTheme="minorEastAsia" w:hAnsiTheme="minorEastAsia" w:eastAsiaTheme="minorEastAsia" w:cstheme="minorEastAsia"/>
          <w:sz w:val="24"/>
        </w:rPr>
        <w:t>止损阈值的</w:t>
      </w:r>
      <w:r>
        <w:rPr>
          <w:rFonts w:hint="eastAsia" w:asciiTheme="minorEastAsia" w:hAnsiTheme="minorEastAsia" w:eastAsiaTheme="minorEastAsia" w:cstheme="minorEastAsia"/>
          <w:sz w:val="24"/>
          <w:lang w:val="en-US" w:eastAsia="zh-CN"/>
        </w:rPr>
        <w:t>确定上通过</w:t>
      </w:r>
      <w:r>
        <w:rPr>
          <w:rFonts w:hint="eastAsia" w:asciiTheme="minorEastAsia" w:hAnsiTheme="minorEastAsia" w:eastAsiaTheme="minorEastAsia" w:cstheme="minorEastAsia"/>
          <w:sz w:val="24"/>
        </w:rPr>
        <w:t>分析和测试</w:t>
      </w:r>
      <w:r>
        <w:rPr>
          <w:rFonts w:hint="eastAsia" w:asciiTheme="minorEastAsia" w:hAnsiTheme="minorEastAsia" w:cstheme="minorEastAsia"/>
          <w:sz w:val="24"/>
          <w:lang w:val="en-US" w:eastAsia="zh-CN"/>
        </w:rPr>
        <w:t>经验值</w:t>
      </w:r>
      <w:r>
        <w:rPr>
          <w:rFonts w:hint="eastAsia" w:asciiTheme="minorEastAsia" w:hAnsiTheme="minorEastAsia" w:eastAsiaTheme="minorEastAsia" w:cstheme="minorEastAsia"/>
          <w:sz w:val="24"/>
        </w:rPr>
        <w:t>（3.5、3、2.5）来进行设计，因为</w:t>
      </w:r>
      <w:r>
        <w:rPr>
          <w:rFonts w:hint="eastAsia" w:asciiTheme="minorEastAsia" w:hAnsiTheme="minorEastAsia" w:eastAsiaTheme="minorEastAsia" w:cstheme="minorEastAsia"/>
          <w:sz w:val="24"/>
          <w:lang w:val="en-US" w:eastAsia="zh-CN"/>
        </w:rPr>
        <w:t>止损阈值的设置事关策略的成败</w:t>
      </w:r>
      <w:r>
        <w:rPr>
          <w:rFonts w:hint="eastAsia" w:asciiTheme="minorEastAsia" w:hAnsiTheme="minorEastAsia" w:eastAsiaTheme="minorEastAsia" w:cstheme="minorEastAsia"/>
          <w:sz w:val="24"/>
        </w:rPr>
        <w:t>，因此选择合适的止损阈值是策略的关键之一。本文是国债期货的跨品种套利，套利交易本身是一种低风险交易</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但并非无风险</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所以</w:t>
      </w:r>
      <w:r>
        <w:rPr>
          <w:rFonts w:hint="eastAsia" w:asciiTheme="minorEastAsia" w:hAnsiTheme="minorEastAsia" w:eastAsiaTheme="minorEastAsia" w:cstheme="minorEastAsia"/>
          <w:sz w:val="24"/>
        </w:rPr>
        <w:t>为了更好的确保投资者资金的安全性使得套利更加符合低风险投资者的要求，因此对于这些经验值进行比较，选择最优的止损阈值。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当m等于2.5、3、3.5时的情况分别进行验证，根据样本内数据（历史收盘价数据）用MATLAB软件进行对上述策略求解最优止损阈值，通过验证测试选择止损阈值相对于其他值更好的策略，在去中心化价差序列超过正负m倍的标准差时进行止损平仓，将损失控制在相对较小的范围内，使得该策略更加有效。</w:t>
      </w:r>
    </w:p>
    <w:p>
      <w:pPr>
        <w:pStyle w:val="4"/>
        <w:keepNext/>
        <w:keepLines/>
        <w:pageBreakBefore w:val="0"/>
        <w:widowControl w:val="0"/>
        <w:kinsoku/>
        <w:wordWrap/>
        <w:overflowPunct/>
        <w:topLinePunct w:val="0"/>
        <w:autoSpaceDE/>
        <w:autoSpaceDN/>
        <w:bidi w:val="0"/>
        <w:adjustRightInd/>
        <w:snapToGrid/>
        <w:spacing w:before="0" w:after="0" w:line="400" w:lineRule="exact"/>
        <w:ind w:firstLine="480" w:firstLineChars="200"/>
        <w:textAlignment w:val="auto"/>
        <w:rPr>
          <w:rFonts w:hint="eastAsia" w:asciiTheme="minorEastAsia" w:hAnsiTheme="minorEastAsia" w:eastAsiaTheme="minorEastAsia" w:cstheme="minorEastAsia"/>
          <w:b w:val="0"/>
          <w:kern w:val="2"/>
          <w:sz w:val="24"/>
          <w:szCs w:val="24"/>
          <w:lang w:val="en-US" w:eastAsia="zh-CN" w:bidi="ar-SA"/>
        </w:rPr>
      </w:pPr>
      <w:bookmarkStart w:id="212" w:name="_Toc28439"/>
      <w:bookmarkStart w:id="213" w:name="_Toc32180"/>
      <w:bookmarkStart w:id="214" w:name="_Toc11710"/>
      <w:bookmarkStart w:id="215" w:name="_Toc11258"/>
      <w:bookmarkStart w:id="216" w:name="_Toc17445"/>
      <w:r>
        <w:rPr>
          <w:rFonts w:hint="eastAsia" w:asciiTheme="minorEastAsia" w:hAnsiTheme="minorEastAsia" w:eastAsiaTheme="minorEastAsia" w:cstheme="minorEastAsia"/>
          <w:b w:val="0"/>
          <w:kern w:val="2"/>
          <w:sz w:val="24"/>
          <w:szCs w:val="24"/>
          <w:lang w:val="en-US" w:eastAsia="zh-CN" w:bidi="ar-SA"/>
        </w:rPr>
        <w:t>2.开平仓信号设计原则</w:t>
      </w:r>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将平仓信号的参数设为0，开仓信号的初始参数设为n=0.1，首先固定止损阈值m，然后开仓阈值以步长为0.1，历遍区间[0,m]，即将区间[0,m]的值一一赋予n，求解每一个开仓阈值下的套利策略的累计收益率，再根据累计收益为正的参数进行年化收益率、夏普比率计算，通过对收益率、夏普比率的综合考虑和比较，选择最大的夏普比率对应的n的值</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得到对称交易信号的套利策略。对于非对称交易信号的确定通过对对称交易信号的套利策略套利效果进行分析，在其基础进行改进，寻求最优的非对称交易信号的套利策略。</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default" w:ascii="黑体" w:hAnsi="黑体" w:eastAsia="黑体" w:cs="黑体"/>
          <w:b w:val="0"/>
          <w:bCs/>
          <w:kern w:val="2"/>
          <w:sz w:val="28"/>
          <w:szCs w:val="28"/>
          <w:lang w:val="en-US" w:eastAsia="zh-CN" w:bidi="ar-SA"/>
        </w:rPr>
      </w:pPr>
      <w:bookmarkStart w:id="217" w:name="_Toc9797"/>
      <w:bookmarkStart w:id="218" w:name="_Toc15486"/>
      <w:bookmarkStart w:id="219" w:name="_Toc32349"/>
      <w:bookmarkStart w:id="220" w:name="_Toc19601"/>
      <w:bookmarkStart w:id="221" w:name="_Toc23544"/>
      <w:r>
        <w:rPr>
          <w:rFonts w:hint="eastAsia" w:ascii="黑体" w:hAnsi="黑体" w:eastAsia="黑体" w:cs="黑体"/>
          <w:b w:val="0"/>
          <w:bCs/>
          <w:kern w:val="2"/>
          <w:sz w:val="28"/>
          <w:szCs w:val="28"/>
          <w:lang w:val="en-US" w:eastAsia="zh-CN" w:bidi="ar-SA"/>
        </w:rPr>
        <w:t>4.</w:t>
      </w:r>
      <w:r>
        <w:rPr>
          <w:rFonts w:hint="eastAsia" w:ascii="黑体" w:hAnsi="黑体" w:cs="黑体"/>
          <w:b w:val="0"/>
          <w:bCs/>
          <w:kern w:val="2"/>
          <w:sz w:val="28"/>
          <w:szCs w:val="28"/>
          <w:lang w:val="en-US" w:eastAsia="zh-CN" w:bidi="ar-SA"/>
        </w:rPr>
        <w:t xml:space="preserve">5 </w:t>
      </w:r>
      <w:r>
        <w:rPr>
          <w:rFonts w:hint="eastAsia" w:ascii="黑体" w:hAnsi="黑体" w:eastAsia="黑体" w:cs="黑体"/>
          <w:b w:val="0"/>
          <w:bCs/>
          <w:kern w:val="2"/>
          <w:sz w:val="28"/>
          <w:szCs w:val="28"/>
          <w:lang w:val="en-US" w:eastAsia="zh-CN" w:bidi="ar-SA"/>
        </w:rPr>
        <w:t>套利策略</w:t>
      </w:r>
      <w:bookmarkEnd w:id="217"/>
      <w:bookmarkEnd w:id="218"/>
      <w:bookmarkEnd w:id="219"/>
      <w:bookmarkEnd w:id="220"/>
      <w:r>
        <w:rPr>
          <w:rFonts w:hint="eastAsia" w:ascii="黑体" w:hAnsi="黑体" w:cs="黑体"/>
          <w:b w:val="0"/>
          <w:bCs/>
          <w:kern w:val="2"/>
          <w:sz w:val="28"/>
          <w:szCs w:val="28"/>
          <w:lang w:val="en-US" w:eastAsia="zh-CN" w:bidi="ar-SA"/>
        </w:rPr>
        <w:t>效果分析</w:t>
      </w:r>
      <w:bookmarkEnd w:id="221"/>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eastAsia="黑体" w:cs="黑体"/>
          <w:b w:val="0"/>
          <w:bCs/>
          <w:sz w:val="28"/>
          <w:szCs w:val="28"/>
          <w:lang w:val="en-US" w:eastAsia="zh-CN"/>
        </w:rPr>
      </w:pPr>
      <w:bookmarkStart w:id="222" w:name="_Toc30801"/>
      <w:bookmarkStart w:id="223" w:name="_Toc22949"/>
      <w:bookmarkStart w:id="224" w:name="_Toc26784"/>
      <w:bookmarkStart w:id="225" w:name="_Toc10672"/>
      <w:bookmarkStart w:id="226" w:name="_Toc19046"/>
      <w:r>
        <w:rPr>
          <w:rFonts w:hint="eastAsia" w:ascii="黑体" w:hAnsi="黑体" w:eastAsia="黑体" w:cs="黑体"/>
          <w:b w:val="0"/>
          <w:bCs/>
          <w:sz w:val="28"/>
          <w:szCs w:val="28"/>
          <w:lang w:val="en-US" w:eastAsia="zh-CN"/>
        </w:rPr>
        <w:t>4.5.1 对称交易信号策略</w:t>
      </w:r>
      <w:bookmarkEnd w:id="222"/>
      <w:bookmarkEnd w:id="223"/>
      <w:bookmarkEnd w:id="224"/>
      <w:bookmarkEnd w:id="225"/>
      <w:r>
        <w:rPr>
          <w:rFonts w:hint="eastAsia" w:ascii="黑体" w:hAnsi="黑体" w:eastAsia="黑体" w:cs="黑体"/>
          <w:b w:val="0"/>
          <w:bCs/>
          <w:sz w:val="28"/>
          <w:szCs w:val="28"/>
          <w:lang w:val="en-US" w:eastAsia="zh-CN"/>
        </w:rPr>
        <w:t>的套利效果</w:t>
      </w:r>
      <w:bookmarkEnd w:id="22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对称交易信号</w:t>
      </w:r>
      <w:r>
        <w:rPr>
          <w:rFonts w:hint="eastAsia" w:asciiTheme="minorEastAsia" w:hAnsiTheme="minorEastAsia" w:cstheme="minorEastAsia"/>
          <w:sz w:val="24"/>
          <w:lang w:val="en-US" w:eastAsia="zh-CN"/>
        </w:rPr>
        <w:t>设计</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asciiTheme="minorEastAsia" w:hAnsiTheme="minorEastAsia" w:cstheme="minorEastAsia"/>
          <w:sz w:val="24"/>
        </w:rPr>
      </w:pPr>
      <w:r>
        <w:rPr>
          <w:rFonts w:hint="eastAsia" w:asciiTheme="minorEastAsia" w:hAnsiTheme="minorEastAsia" w:cstheme="minorEastAsia"/>
          <w:sz w:val="24"/>
        </w:rPr>
        <w:t>在考虑到将正反向套利交易信号设为对称信号时，通过用MATLAB软件进行对上述策略求解最优止损阈值，测试发现样本内止损阈值</w:t>
      </w:r>
      <w:r>
        <w:rPr>
          <w:rStyle w:val="24"/>
          <w:rFonts w:hint="eastAsia"/>
          <w:lang w:val="en-US" w:eastAsia="zh-CN"/>
        </w:rPr>
        <w:t>m</w:t>
      </w:r>
      <w:r>
        <w:rPr>
          <w:rFonts w:hint="eastAsia" w:asciiTheme="minorEastAsia" w:hAnsiTheme="minorEastAsia" w:cstheme="minorEastAsia"/>
          <w:sz w:val="24"/>
        </w:rPr>
        <w:t>为</w:t>
      </w:r>
      <w:r>
        <w:rPr>
          <w:rFonts w:hint="eastAsia" w:asciiTheme="minorEastAsia" w:hAnsiTheme="minorEastAsia" w:cstheme="minorEastAsia"/>
          <w:sz w:val="24"/>
          <w:lang w:val="en-US" w:eastAsia="zh-CN"/>
        </w:rPr>
        <w:t>3</w:t>
      </w:r>
      <w:r>
        <w:rPr>
          <w:rFonts w:hint="eastAsia" w:asciiTheme="minorEastAsia" w:hAnsiTheme="minorEastAsia" w:cstheme="minorEastAsia"/>
          <w:sz w:val="24"/>
        </w:rPr>
        <w:t>时策略更优，</w:t>
      </w:r>
      <w:r>
        <w:rPr>
          <w:rFonts w:hint="eastAsia" w:asciiTheme="minorEastAsia" w:hAnsiTheme="minorEastAsia" w:cstheme="minorEastAsia"/>
          <w:sz w:val="24"/>
          <w:lang w:val="en-US" w:eastAsia="zh-CN"/>
        </w:rPr>
        <w:t>故确定止损阈值为3。在</w:t>
      </w:r>
      <w:r>
        <w:rPr>
          <w:rFonts w:hint="eastAsia" w:asciiTheme="minorEastAsia" w:hAnsiTheme="minorEastAsia" w:cstheme="minorEastAsia"/>
          <w:sz w:val="24"/>
        </w:rPr>
        <w:t>确定了止损阈值</w:t>
      </w:r>
      <w:r>
        <w:rPr>
          <w:rFonts w:hint="eastAsia" w:asciiTheme="minorEastAsia" w:hAnsiTheme="minorEastAsia" w:cstheme="minorEastAsia"/>
          <w:sz w:val="24"/>
          <w:lang w:val="en-US" w:eastAsia="zh-CN"/>
        </w:rPr>
        <w:t>m=3</w:t>
      </w:r>
      <w:r>
        <w:rPr>
          <w:rFonts w:hint="eastAsia" w:asciiTheme="minorEastAsia" w:hAnsiTheme="minorEastAsia" w:cstheme="minorEastAsia"/>
          <w:sz w:val="24"/>
        </w:rPr>
        <w:t>时，根据样本内数据（历史收盘价数据）用MATLAB软件进行测试和计算，计算累计收益率结果如下图：</w:t>
      </w:r>
    </w:p>
    <w:p>
      <w:pPr>
        <w:spacing w:line="360" w:lineRule="auto"/>
        <w:rPr>
          <w:rFonts w:asciiTheme="minorEastAsia" w:hAnsiTheme="minorEastAsia" w:cstheme="minorEastAsia"/>
          <w:sz w:val="24"/>
        </w:rPr>
      </w:pPr>
      <w:r>
        <w:drawing>
          <wp:inline distT="0" distB="0" distL="114300" distR="114300">
            <wp:extent cx="5278120" cy="1549400"/>
            <wp:effectExtent l="4445" t="4445" r="13335" b="82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2"/>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firstLine="482"/>
        <w:jc w:val="center"/>
        <w:textAlignment w:val="auto"/>
        <w:rPr>
          <w:rFonts w:asciiTheme="minorEastAsia" w:hAnsiTheme="minorEastAsia" w:cstheme="minorEastAsia"/>
          <w:sz w:val="24"/>
        </w:rPr>
      </w:pPr>
      <w:r>
        <w:rPr>
          <w:rFonts w:hint="eastAsia" w:asciiTheme="minorEastAsia" w:hAnsiTheme="minorEastAsia" w:cstheme="minorEastAsia"/>
          <w:sz w:val="21"/>
          <w:szCs w:val="21"/>
        </w:rPr>
        <w:t>图4.</w:t>
      </w:r>
      <w:r>
        <w:rPr>
          <w:rFonts w:hint="eastAsia" w:asciiTheme="minorEastAsia" w:hAnsiTheme="minorEastAsia" w:cstheme="minorEastAsia"/>
          <w:sz w:val="21"/>
          <w:szCs w:val="21"/>
          <w:lang w:val="en-US" w:eastAsia="zh-CN"/>
        </w:rPr>
        <w:t xml:space="preserve">5  </w:t>
      </w:r>
      <w:r>
        <w:rPr>
          <w:rFonts w:hint="eastAsia" w:asciiTheme="minorEastAsia" w:hAnsiTheme="minorEastAsia" w:cstheme="minorEastAsia"/>
          <w:sz w:val="21"/>
          <w:szCs w:val="21"/>
        </w:rPr>
        <w:t>当m=3时不同开仓阈值下的策略累计收益率</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asciiTheme="minorEastAsia" w:hAnsiTheme="minorEastAsia" w:cstheme="minorEastAsia"/>
          <w:sz w:val="24"/>
        </w:rPr>
      </w:pPr>
      <w:r>
        <w:rPr>
          <w:rFonts w:hint="eastAsia" w:asciiTheme="minorEastAsia" w:hAnsiTheme="minorEastAsia" w:cstheme="minorEastAsia"/>
          <w:sz w:val="24"/>
        </w:rPr>
        <w:t>通过图4.</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可以看出不同开仓阈值下的策略的累计收益率可能为正也可能为负，因此开仓阈值的取值十分重要，它决定着整个策略的成功与否。其中当开仓阈值n=0.6、0.7、0.8是累计收益率为正，通过对累计收益为正对应的开仓阈值下的策略的夏普比率进行比较，比较结果如下表：</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表4.</w:t>
      </w:r>
      <w:r>
        <w:rPr>
          <w:rFonts w:hint="eastAsia" w:asciiTheme="minorEastAsia" w:hAnsiTheme="minorEastAsia" w:cstheme="minorEastAsia"/>
          <w:sz w:val="21"/>
          <w:szCs w:val="21"/>
          <w:lang w:val="en-US" w:eastAsia="zh-CN"/>
        </w:rPr>
        <w:t xml:space="preserve">8  </w:t>
      </w:r>
      <w:r>
        <w:rPr>
          <w:rFonts w:hint="eastAsia" w:asciiTheme="minorEastAsia" w:hAnsiTheme="minorEastAsia" w:cstheme="minorEastAsia"/>
          <w:sz w:val="21"/>
          <w:szCs w:val="21"/>
        </w:rPr>
        <w:t>不同开仓阈值下的夏普比率</w:t>
      </w:r>
    </w:p>
    <w:tbl>
      <w:tblPr>
        <w:tblStyle w:val="14"/>
        <w:tblW w:w="8247" w:type="dxa"/>
        <w:tblInd w:w="0" w:type="dxa"/>
        <w:tblLayout w:type="fixed"/>
        <w:tblCellMar>
          <w:top w:w="0" w:type="dxa"/>
          <w:left w:w="0" w:type="dxa"/>
          <w:bottom w:w="0" w:type="dxa"/>
          <w:right w:w="0" w:type="dxa"/>
        </w:tblCellMar>
      </w:tblPr>
      <w:tblGrid>
        <w:gridCol w:w="1855"/>
        <w:gridCol w:w="2019"/>
        <w:gridCol w:w="2308"/>
        <w:gridCol w:w="2065"/>
      </w:tblGrid>
      <w:tr>
        <w:trPr>
          <w:trHeight w:val="270" w:hRule="atLeast"/>
        </w:trPr>
        <w:tc>
          <w:tcPr>
            <w:tcW w:w="185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开仓阈值</w:t>
            </w:r>
          </w:p>
        </w:tc>
        <w:tc>
          <w:tcPr>
            <w:tcW w:w="20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0.6</w:t>
            </w: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0.7</w:t>
            </w:r>
          </w:p>
        </w:tc>
        <w:tc>
          <w:tcPr>
            <w:tcW w:w="2065"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0.8</w:t>
            </w:r>
          </w:p>
        </w:tc>
      </w:tr>
      <w:tr>
        <w:tblPrEx>
          <w:tblCellMar>
            <w:top w:w="0" w:type="dxa"/>
            <w:left w:w="0" w:type="dxa"/>
            <w:bottom w:w="0" w:type="dxa"/>
            <w:right w:w="0" w:type="dxa"/>
          </w:tblCellMar>
        </w:tblPrEx>
        <w:trPr>
          <w:trHeight w:val="270" w:hRule="atLeast"/>
        </w:trPr>
        <w:tc>
          <w:tcPr>
            <w:tcW w:w="185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年化收益率</w:t>
            </w:r>
          </w:p>
        </w:tc>
        <w:tc>
          <w:tcPr>
            <w:tcW w:w="20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rPr>
              <w:t>14.66%</w:t>
            </w: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14.66</w:t>
            </w:r>
            <w:r>
              <w:rPr>
                <w:rFonts w:hint="eastAsia" w:ascii="宋体" w:hAnsi="宋体" w:eastAsia="宋体" w:cs="宋体"/>
                <w:color w:val="000000"/>
                <w:kern w:val="0"/>
                <w:sz w:val="21"/>
                <w:szCs w:val="21"/>
              </w:rPr>
              <w:t>%</w:t>
            </w:r>
          </w:p>
        </w:tc>
        <w:tc>
          <w:tcPr>
            <w:tcW w:w="2065"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28.62</w:t>
            </w:r>
            <w:r>
              <w:rPr>
                <w:rFonts w:hint="eastAsia" w:ascii="宋体" w:hAnsi="宋体" w:eastAsia="宋体" w:cs="宋体"/>
                <w:color w:val="000000"/>
                <w:kern w:val="0"/>
                <w:sz w:val="21"/>
                <w:szCs w:val="21"/>
              </w:rPr>
              <w:t>%</w:t>
            </w:r>
          </w:p>
        </w:tc>
      </w:tr>
      <w:tr>
        <w:tblPrEx>
          <w:tblCellMar>
            <w:top w:w="0" w:type="dxa"/>
            <w:left w:w="0" w:type="dxa"/>
            <w:bottom w:w="0" w:type="dxa"/>
            <w:right w:w="0" w:type="dxa"/>
          </w:tblCellMar>
        </w:tblPrEx>
        <w:trPr>
          <w:trHeight w:val="270" w:hRule="atLeast"/>
        </w:trPr>
        <w:tc>
          <w:tcPr>
            <w:tcW w:w="1855"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夏普比率</w:t>
            </w:r>
          </w:p>
        </w:tc>
        <w:tc>
          <w:tcPr>
            <w:tcW w:w="20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0.</w:t>
            </w:r>
            <w:r>
              <w:rPr>
                <w:rFonts w:hint="eastAsia" w:ascii="宋体" w:hAnsi="宋体" w:eastAsia="宋体" w:cs="宋体"/>
                <w:color w:val="000000"/>
                <w:kern w:val="0"/>
                <w:sz w:val="21"/>
                <w:szCs w:val="21"/>
                <w:lang w:val="en-US" w:eastAsia="zh-CN"/>
              </w:rPr>
              <w:t>0223</w:t>
            </w: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rPr>
              <w:t>0.</w:t>
            </w:r>
            <w:r>
              <w:rPr>
                <w:rFonts w:hint="eastAsia" w:ascii="宋体" w:hAnsi="宋体" w:eastAsia="宋体" w:cs="宋体"/>
                <w:color w:val="000000"/>
                <w:kern w:val="0"/>
                <w:sz w:val="21"/>
                <w:szCs w:val="21"/>
                <w:lang w:val="en-US" w:eastAsia="zh-CN"/>
              </w:rPr>
              <w:t>0223</w:t>
            </w:r>
          </w:p>
        </w:tc>
        <w:tc>
          <w:tcPr>
            <w:tcW w:w="2065"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rPr>
              <w:t>0.</w:t>
            </w:r>
            <w:r>
              <w:rPr>
                <w:rFonts w:hint="eastAsia" w:ascii="宋体" w:hAnsi="宋体" w:eastAsia="宋体" w:cs="宋体"/>
                <w:color w:val="000000"/>
                <w:kern w:val="0"/>
                <w:sz w:val="21"/>
                <w:szCs w:val="21"/>
                <w:lang w:val="en-US" w:eastAsia="zh-CN"/>
              </w:rPr>
              <w:t>0464</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根据表4.</w:t>
      </w:r>
      <w:r>
        <w:rPr>
          <w:rFonts w:hint="eastAsia" w:asciiTheme="minorEastAsia" w:hAnsiTheme="minorEastAsia" w:cstheme="minorEastAsia"/>
          <w:sz w:val="24"/>
          <w:lang w:val="en-US" w:eastAsia="zh-CN"/>
        </w:rPr>
        <w:t>8</w:t>
      </w:r>
      <w:r>
        <w:rPr>
          <w:rFonts w:hint="eastAsia" w:asciiTheme="minorEastAsia" w:hAnsiTheme="minorEastAsia" w:cstheme="minorEastAsia"/>
          <w:sz w:val="24"/>
        </w:rPr>
        <w:t>可知，本文应该选择的夏普比率最大时的开仓阈值n=0.8，同时也是累计收益最大的开仓阈值，因此本文的交易信号确定为</w:t>
      </w:r>
      <w:r>
        <w:rPr>
          <w:rFonts w:hint="eastAsia" w:asciiTheme="minorEastAsia" w:hAnsiTheme="minorEastAsia" w:cstheme="minorEastAsia"/>
          <w:position w:val="-12"/>
          <w:sz w:val="24"/>
        </w:rPr>
        <w:object>
          <v:shape id="_x0000_i1163"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63" DrawAspect="Content" ObjectID="_1468075863" r:id="rId213">
            <o:LockedField>false</o:LockedField>
          </o:OLEObject>
        </w:object>
      </w:r>
      <w:r>
        <w:rPr>
          <w:rFonts w:hint="eastAsia" w:asciiTheme="minorEastAsia" w:hAnsiTheme="minorEastAsia" w:cstheme="minorEastAsia"/>
          <w:sz w:val="24"/>
        </w:rPr>
        <w:t>波动超过正负0.8倍的标准差进行开仓，达到正负3倍的标准差或为0时进行平仓。即（1）若残差序列</w:t>
      </w:r>
      <w:r>
        <w:rPr>
          <w:rFonts w:hint="eastAsia" w:asciiTheme="minorEastAsia" w:hAnsiTheme="minorEastAsia" w:cstheme="minorEastAsia"/>
          <w:position w:val="-12"/>
          <w:sz w:val="24"/>
        </w:rPr>
        <w:object>
          <v:shape id="_x0000_i1164"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64" DrawAspect="Content" ObjectID="_1468075864" r:id="rId214">
            <o:LockedField>false</o:LockedField>
          </o:OLEObject>
        </w:object>
      </w:r>
      <w:r>
        <w:rPr>
          <w:rFonts w:hint="eastAsia" w:asciiTheme="minorEastAsia" w:hAnsiTheme="minorEastAsia" w:cstheme="minorEastAsia"/>
          <w:sz w:val="24"/>
        </w:rPr>
        <w:t>&gt; 0.8*</w:t>
      </w:r>
      <w:r>
        <w:rPr>
          <w:rFonts w:hint="eastAsia" w:asciiTheme="minorEastAsia" w:hAnsiTheme="minorEastAsia" w:cstheme="minorEastAsia"/>
          <w:position w:val="-12"/>
          <w:sz w:val="24"/>
        </w:rPr>
        <w:object>
          <v:shape id="_x0000_i1165"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65" DrawAspect="Content" ObjectID="_1468075865" r:id="rId215">
            <o:LockedField>false</o:LockedField>
          </o:OLEObject>
        </w:object>
      </w:r>
      <w:r>
        <w:rPr>
          <w:rFonts w:hint="eastAsia" w:asciiTheme="minorEastAsia" w:hAnsiTheme="minorEastAsia" w:cstheme="minorEastAsia"/>
          <w:sz w:val="24"/>
        </w:rPr>
        <w:t>且</w:t>
      </w:r>
      <w:r>
        <w:rPr>
          <w:rFonts w:hint="eastAsia" w:asciiTheme="minorEastAsia" w:hAnsiTheme="minorEastAsia" w:cstheme="minorEastAsia"/>
          <w:position w:val="-12"/>
          <w:sz w:val="24"/>
        </w:rPr>
        <w:object>
          <v:shape id="_x0000_i1166"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66" DrawAspect="Content" ObjectID="_1468075866" r:id="rId216">
            <o:LockedField>false</o:LockedField>
          </o:OLEObject>
        </w:object>
      </w:r>
      <w:r>
        <w:rPr>
          <w:rFonts w:hint="eastAsia" w:asciiTheme="minorEastAsia" w:hAnsiTheme="minorEastAsia" w:cstheme="minorEastAsia"/>
          <w:sz w:val="24"/>
        </w:rPr>
        <w:t>&lt; 3*</w:t>
      </w:r>
      <w:r>
        <w:rPr>
          <w:rFonts w:hint="eastAsia" w:asciiTheme="minorEastAsia" w:hAnsiTheme="minorEastAsia" w:cstheme="minorEastAsia"/>
          <w:position w:val="-12"/>
          <w:sz w:val="24"/>
        </w:rPr>
        <w:object>
          <v:shape id="_x0000_i1167"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67" DrawAspect="Content" ObjectID="_1468075867" r:id="rId217">
            <o:LockedField>false</o:LockedField>
          </o:OLEObject>
        </w:object>
      </w:r>
      <w:r>
        <w:rPr>
          <w:rFonts w:hint="eastAsia" w:asciiTheme="minorEastAsia" w:hAnsiTheme="minorEastAsia" w:cstheme="minorEastAsia"/>
          <w:sz w:val="24"/>
        </w:rPr>
        <w:t>时，卖出10手TS合约，同时买入</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手TF合约，然后在</w:t>
      </w:r>
      <w:r>
        <w:rPr>
          <w:rFonts w:hint="eastAsia" w:asciiTheme="minorEastAsia" w:hAnsiTheme="minorEastAsia" w:cstheme="minorEastAsia"/>
          <w:position w:val="-12"/>
          <w:sz w:val="24"/>
        </w:rPr>
        <w:object>
          <v:shape id="_x0000_i1168"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68" DrawAspect="Content" ObjectID="_1468075868" r:id="rId218">
            <o:LockedField>false</o:LockedField>
          </o:OLEObject>
        </w:object>
      </w:r>
      <w:r>
        <w:rPr>
          <w:rFonts w:hint="eastAsia" w:asciiTheme="minorEastAsia" w:hAnsiTheme="minorEastAsia" w:cstheme="minorEastAsia"/>
          <w:sz w:val="24"/>
        </w:rPr>
        <w:t>回复到均值0时或若</w:t>
      </w:r>
      <w:r>
        <w:rPr>
          <w:rFonts w:hint="eastAsia" w:asciiTheme="minorEastAsia" w:hAnsiTheme="minorEastAsia" w:cstheme="minorEastAsia"/>
          <w:position w:val="-12"/>
          <w:sz w:val="24"/>
        </w:rPr>
        <w:object>
          <v:shape id="_x0000_i1169"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69" DrawAspect="Content" ObjectID="_1468075869" r:id="rId219">
            <o:LockedField>false</o:LockedField>
          </o:OLEObject>
        </w:object>
      </w:r>
      <w:r>
        <w:rPr>
          <w:rFonts w:hint="eastAsia" w:asciiTheme="minorEastAsia" w:hAnsiTheme="minorEastAsia" w:cstheme="minorEastAsia"/>
          <w:sz w:val="24"/>
        </w:rPr>
        <w:t>&gt; 3*</w:t>
      </w:r>
      <w:r>
        <w:rPr>
          <w:rFonts w:hint="eastAsia" w:asciiTheme="minorEastAsia" w:hAnsiTheme="minorEastAsia" w:cstheme="minorEastAsia"/>
          <w:position w:val="-12"/>
          <w:sz w:val="24"/>
        </w:rPr>
        <w:object>
          <v:shape id="_x0000_i1170"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70" DrawAspect="Content" ObjectID="_1468075870" r:id="rId220">
            <o:LockedField>false</o:LockedField>
          </o:OLEObject>
        </w:object>
      </w:r>
      <w:r>
        <w:rPr>
          <w:rFonts w:hint="eastAsia" w:asciiTheme="minorEastAsia" w:hAnsiTheme="minorEastAsia" w:cstheme="minorEastAsia"/>
          <w:sz w:val="24"/>
        </w:rPr>
        <w:t>时，进行反向操作，买入10手TS合约，同时卖出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手TF合约，进行平仓或止损平仓。（2）若</w:t>
      </w:r>
      <w:r>
        <w:rPr>
          <w:rFonts w:hint="eastAsia" w:asciiTheme="minorEastAsia" w:hAnsiTheme="minorEastAsia" w:cstheme="minorEastAsia"/>
          <w:position w:val="-12"/>
          <w:sz w:val="24"/>
        </w:rPr>
        <w:object>
          <v:shape id="_x0000_i1171"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71" DrawAspect="Content" ObjectID="_1468075871" r:id="rId221">
            <o:LockedField>false</o:LockedField>
          </o:OLEObject>
        </w:object>
      </w:r>
      <w:r>
        <w:rPr>
          <w:rFonts w:hint="eastAsia" w:asciiTheme="minorEastAsia" w:hAnsiTheme="minorEastAsia" w:cstheme="minorEastAsia"/>
          <w:sz w:val="24"/>
        </w:rPr>
        <w:t>&lt;-0.8*</w:t>
      </w:r>
      <w:r>
        <w:rPr>
          <w:rFonts w:hint="eastAsia" w:asciiTheme="minorEastAsia" w:hAnsiTheme="minorEastAsia" w:cstheme="minorEastAsia"/>
          <w:position w:val="-12"/>
          <w:sz w:val="24"/>
        </w:rPr>
        <w:object>
          <v:shape id="_x0000_i1172"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72" DrawAspect="Content" ObjectID="_1468075872" r:id="rId222">
            <o:LockedField>false</o:LockedField>
          </o:OLEObject>
        </w:object>
      </w:r>
      <w:r>
        <w:rPr>
          <w:rFonts w:hint="eastAsia" w:asciiTheme="minorEastAsia" w:hAnsiTheme="minorEastAsia" w:cstheme="minorEastAsia"/>
          <w:sz w:val="24"/>
        </w:rPr>
        <w:t>且</w:t>
      </w:r>
      <w:r>
        <w:rPr>
          <w:rFonts w:hint="eastAsia" w:asciiTheme="minorEastAsia" w:hAnsiTheme="minorEastAsia" w:cstheme="minorEastAsia"/>
          <w:position w:val="-12"/>
          <w:sz w:val="24"/>
        </w:rPr>
        <w:object>
          <v:shape id="_x0000_i1173"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73" DrawAspect="Content" ObjectID="_1468075873" r:id="rId223">
            <o:LockedField>false</o:LockedField>
          </o:OLEObject>
        </w:object>
      </w:r>
      <w:r>
        <w:rPr>
          <w:rFonts w:hint="eastAsia" w:asciiTheme="minorEastAsia" w:hAnsiTheme="minorEastAsia" w:cstheme="minorEastAsia"/>
          <w:sz w:val="24"/>
        </w:rPr>
        <w:t>&gt;-3*</w:t>
      </w:r>
      <w:r>
        <w:rPr>
          <w:rFonts w:hint="eastAsia" w:asciiTheme="minorEastAsia" w:hAnsiTheme="minorEastAsia" w:cstheme="minorEastAsia"/>
          <w:position w:val="-12"/>
          <w:sz w:val="24"/>
        </w:rPr>
        <w:object>
          <v:shape id="_x0000_i1174"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74" DrawAspect="Content" ObjectID="_1468075874" r:id="rId224">
            <o:LockedField>false</o:LockedField>
          </o:OLEObject>
        </w:object>
      </w:r>
      <w:r>
        <w:rPr>
          <w:rFonts w:hint="eastAsia" w:asciiTheme="minorEastAsia" w:hAnsiTheme="minorEastAsia" w:cstheme="minorEastAsia"/>
          <w:sz w:val="24"/>
        </w:rPr>
        <w:t>时，买入10手TS合约，同时卖出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手TF合约，然后在</w:t>
      </w:r>
      <w:r>
        <w:rPr>
          <w:rFonts w:hint="eastAsia" w:asciiTheme="minorEastAsia" w:hAnsiTheme="minorEastAsia" w:cstheme="minorEastAsia"/>
          <w:position w:val="-12"/>
          <w:sz w:val="24"/>
        </w:rPr>
        <w:object>
          <v:shape id="_x0000_i1175"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75" DrawAspect="Content" ObjectID="_1468075875" r:id="rId225">
            <o:LockedField>false</o:LockedField>
          </o:OLEObject>
        </w:object>
      </w:r>
      <w:r>
        <w:rPr>
          <w:rFonts w:hint="eastAsia" w:asciiTheme="minorEastAsia" w:hAnsiTheme="minorEastAsia" w:cstheme="minorEastAsia"/>
          <w:sz w:val="24"/>
        </w:rPr>
        <w:t>回复到均值0时或</w:t>
      </w:r>
      <w:r>
        <w:rPr>
          <w:rFonts w:hint="eastAsia" w:asciiTheme="minorEastAsia" w:hAnsiTheme="minorEastAsia" w:cstheme="minorEastAsia"/>
          <w:position w:val="-12"/>
          <w:sz w:val="24"/>
        </w:rPr>
        <w:object>
          <v:shape id="_x0000_i1176"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76" DrawAspect="Content" ObjectID="_1468075876" r:id="rId226">
            <o:LockedField>false</o:LockedField>
          </o:OLEObject>
        </w:object>
      </w:r>
      <w:r>
        <w:rPr>
          <w:rFonts w:hint="eastAsia" w:asciiTheme="minorEastAsia" w:hAnsiTheme="minorEastAsia" w:cstheme="minorEastAsia"/>
          <w:sz w:val="24"/>
        </w:rPr>
        <w:t>&lt;-3*</w:t>
      </w:r>
      <w:r>
        <w:rPr>
          <w:rFonts w:hint="eastAsia" w:asciiTheme="minorEastAsia" w:hAnsiTheme="minorEastAsia" w:cstheme="minorEastAsia"/>
          <w:position w:val="-12"/>
          <w:sz w:val="24"/>
        </w:rPr>
        <w:object>
          <v:shape id="_x0000_i1177"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77" DrawAspect="Content" ObjectID="_1468075877" r:id="rId227">
            <o:LockedField>false</o:LockedField>
          </o:OLEObject>
        </w:object>
      </w:r>
      <w:r>
        <w:rPr>
          <w:rFonts w:hint="eastAsia" w:asciiTheme="minorEastAsia" w:hAnsiTheme="minorEastAsia" w:cstheme="minorEastAsia"/>
          <w:sz w:val="24"/>
        </w:rPr>
        <w:t>时，进行反向操作，卖出10手TS合约，同时买入</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手TF合约，进行平仓或止损平仓。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样本内回测</w:t>
      </w:r>
      <w:r>
        <w:rPr>
          <w:rFonts w:hint="eastAsia" w:asciiTheme="minorEastAsia" w:hAnsiTheme="minorEastAsia" w:cstheme="minorEastAsia"/>
          <w:sz w:val="24"/>
          <w:lang w:val="en-US" w:eastAsia="zh-CN"/>
        </w:rPr>
        <w:t>效果</w:t>
      </w:r>
      <w:r>
        <w:rPr>
          <w:rFonts w:hint="eastAsia" w:asciiTheme="minorEastAsia" w:hAnsiTheme="minorEastAsia" w:cstheme="minorEastAsia"/>
          <w:sz w:val="24"/>
        </w:rPr>
        <w:t>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上文将最优阈值确定为（0.8，3），以这个最优阈值对样本内回测，将从策略的收益率、胜率以及交易次数几个方面进行评价。</w:t>
      </w:r>
    </w:p>
    <w:p>
      <w:pPr>
        <w:spacing w:line="360" w:lineRule="auto"/>
      </w:pPr>
      <w:r>
        <w:drawing>
          <wp:inline distT="0" distB="0" distL="114300" distR="114300">
            <wp:extent cx="5144770" cy="2253615"/>
            <wp:effectExtent l="0" t="0" r="17780" b="13335"/>
            <wp:docPr id="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7"/>
                    <pic:cNvPicPr>
                      <a:picLocks noChangeAspect="1"/>
                    </pic:cNvPicPr>
                  </pic:nvPicPr>
                  <pic:blipFill>
                    <a:blip r:embed="rId228" cstate="print"/>
                    <a:stretch>
                      <a:fillRect/>
                    </a:stretch>
                  </pic:blipFill>
                  <pic:spPr>
                    <a:xfrm>
                      <a:off x="0" y="0"/>
                      <a:ext cx="5144770" cy="2253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jc w:val="center"/>
        <w:textAlignment w:val="auto"/>
        <w:rPr>
          <w:rFonts w:asciiTheme="minorEastAsia" w:hAnsiTheme="minorEastAsia" w:cstheme="minorEastAsia"/>
          <w:sz w:val="24"/>
        </w:rPr>
      </w:pPr>
      <w:r>
        <w:rPr>
          <w:rFonts w:hint="eastAsia" w:asciiTheme="minorEastAsia" w:hAnsiTheme="minorEastAsia" w:cstheme="minorEastAsia"/>
          <w:sz w:val="21"/>
          <w:szCs w:val="21"/>
        </w:rPr>
        <w:t>图4.</w:t>
      </w:r>
      <w:r>
        <w:rPr>
          <w:rFonts w:hint="eastAsia" w:asciiTheme="minorEastAsia" w:hAnsiTheme="minorEastAsia" w:cstheme="minorEastAsia"/>
          <w:sz w:val="21"/>
          <w:szCs w:val="21"/>
          <w:lang w:val="en-US" w:eastAsia="zh-CN"/>
        </w:rPr>
        <w:t>6</w:t>
      </w:r>
      <w:r>
        <w:rPr>
          <w:rFonts w:hint="eastAsia" w:asciiTheme="minorEastAsia" w:hAnsiTheme="minorEastAsia" w:cstheme="minorEastAsia"/>
          <w:sz w:val="21"/>
          <w:szCs w:val="21"/>
        </w:rPr>
        <w:t xml:space="preserve">   策略样本内回测过程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图4.</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是根据对称最优阈值，开仓信号为</w:t>
      </w:r>
      <w:r>
        <w:rPr>
          <w:rFonts w:hint="eastAsia" w:asciiTheme="minorEastAsia" w:hAnsiTheme="minorEastAsia" w:cstheme="minorEastAsia"/>
          <w:sz w:val="24"/>
        </w:rPr>
        <w:object>
          <v:shape id="_x0000_i1178" o:spt="75" type="#_x0000_t75" style="height:12pt;width:10.5pt;" o:ole="t" filled="f" o:preferrelative="t" stroked="f" coordsize="21600,21600">
            <v:path/>
            <v:fill on="f" focussize="0,0"/>
            <v:stroke on="f" joinstyle="miter"/>
            <v:imagedata r:id="rId230" o:title=""/>
            <o:lock v:ext="edit" aspectratio="t"/>
            <w10:wrap type="none"/>
            <w10:anchorlock/>
          </v:shape>
          <o:OLEObject Type="Embed" ProgID="Equation.KSEE3" ShapeID="_x0000_i1178" DrawAspect="Content" ObjectID="_1468075878" r:id="rId229">
            <o:LockedField>false</o:LockedField>
          </o:OLEObject>
        </w:object>
      </w:r>
      <w:r>
        <w:rPr>
          <w:rFonts w:hint="eastAsia" w:asciiTheme="minorEastAsia" w:hAnsiTheme="minorEastAsia" w:cstheme="minorEastAsia"/>
          <w:sz w:val="24"/>
        </w:rPr>
        <w:t>0.8倍的标准差，止损信号为</w:t>
      </w:r>
      <w:r>
        <w:rPr>
          <w:rFonts w:hint="eastAsia" w:asciiTheme="minorEastAsia" w:hAnsiTheme="minorEastAsia" w:cstheme="minorEastAsia"/>
          <w:sz w:val="24"/>
        </w:rPr>
        <w:object>
          <v:shape id="_x0000_i1179" o:spt="75" type="#_x0000_t75" style="height:12pt;width:10.5pt;" o:ole="t" filled="f" o:preferrelative="t" stroked="f" coordsize="21600,21600">
            <v:path/>
            <v:fill on="f" focussize="0,0"/>
            <v:stroke on="f" joinstyle="miter"/>
            <v:imagedata r:id="rId230" o:title=""/>
            <o:lock v:ext="edit" aspectratio="t"/>
            <w10:wrap type="none"/>
            <w10:anchorlock/>
          </v:shape>
          <o:OLEObject Type="Embed" ProgID="Equation.KSEE3" ShapeID="_x0000_i1179" DrawAspect="Content" ObjectID="_1468075879" r:id="rId231">
            <o:LockedField>false</o:LockedField>
          </o:OLEObject>
        </w:object>
      </w:r>
      <w:r>
        <w:rPr>
          <w:rFonts w:hint="eastAsia" w:asciiTheme="minorEastAsia" w:hAnsiTheme="minorEastAsia" w:cstheme="minorEastAsia"/>
          <w:sz w:val="24"/>
        </w:rPr>
        <w:t>3倍的标准差时的回测过程，其中KUP、KDOWN为上下开仓线，ZUP、ZDOWN为上下止损线，中间在0附近波动的曲线E2为样本内去中心化价差序列的残差序列，可以看出该序列具有一定的均值回复特性。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cstheme="minorEastAsia"/>
          <w:sz w:val="21"/>
          <w:szCs w:val="21"/>
        </w:rPr>
      </w:pPr>
      <w:r>
        <w:rPr>
          <w:rFonts w:hint="eastAsia" w:asciiTheme="minorEastAsia" w:hAnsiTheme="minorEastAsia" w:cstheme="minorEastAsia"/>
          <w:sz w:val="21"/>
          <w:szCs w:val="21"/>
        </w:rPr>
        <w:t>表4.</w:t>
      </w:r>
      <w:r>
        <w:rPr>
          <w:rFonts w:hint="eastAsia" w:asciiTheme="minorEastAsia" w:hAnsiTheme="minorEastAsia" w:cstheme="minorEastAsia"/>
          <w:sz w:val="21"/>
          <w:szCs w:val="21"/>
          <w:lang w:val="en-US" w:eastAsia="zh-CN"/>
        </w:rPr>
        <w:t xml:space="preserve">9  </w:t>
      </w:r>
      <w:r>
        <w:rPr>
          <w:rFonts w:hint="eastAsia" w:asciiTheme="minorEastAsia" w:hAnsiTheme="minorEastAsia" w:cstheme="minorEastAsia"/>
          <w:sz w:val="21"/>
          <w:szCs w:val="21"/>
        </w:rPr>
        <w:t>对称阈值样本内正向套利情况</w:t>
      </w:r>
    </w:p>
    <w:tbl>
      <w:tblPr>
        <w:tblStyle w:val="14"/>
        <w:tblW w:w="8216" w:type="dxa"/>
        <w:tblInd w:w="21"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9"/>
        <w:gridCol w:w="1640"/>
        <w:gridCol w:w="2015"/>
        <w:gridCol w:w="1852"/>
        <w:gridCol w:w="165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1059" w:type="dxa"/>
            <w:tcBorders>
              <w:bottom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正向套利次数</w:t>
            </w:r>
          </w:p>
        </w:tc>
        <w:tc>
          <w:tcPr>
            <w:tcW w:w="1640" w:type="dxa"/>
            <w:tcBorders>
              <w:bottom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开仓时间</w:t>
            </w:r>
          </w:p>
        </w:tc>
        <w:tc>
          <w:tcPr>
            <w:tcW w:w="2015" w:type="dxa"/>
            <w:tcBorders>
              <w:bottom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平仓时间</w:t>
            </w:r>
          </w:p>
        </w:tc>
        <w:tc>
          <w:tcPr>
            <w:tcW w:w="1852" w:type="dxa"/>
            <w:tcBorders>
              <w:bottom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套利盈亏</w:t>
            </w:r>
          </w:p>
        </w:tc>
        <w:tc>
          <w:tcPr>
            <w:tcW w:w="1650" w:type="dxa"/>
            <w:tcBorders>
              <w:bottom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套利收益率(%)</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059" w:type="dxa"/>
            <w:tcBorders>
              <w:top w:val="single" w:color="000000" w:sz="8" w:space="0"/>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1640" w:type="dxa"/>
            <w:tcBorders>
              <w:top w:val="single" w:color="000000" w:sz="8" w:space="0"/>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2020/4/29 9:30</w:t>
            </w:r>
          </w:p>
        </w:tc>
        <w:tc>
          <w:tcPr>
            <w:tcW w:w="2015" w:type="dxa"/>
            <w:tcBorders>
              <w:top w:val="single" w:color="000000" w:sz="8" w:space="0"/>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2020/5/6 9:39</w:t>
            </w:r>
          </w:p>
        </w:tc>
        <w:tc>
          <w:tcPr>
            <w:tcW w:w="1852" w:type="dxa"/>
            <w:tcBorders>
              <w:top w:val="single" w:color="000000" w:sz="8" w:space="0"/>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6660</w:t>
            </w:r>
          </w:p>
        </w:tc>
        <w:tc>
          <w:tcPr>
            <w:tcW w:w="1650" w:type="dxa"/>
            <w:tcBorders>
              <w:top w:val="single" w:color="000000" w:sz="8" w:space="0"/>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2.22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2020/5/6 9:42</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2020/5/18 9:39</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17160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5.72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2020/5/18 10:03</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2020/5/19 9:54</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9410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3.14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2020/6/4 13:03</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2020/6/9 9:45</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-29840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-9.95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2020/6/9 9:51</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2020/6/16 9:18</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28660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9.55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2020/6/16 9:33</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2020/6/18 9:18</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0.55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2020/6/18 9:21</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2020/6/24 10:03</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16160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5.39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2020/6/24 10:06</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2020/6/29 15:12</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-8340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-2.78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2020/6/29 15:15</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9:18</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7660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2.55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9:21</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14:45</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18660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6.22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15:00</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2020/7/8 15:03</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17910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5.97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2020/7/8 15:15</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2020/7/9 13:12</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12660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4.22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2020/7/9 13:15</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2020/7/10 10:45</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-9840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-3.28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05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w:t>
            </w:r>
          </w:p>
        </w:tc>
        <w:tc>
          <w:tcPr>
            <w:tcW w:w="164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2020/7/10 10:51</w:t>
            </w:r>
          </w:p>
        </w:tc>
        <w:tc>
          <w:tcPr>
            <w:tcW w:w="201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2020/7/15 9:45</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7910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2.64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4714" w:type="dxa"/>
            <w:gridSpan w:val="3"/>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正向套利总收益以及累计收益率</w:t>
            </w:r>
          </w:p>
        </w:tc>
        <w:tc>
          <w:tcPr>
            <w:tcW w:w="1852"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96490</w:t>
            </w:r>
          </w:p>
        </w:tc>
        <w:tc>
          <w:tcPr>
            <w:tcW w:w="165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32.16 </w:t>
            </w:r>
          </w:p>
        </w:tc>
      </w:tr>
    </w:tbl>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cstheme="minorEastAsia"/>
          <w:sz w:val="21"/>
          <w:szCs w:val="21"/>
        </w:rPr>
      </w:pPr>
      <w:r>
        <w:rPr>
          <w:rFonts w:hint="eastAsia" w:asciiTheme="minorEastAsia" w:hAnsiTheme="minorEastAsia" w:cstheme="minorEastAsia"/>
          <w:sz w:val="21"/>
          <w:szCs w:val="21"/>
        </w:rPr>
        <w:t>表4.1</w:t>
      </w:r>
      <w:r>
        <w:rPr>
          <w:rFonts w:hint="eastAsia" w:asciiTheme="minorEastAsia" w:hAnsiTheme="minorEastAsia" w:cstheme="minorEastAsia"/>
          <w:sz w:val="21"/>
          <w:szCs w:val="21"/>
          <w:lang w:val="en-US" w:eastAsia="zh-CN"/>
        </w:rPr>
        <w:t xml:space="preserve">0  </w:t>
      </w:r>
      <w:r>
        <w:rPr>
          <w:rFonts w:hint="eastAsia" w:asciiTheme="minorEastAsia" w:hAnsiTheme="minorEastAsia" w:cstheme="minorEastAsia"/>
          <w:sz w:val="21"/>
          <w:szCs w:val="21"/>
        </w:rPr>
        <w:t>对称阈值样本内反向套利情况</w:t>
      </w:r>
    </w:p>
    <w:tbl>
      <w:tblPr>
        <w:tblStyle w:val="14"/>
        <w:tblW w:w="8237" w:type="dxa"/>
        <w:tblInd w:w="0" w:type="dxa"/>
        <w:shd w:val="clear" w:color="auto" w:fill="auto"/>
        <w:tblLayout w:type="autofit"/>
        <w:tblCellMar>
          <w:top w:w="0" w:type="dxa"/>
          <w:left w:w="0" w:type="dxa"/>
          <w:bottom w:w="0" w:type="dxa"/>
          <w:right w:w="0" w:type="dxa"/>
        </w:tblCellMar>
      </w:tblPr>
      <w:tblGrid>
        <w:gridCol w:w="1080"/>
        <w:gridCol w:w="1680"/>
        <w:gridCol w:w="1975"/>
        <w:gridCol w:w="1852"/>
        <w:gridCol w:w="1650"/>
      </w:tblGrid>
      <w:tr>
        <w:tblPrEx>
          <w:shd w:val="clear" w:color="auto" w:fill="auto"/>
          <w:tblCellMar>
            <w:top w:w="0" w:type="dxa"/>
            <w:left w:w="0" w:type="dxa"/>
            <w:bottom w:w="0" w:type="dxa"/>
            <w:right w:w="0" w:type="dxa"/>
          </w:tblCellMar>
        </w:tblPrEx>
        <w:trPr>
          <w:trHeight w:val="90" w:hRule="atLeast"/>
        </w:trPr>
        <w:tc>
          <w:tcPr>
            <w:tcW w:w="108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反向套利次数</w:t>
            </w:r>
          </w:p>
        </w:tc>
        <w:tc>
          <w:tcPr>
            <w:tcW w:w="168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开仓时间</w:t>
            </w:r>
          </w:p>
        </w:tc>
        <w:tc>
          <w:tcPr>
            <w:tcW w:w="197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平仓时间</w:t>
            </w:r>
          </w:p>
        </w:tc>
        <w:tc>
          <w:tcPr>
            <w:tcW w:w="1852"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套利盈亏</w:t>
            </w:r>
          </w:p>
        </w:tc>
        <w:tc>
          <w:tcPr>
            <w:tcW w:w="16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套利收益率(%)</w:t>
            </w:r>
          </w:p>
        </w:tc>
      </w:tr>
      <w:tr>
        <w:tblPrEx>
          <w:shd w:val="clear" w:color="auto" w:fill="auto"/>
          <w:tblCellMar>
            <w:top w:w="0" w:type="dxa"/>
            <w:left w:w="0" w:type="dxa"/>
            <w:bottom w:w="0" w:type="dxa"/>
            <w:right w:w="0" w:type="dxa"/>
          </w:tblCellMar>
        </w:tblPrEx>
        <w:trPr>
          <w:trHeight w:val="285" w:hRule="atLeast"/>
        </w:trPr>
        <w:tc>
          <w:tcPr>
            <w:tcW w:w="1080"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1680"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2020/5/19 10:18</w:t>
            </w:r>
          </w:p>
        </w:tc>
        <w:tc>
          <w:tcPr>
            <w:tcW w:w="1975"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2020/5/21 9:18</w:t>
            </w:r>
          </w:p>
        </w:tc>
        <w:tc>
          <w:tcPr>
            <w:tcW w:w="1852"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-34590</w:t>
            </w:r>
          </w:p>
        </w:tc>
        <w:tc>
          <w:tcPr>
            <w:tcW w:w="1650" w:type="dxa"/>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-11.53 </w:t>
            </w:r>
          </w:p>
        </w:tc>
      </w:tr>
      <w:tr>
        <w:tblPrEx>
          <w:shd w:val="clear" w:color="auto" w:fill="auto"/>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2020/5/21 9:39</w:t>
            </w:r>
          </w:p>
        </w:tc>
        <w:tc>
          <w:tcPr>
            <w:tcW w:w="197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2020/5/26 9:51</w:t>
            </w:r>
          </w:p>
        </w:tc>
        <w:tc>
          <w:tcPr>
            <w:tcW w:w="185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-13340</w:t>
            </w:r>
          </w:p>
        </w:tc>
        <w:tc>
          <w:tcPr>
            <w:tcW w:w="165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-4.45 </w:t>
            </w:r>
          </w:p>
        </w:tc>
      </w:tr>
      <w:tr>
        <w:tblPrEx>
          <w:shd w:val="clear" w:color="auto" w:fill="auto"/>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1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2020/5/26 9:54</w:t>
            </w:r>
          </w:p>
        </w:tc>
        <w:tc>
          <w:tcPr>
            <w:tcW w:w="197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2020/5/26 10:24</w:t>
            </w:r>
          </w:p>
        </w:tc>
        <w:tc>
          <w:tcPr>
            <w:tcW w:w="185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-29340</w:t>
            </w:r>
          </w:p>
        </w:tc>
        <w:tc>
          <w:tcPr>
            <w:tcW w:w="165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-9.78 </w:t>
            </w:r>
          </w:p>
        </w:tc>
      </w:tr>
      <w:tr>
        <w:tblPrEx>
          <w:shd w:val="clear" w:color="auto" w:fill="auto"/>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1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2020/5/26 10:27</w:t>
            </w:r>
          </w:p>
        </w:tc>
        <w:tc>
          <w:tcPr>
            <w:tcW w:w="197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2020/6/4 11:30</w:t>
            </w:r>
          </w:p>
        </w:tc>
        <w:tc>
          <w:tcPr>
            <w:tcW w:w="185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-14090</w:t>
            </w:r>
          </w:p>
        </w:tc>
        <w:tc>
          <w:tcPr>
            <w:tcW w:w="165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-4.70 </w:t>
            </w:r>
          </w:p>
        </w:tc>
      </w:tr>
      <w:tr>
        <w:tblPrEx>
          <w:shd w:val="clear" w:color="auto" w:fill="auto"/>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1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2020/7/15 10:15</w:t>
            </w:r>
          </w:p>
        </w:tc>
        <w:tc>
          <w:tcPr>
            <w:tcW w:w="197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2020/7/24 15:15</w:t>
            </w:r>
          </w:p>
        </w:tc>
        <w:tc>
          <w:tcPr>
            <w:tcW w:w="185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13910</w:t>
            </w:r>
          </w:p>
        </w:tc>
        <w:tc>
          <w:tcPr>
            <w:tcW w:w="165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4.64 </w:t>
            </w:r>
          </w:p>
        </w:tc>
      </w:tr>
      <w:tr>
        <w:tblPrEx>
          <w:shd w:val="clear" w:color="auto" w:fill="auto"/>
          <w:tblCellMar>
            <w:top w:w="0" w:type="dxa"/>
            <w:left w:w="0" w:type="dxa"/>
            <w:bottom w:w="0" w:type="dxa"/>
            <w:right w:w="0" w:type="dxa"/>
          </w:tblCellMar>
        </w:tblPrEx>
        <w:trPr>
          <w:trHeight w:val="285" w:hRule="atLeast"/>
        </w:trPr>
        <w:tc>
          <w:tcPr>
            <w:tcW w:w="4735" w:type="dxa"/>
            <w:gridSpan w:val="3"/>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反向套利总收益以及累计收益率</w:t>
            </w:r>
          </w:p>
        </w:tc>
        <w:tc>
          <w:tcPr>
            <w:tcW w:w="1852"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-77450</w:t>
            </w:r>
          </w:p>
        </w:tc>
        <w:tc>
          <w:tcPr>
            <w:tcW w:w="1650" w:type="dxa"/>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-25.82 </w:t>
            </w:r>
          </w:p>
        </w:tc>
      </w:tr>
    </w:tbl>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表4.1</w:t>
      </w:r>
      <w:r>
        <w:rPr>
          <w:rFonts w:hint="eastAsia" w:asciiTheme="minorEastAsia" w:hAnsiTheme="minorEastAsia" w:cstheme="minorEastAsia"/>
          <w:sz w:val="21"/>
          <w:szCs w:val="21"/>
          <w:lang w:val="en-US" w:eastAsia="zh-CN"/>
        </w:rPr>
        <w:t>1</w:t>
      </w:r>
      <w:r>
        <w:rPr>
          <w:rFonts w:hint="eastAsia" w:asciiTheme="minorEastAsia" w:hAnsiTheme="minorEastAsia" w:cstheme="minorEastAsia"/>
          <w:sz w:val="21"/>
          <w:szCs w:val="21"/>
        </w:rPr>
        <w:t xml:space="preserve">  套利结果</w:t>
      </w:r>
    </w:p>
    <w:tbl>
      <w:tblPr>
        <w:tblStyle w:val="14"/>
        <w:tblW w:w="8305" w:type="dxa"/>
        <w:tblInd w:w="0" w:type="dxa"/>
        <w:tblLayout w:type="fixed"/>
        <w:tblCellMar>
          <w:top w:w="0" w:type="dxa"/>
          <w:left w:w="0" w:type="dxa"/>
          <w:bottom w:w="0" w:type="dxa"/>
          <w:right w:w="0" w:type="dxa"/>
        </w:tblCellMar>
      </w:tblPr>
      <w:tblGrid>
        <w:gridCol w:w="1305"/>
        <w:gridCol w:w="2327"/>
        <w:gridCol w:w="2019"/>
        <w:gridCol w:w="1096"/>
        <w:gridCol w:w="1558"/>
      </w:tblGrid>
      <w:tr>
        <w:tblPrEx>
          <w:tblCellMar>
            <w:top w:w="0" w:type="dxa"/>
            <w:left w:w="0" w:type="dxa"/>
            <w:bottom w:w="0" w:type="dxa"/>
            <w:right w:w="0" w:type="dxa"/>
          </w:tblCellMar>
        </w:tblPrEx>
        <w:trPr>
          <w:trHeight w:val="285" w:hRule="atLeast"/>
        </w:trPr>
        <w:tc>
          <w:tcPr>
            <w:tcW w:w="130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套利收益</w:t>
            </w:r>
          </w:p>
        </w:tc>
        <w:tc>
          <w:tcPr>
            <w:tcW w:w="2327"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累计收益率</w:t>
            </w:r>
          </w:p>
        </w:tc>
        <w:tc>
          <w:tcPr>
            <w:tcW w:w="2019"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年化收益率</w:t>
            </w:r>
          </w:p>
        </w:tc>
        <w:tc>
          <w:tcPr>
            <w:tcW w:w="1096"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胜率</w:t>
            </w:r>
          </w:p>
        </w:tc>
        <w:tc>
          <w:tcPr>
            <w:tcW w:w="1558"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夏普比率</w:t>
            </w:r>
          </w:p>
        </w:tc>
      </w:tr>
      <w:tr>
        <w:tblPrEx>
          <w:tblCellMar>
            <w:top w:w="0" w:type="dxa"/>
            <w:left w:w="0" w:type="dxa"/>
            <w:bottom w:w="0" w:type="dxa"/>
            <w:right w:w="0" w:type="dxa"/>
          </w:tblCellMar>
        </w:tblPrEx>
        <w:trPr>
          <w:trHeight w:val="285" w:hRule="atLeast"/>
        </w:trPr>
        <w:tc>
          <w:tcPr>
            <w:tcW w:w="1305"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rPr>
              <w:t>19404</w:t>
            </w:r>
          </w:p>
        </w:tc>
        <w:tc>
          <w:tcPr>
            <w:tcW w:w="2327"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6.35</w:t>
            </w:r>
            <w:r>
              <w:rPr>
                <w:rFonts w:hint="eastAsia" w:ascii="宋体" w:hAnsi="宋体" w:eastAsia="宋体" w:cs="宋体"/>
                <w:color w:val="000000"/>
                <w:kern w:val="0"/>
                <w:sz w:val="21"/>
                <w:szCs w:val="21"/>
              </w:rPr>
              <w:t>%</w:t>
            </w:r>
          </w:p>
        </w:tc>
        <w:tc>
          <w:tcPr>
            <w:tcW w:w="2019"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28.62</w:t>
            </w:r>
            <w:r>
              <w:rPr>
                <w:rFonts w:hint="eastAsia" w:ascii="宋体" w:hAnsi="宋体" w:eastAsia="宋体" w:cs="宋体"/>
                <w:color w:val="000000"/>
                <w:kern w:val="0"/>
                <w:sz w:val="21"/>
                <w:szCs w:val="21"/>
              </w:rPr>
              <w:t>%</w:t>
            </w:r>
          </w:p>
        </w:tc>
        <w:tc>
          <w:tcPr>
            <w:tcW w:w="1096"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66.67</w:t>
            </w:r>
            <w:r>
              <w:rPr>
                <w:rFonts w:hint="eastAsia" w:ascii="宋体" w:hAnsi="宋体" w:eastAsia="宋体" w:cs="宋体"/>
                <w:color w:val="000000"/>
                <w:kern w:val="0"/>
                <w:sz w:val="21"/>
                <w:szCs w:val="21"/>
              </w:rPr>
              <w:t>%</w:t>
            </w:r>
          </w:p>
        </w:tc>
        <w:tc>
          <w:tcPr>
            <w:tcW w:w="1558"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rPr>
              <w:t>0.</w:t>
            </w:r>
            <w:r>
              <w:rPr>
                <w:rFonts w:hint="eastAsia" w:ascii="宋体" w:hAnsi="宋体" w:eastAsia="宋体" w:cs="宋体"/>
                <w:color w:val="000000"/>
                <w:kern w:val="0"/>
                <w:sz w:val="21"/>
                <w:szCs w:val="21"/>
                <w:lang w:val="en-US" w:eastAsia="zh-CN"/>
              </w:rPr>
              <w:t>0464</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根据表4.</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和表4.1</w:t>
      </w:r>
      <w:r>
        <w:rPr>
          <w:rFonts w:hint="eastAsia" w:asciiTheme="minorEastAsia" w:hAnsiTheme="minorEastAsia" w:cstheme="minorEastAsia"/>
          <w:sz w:val="24"/>
          <w:szCs w:val="24"/>
          <w:lang w:val="en-US" w:eastAsia="zh-CN"/>
        </w:rPr>
        <w:t>0</w:t>
      </w:r>
      <w:r>
        <w:rPr>
          <w:rFonts w:hint="eastAsia" w:asciiTheme="minorEastAsia" w:hAnsiTheme="minorEastAsia" w:eastAsiaTheme="minorEastAsia" w:cstheme="minorEastAsia"/>
          <w:sz w:val="24"/>
          <w:szCs w:val="24"/>
        </w:rPr>
        <w:t>可知，基于AR-GARCH模型的2年期国债期货和5年期国债期货之间的套利策略在对称交易信号的情况下样本时间段当中共进行了21次套利，该策略的总的收益为</w:t>
      </w:r>
      <w:r>
        <w:rPr>
          <w:rFonts w:hint="eastAsia" w:asciiTheme="minorEastAsia" w:hAnsiTheme="minorEastAsia" w:eastAsiaTheme="minorEastAsia" w:cstheme="minorEastAsia"/>
          <w:color w:val="000000"/>
          <w:kern w:val="0"/>
          <w:sz w:val="24"/>
          <w:szCs w:val="24"/>
          <w:lang w:val="en-US" w:eastAsia="zh-CN"/>
        </w:rPr>
        <w:t>19404</w:t>
      </w:r>
      <w:r>
        <w:rPr>
          <w:rFonts w:hint="eastAsia" w:asciiTheme="minorEastAsia" w:hAnsiTheme="minorEastAsia" w:eastAsiaTheme="minorEastAsia" w:cstheme="minorEastAsia"/>
          <w:sz w:val="24"/>
          <w:szCs w:val="24"/>
        </w:rPr>
        <w:t>元，胜率为</w:t>
      </w:r>
      <w:r>
        <w:rPr>
          <w:rFonts w:hint="eastAsia" w:asciiTheme="minorEastAsia" w:hAnsiTheme="minorEastAsia" w:eastAsiaTheme="minorEastAsia" w:cstheme="minorEastAsia"/>
          <w:color w:val="000000"/>
          <w:kern w:val="0"/>
          <w:sz w:val="24"/>
          <w:szCs w:val="24"/>
          <w:lang w:val="en-US" w:eastAsia="zh-CN"/>
        </w:rPr>
        <w:t>66.67</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sz w:val="24"/>
          <w:szCs w:val="24"/>
        </w:rPr>
        <w:t>，累计收益率为</w:t>
      </w:r>
      <w:r>
        <w:rPr>
          <w:rFonts w:hint="eastAsia" w:asciiTheme="minorEastAsia" w:hAnsiTheme="minorEastAsia" w:eastAsiaTheme="minorEastAsia" w:cstheme="minorEastAsia"/>
          <w:color w:val="000000"/>
          <w:kern w:val="0"/>
          <w:sz w:val="24"/>
          <w:szCs w:val="24"/>
          <w:lang w:val="en-US" w:eastAsia="zh-CN"/>
        </w:rPr>
        <w:t>6.35</w:t>
      </w:r>
      <w:r>
        <w:rPr>
          <w:rFonts w:hint="eastAsia" w:asciiTheme="minorEastAsia" w:hAnsiTheme="minorEastAsia" w:eastAsiaTheme="minorEastAsia" w:cstheme="minorEastAsia"/>
          <w:sz w:val="24"/>
          <w:szCs w:val="24"/>
        </w:rPr>
        <w:t>%，年化收益率为</w:t>
      </w:r>
      <w:r>
        <w:rPr>
          <w:rFonts w:hint="eastAsia" w:asciiTheme="minorEastAsia" w:hAnsiTheme="minorEastAsia" w:eastAsiaTheme="minorEastAsia" w:cstheme="minorEastAsia"/>
          <w:sz w:val="24"/>
          <w:szCs w:val="24"/>
          <w:lang w:val="en-US" w:eastAsia="zh-CN"/>
        </w:rPr>
        <w:t>28.62</w:t>
      </w:r>
      <w:r>
        <w:rPr>
          <w:rFonts w:hint="eastAsia" w:asciiTheme="minorEastAsia" w:hAnsiTheme="minorEastAsia" w:eastAsiaTheme="minorEastAsia" w:cstheme="minorEastAsia"/>
          <w:sz w:val="24"/>
          <w:szCs w:val="24"/>
        </w:rPr>
        <w:t>%，夏普比率为0.</w:t>
      </w:r>
      <w:r>
        <w:rPr>
          <w:rFonts w:hint="eastAsia" w:asciiTheme="minorEastAsia" w:hAnsiTheme="minorEastAsia" w:eastAsiaTheme="minorEastAsia" w:cstheme="minorEastAsia"/>
          <w:sz w:val="24"/>
          <w:szCs w:val="24"/>
          <w:lang w:val="en-US" w:eastAsia="zh-CN"/>
        </w:rPr>
        <w:t>464</w:t>
      </w:r>
      <w:r>
        <w:rPr>
          <w:rFonts w:hint="eastAsia" w:asciiTheme="minorEastAsia" w:hAnsiTheme="minorEastAsia" w:eastAsiaTheme="minorEastAsia" w:cstheme="minorEastAsia"/>
          <w:sz w:val="24"/>
          <w:szCs w:val="24"/>
        </w:rPr>
        <w:t>。其中正向套利为14次，盈利为11次，亏损为3次，正向套利总体为盈利，其总收益为</w:t>
      </w:r>
      <w:r>
        <w:rPr>
          <w:rFonts w:hint="eastAsia" w:asciiTheme="minorEastAsia" w:hAnsiTheme="minorEastAsia" w:eastAsiaTheme="minorEastAsia" w:cstheme="minorEastAsia"/>
          <w:i w:val="0"/>
          <w:color w:val="000000"/>
          <w:kern w:val="0"/>
          <w:sz w:val="24"/>
          <w:szCs w:val="24"/>
          <w:u w:val="none"/>
          <w:lang w:val="en-US" w:eastAsia="zh-CN" w:bidi="ar"/>
        </w:rPr>
        <w:t>96490</w:t>
      </w:r>
      <w:r>
        <w:rPr>
          <w:rFonts w:hint="eastAsia" w:asciiTheme="minorEastAsia" w:hAnsiTheme="minorEastAsia" w:eastAsiaTheme="minorEastAsia" w:cstheme="minorEastAsia"/>
          <w:sz w:val="24"/>
          <w:szCs w:val="24"/>
        </w:rPr>
        <w:t>元；反向套利为5次，盈利为1次，亏损为4次，反向套利总体为亏损，且单次套利的金额超过了初始资金的10%，其总亏损为</w:t>
      </w:r>
      <w:r>
        <w:rPr>
          <w:rFonts w:hint="eastAsia" w:asciiTheme="minorEastAsia" w:hAnsiTheme="minorEastAsia" w:eastAsiaTheme="minorEastAsia" w:cstheme="minorEastAsia"/>
          <w:i w:val="0"/>
          <w:color w:val="000000"/>
          <w:kern w:val="0"/>
          <w:sz w:val="24"/>
          <w:szCs w:val="24"/>
          <w:u w:val="none"/>
          <w:lang w:val="en-US" w:eastAsia="zh-CN" w:bidi="ar"/>
        </w:rPr>
        <w:t>77450</w:t>
      </w:r>
      <w:r>
        <w:rPr>
          <w:rFonts w:hint="eastAsia" w:asciiTheme="minorEastAsia" w:hAnsiTheme="minorEastAsia" w:eastAsiaTheme="minorEastAsia" w:cstheme="minorEastAsia"/>
          <w:sz w:val="24"/>
          <w:szCs w:val="24"/>
        </w:rPr>
        <w:t>元，正向套利的收益其中</w:t>
      </w:r>
      <w:r>
        <w:rPr>
          <w:rFonts w:hint="eastAsia" w:asciiTheme="minorEastAsia" w:hAnsiTheme="minorEastAsia" w:eastAsiaTheme="minorEastAsia" w:cstheme="minorEastAsia"/>
          <w:sz w:val="24"/>
          <w:szCs w:val="24"/>
          <w:lang w:val="en-US" w:eastAsia="zh-CN"/>
        </w:rPr>
        <w:t>82</w:t>
      </w:r>
      <w:r>
        <w:rPr>
          <w:rFonts w:hint="eastAsia" w:asciiTheme="minorEastAsia" w:hAnsiTheme="minorEastAsia" w:eastAsiaTheme="minorEastAsia" w:cstheme="minorEastAsia"/>
          <w:sz w:val="24"/>
          <w:szCs w:val="24"/>
        </w:rPr>
        <w:t>%都用来了弥补反向套利的亏损，该策略在样本时间内正向套利交易的套利效果相对反向套利效果较好，因此仅从样本内套利结果看应该减少反向套利交易，故可以设计非对称的交易阈值。</w:t>
      </w:r>
    </w:p>
    <w:p>
      <w:pPr>
        <w:pStyle w:val="4"/>
        <w:keepNext/>
        <w:keepLines/>
        <w:pageBreakBefore w:val="0"/>
        <w:widowControl w:val="0"/>
        <w:kinsoku/>
        <w:wordWrap/>
        <w:overflowPunct/>
        <w:topLinePunct w:val="0"/>
        <w:autoSpaceDE/>
        <w:autoSpaceDN/>
        <w:bidi w:val="0"/>
        <w:adjustRightInd/>
        <w:snapToGrid/>
        <w:spacing w:before="480" w:after="120" w:line="400" w:lineRule="exact"/>
        <w:textAlignment w:val="auto"/>
        <w:rPr>
          <w:rFonts w:hint="default" w:ascii="黑体" w:hAnsi="黑体" w:eastAsia="黑体" w:cs="黑体"/>
          <w:b w:val="0"/>
          <w:bCs/>
          <w:sz w:val="28"/>
          <w:szCs w:val="28"/>
          <w:lang w:val="en-US" w:eastAsia="zh-CN"/>
        </w:rPr>
      </w:pPr>
      <w:bookmarkStart w:id="227" w:name="_Toc26139"/>
      <w:bookmarkStart w:id="228" w:name="_Toc9901"/>
      <w:bookmarkStart w:id="229" w:name="_Toc11587"/>
      <w:bookmarkStart w:id="230" w:name="_Toc11246"/>
      <w:bookmarkStart w:id="231" w:name="_Toc17016"/>
      <w:r>
        <w:rPr>
          <w:rFonts w:hint="eastAsia" w:ascii="黑体" w:hAnsi="黑体" w:eastAsia="黑体" w:cs="黑体"/>
          <w:b w:val="0"/>
          <w:bCs/>
          <w:sz w:val="28"/>
          <w:szCs w:val="28"/>
          <w:lang w:val="en-US" w:eastAsia="zh-CN"/>
        </w:rPr>
        <w:t>4.5.2 非对称交易信号策略</w:t>
      </w:r>
      <w:bookmarkEnd w:id="227"/>
      <w:bookmarkEnd w:id="228"/>
      <w:bookmarkEnd w:id="229"/>
      <w:bookmarkEnd w:id="230"/>
      <w:bookmarkEnd w:id="231"/>
      <w:r>
        <w:rPr>
          <w:rFonts w:hint="eastAsia" w:ascii="黑体" w:hAnsi="黑体" w:eastAsia="黑体" w:cs="黑体"/>
          <w:b w:val="0"/>
          <w:bCs/>
          <w:sz w:val="28"/>
          <w:szCs w:val="28"/>
          <w:lang w:val="en-US" w:eastAsia="zh-CN"/>
        </w:rPr>
        <w:t>的套利效果</w:t>
      </w:r>
      <w:bookmarkStart w:id="256" w:name="_GoBack"/>
      <w:bookmarkEnd w:id="25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1.非</w:t>
      </w:r>
      <w:r>
        <w:rPr>
          <w:rFonts w:hint="eastAsia" w:asciiTheme="minorEastAsia" w:hAnsiTheme="minorEastAsia" w:cstheme="minorEastAsia"/>
          <w:sz w:val="24"/>
        </w:rPr>
        <w:t>对称交易信号</w:t>
      </w:r>
      <w:r>
        <w:rPr>
          <w:rFonts w:hint="eastAsia" w:asciiTheme="minorEastAsia" w:hAnsiTheme="minorEastAsia" w:cstheme="minorEastAsia"/>
          <w:sz w:val="24"/>
          <w:lang w:val="en-US" w:eastAsia="zh-CN"/>
        </w:rPr>
        <w:t>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根据上文对称阈值的策略结果可以看出反向套利的效果相对</w:t>
      </w:r>
      <w:r>
        <w:rPr>
          <w:rFonts w:hint="eastAsia" w:asciiTheme="minorEastAsia" w:hAnsiTheme="minorEastAsia" w:cstheme="minorEastAsia"/>
          <w:sz w:val="24"/>
          <w:lang w:val="en-US" w:eastAsia="zh-CN"/>
        </w:rPr>
        <w:t>较</w:t>
      </w:r>
      <w:r>
        <w:rPr>
          <w:rFonts w:hint="eastAsia" w:asciiTheme="minorEastAsia" w:hAnsiTheme="minorEastAsia" w:cstheme="minorEastAsia"/>
          <w:sz w:val="24"/>
        </w:rPr>
        <w:t>差，正向套利的效果相对</w:t>
      </w:r>
      <w:r>
        <w:rPr>
          <w:rFonts w:hint="eastAsia" w:asciiTheme="minorEastAsia" w:hAnsiTheme="minorEastAsia" w:cstheme="minorEastAsia"/>
          <w:sz w:val="24"/>
          <w:lang w:val="en-US" w:eastAsia="zh-CN"/>
        </w:rPr>
        <w:t>较</w:t>
      </w:r>
      <w:r>
        <w:rPr>
          <w:rFonts w:hint="eastAsia" w:asciiTheme="minorEastAsia" w:hAnsiTheme="minorEastAsia" w:cstheme="minorEastAsia"/>
          <w:sz w:val="24"/>
        </w:rPr>
        <w:t>好，在考虑到非对称交易阈值时应该对止损阈值和开仓阈值都进行调整，对反向套利的套利区间进行减小处理，而对套利效果相对更好的正向套利对其套利区间进行扩大。由于本文止损阈值的确定是利用经验阈值，利用控制变量和试错方法，在确定套利的止损信号为3倍标准差</w:t>
      </w:r>
      <w:r>
        <w:rPr>
          <w:rFonts w:hint="eastAsia" w:asciiTheme="minorEastAsia" w:hAnsiTheme="minorEastAsia" w:cstheme="minorEastAsia"/>
          <w:sz w:val="24"/>
          <w:lang w:eastAsia="zh-CN"/>
        </w:rPr>
        <w:t>、</w:t>
      </w:r>
      <w:r>
        <w:rPr>
          <w:rFonts w:hint="eastAsia" w:asciiTheme="minorEastAsia" w:hAnsiTheme="minorEastAsia" w:cstheme="minorEastAsia"/>
          <w:sz w:val="24"/>
        </w:rPr>
        <w:t>2.5倍的标准差</w:t>
      </w:r>
      <w:r>
        <w:rPr>
          <w:rFonts w:hint="eastAsia" w:asciiTheme="minorEastAsia" w:hAnsiTheme="minorEastAsia" w:cstheme="minorEastAsia"/>
          <w:sz w:val="24"/>
          <w:lang w:val="en-US" w:eastAsia="zh-CN"/>
        </w:rPr>
        <w:t>或</w:t>
      </w:r>
      <w:r>
        <w:rPr>
          <w:rFonts w:hint="eastAsia" w:asciiTheme="minorEastAsia" w:hAnsiTheme="minorEastAsia" w:cstheme="minorEastAsia"/>
          <w:sz w:val="24"/>
        </w:rPr>
        <w:t>3.5倍的标准差，再确定正反向套利的开仓信号。设正向套利时的开仓阈值为n1</w:t>
      </w:r>
      <w:r>
        <w:rPr>
          <w:rFonts w:hint="eastAsia" w:asciiTheme="minorEastAsia" w:hAnsiTheme="minorEastAsia" w:cstheme="minorEastAsia"/>
          <w:sz w:val="24"/>
          <w:lang w:eastAsia="zh-CN"/>
        </w:rPr>
        <w:t>，</w:t>
      </w:r>
      <w:r>
        <w:rPr>
          <w:rFonts w:hint="eastAsia" w:asciiTheme="minorEastAsia" w:hAnsiTheme="minorEastAsia" w:cstheme="minorEastAsia"/>
          <w:sz w:val="24"/>
        </w:rPr>
        <w:t>反向套利时的开仓阈值为n2，止损阈值为m</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，为操作简便，本文对正向套利</w:t>
      </w:r>
      <w:r>
        <w:rPr>
          <w:rFonts w:hint="eastAsia" w:asciiTheme="minorEastAsia" w:hAnsiTheme="minorEastAsia" w:cstheme="minorEastAsia"/>
          <w:sz w:val="24"/>
          <w:lang w:val="en-US" w:eastAsia="zh-CN"/>
        </w:rPr>
        <w:t>和反向套利</w:t>
      </w:r>
      <w:r>
        <w:rPr>
          <w:rFonts w:hint="eastAsia" w:asciiTheme="minorEastAsia" w:hAnsiTheme="minorEastAsia" w:cstheme="minorEastAsia"/>
          <w:sz w:val="24"/>
        </w:rPr>
        <w:t>的止损阈值</w:t>
      </w:r>
      <w:r>
        <w:rPr>
          <w:rFonts w:hint="eastAsia" w:asciiTheme="minorEastAsia" w:hAnsiTheme="minorEastAsia" w:cstheme="minorEastAsia"/>
          <w:sz w:val="24"/>
          <w:lang w:val="en-US" w:eastAsia="zh-CN"/>
        </w:rPr>
        <w:t>同时</w:t>
      </w:r>
      <w:r>
        <w:rPr>
          <w:rFonts w:hint="eastAsia" w:asciiTheme="minorEastAsia" w:hAnsiTheme="minorEastAsia" w:cstheme="minorEastAsia"/>
          <w:sz w:val="24"/>
        </w:rPr>
        <w:t>进行处理，</w:t>
      </w:r>
      <w:r>
        <w:rPr>
          <w:rFonts w:hint="eastAsia" w:asciiTheme="minorEastAsia" w:hAnsiTheme="minorEastAsia" w:cstheme="minorEastAsia"/>
          <w:sz w:val="24"/>
          <w:lang w:val="en-US" w:eastAsia="zh-CN"/>
        </w:rPr>
        <w:t>通过测试</w:t>
      </w:r>
      <w:r>
        <w:rPr>
          <w:rFonts w:hint="eastAsia" w:asciiTheme="minorEastAsia" w:hAnsiTheme="minorEastAsia" w:cstheme="minorEastAsia"/>
          <w:sz w:val="24"/>
        </w:rPr>
        <w:t>将套利的止损信号设置为m1=3.5倍的标准差，对套利策略开仓阈值n1、n2进行寻求最优阈值。因此考虑非对称交易信号的套利策略为：（1）若残差序列</w:t>
      </w:r>
      <w:r>
        <w:rPr>
          <w:rFonts w:hint="eastAsia" w:asciiTheme="minorEastAsia" w:hAnsiTheme="minorEastAsia" w:cstheme="minorEastAsia"/>
          <w:position w:val="-12"/>
          <w:sz w:val="24"/>
        </w:rPr>
        <w:object>
          <v:shape id="_x0000_i1180"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0" DrawAspect="Content" ObjectID="_1468075880" r:id="rId232">
            <o:LockedField>false</o:LockedField>
          </o:OLEObject>
        </w:object>
      </w:r>
      <w:r>
        <w:rPr>
          <w:rFonts w:hint="eastAsia" w:asciiTheme="minorEastAsia" w:hAnsiTheme="minorEastAsia" w:cstheme="minorEastAsia"/>
          <w:sz w:val="24"/>
        </w:rPr>
        <w:t>&gt; n1*</w:t>
      </w:r>
      <w:r>
        <w:rPr>
          <w:rFonts w:hint="eastAsia" w:asciiTheme="minorEastAsia" w:hAnsiTheme="minorEastAsia" w:cstheme="minorEastAsia"/>
          <w:position w:val="-12"/>
          <w:sz w:val="24"/>
        </w:rPr>
        <w:object>
          <v:shape id="_x0000_i1181"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81" DrawAspect="Content" ObjectID="_1468075881" r:id="rId233">
            <o:LockedField>false</o:LockedField>
          </o:OLEObject>
        </w:object>
      </w:r>
      <w:r>
        <w:rPr>
          <w:rFonts w:hint="eastAsia" w:asciiTheme="minorEastAsia" w:hAnsiTheme="minorEastAsia" w:cstheme="minorEastAsia"/>
          <w:sz w:val="24"/>
        </w:rPr>
        <w:t>且</w:t>
      </w:r>
      <w:r>
        <w:rPr>
          <w:rFonts w:hint="eastAsia" w:asciiTheme="minorEastAsia" w:hAnsiTheme="minorEastAsia" w:cstheme="minorEastAsia"/>
          <w:position w:val="-12"/>
          <w:sz w:val="24"/>
        </w:rPr>
        <w:object>
          <v:shape id="_x0000_i1182"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2" DrawAspect="Content" ObjectID="_1468075882" r:id="rId234">
            <o:LockedField>false</o:LockedField>
          </o:OLEObject>
        </w:object>
      </w:r>
      <w:r>
        <w:rPr>
          <w:rFonts w:hint="eastAsia" w:asciiTheme="minorEastAsia" w:hAnsiTheme="minorEastAsia" w:cstheme="minorEastAsia"/>
          <w:sz w:val="24"/>
        </w:rPr>
        <w:t>&lt; 3.5*</w:t>
      </w:r>
      <w:r>
        <w:rPr>
          <w:rFonts w:hint="eastAsia" w:asciiTheme="minorEastAsia" w:hAnsiTheme="minorEastAsia" w:cstheme="minorEastAsia"/>
          <w:position w:val="-12"/>
          <w:sz w:val="24"/>
        </w:rPr>
        <w:object>
          <v:shape id="_x0000_i1183"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83" DrawAspect="Content" ObjectID="_1468075883" r:id="rId235">
            <o:LockedField>false</o:LockedField>
          </o:OLEObject>
        </w:object>
      </w:r>
      <w:r>
        <w:rPr>
          <w:rFonts w:hint="eastAsia" w:asciiTheme="minorEastAsia" w:hAnsiTheme="minorEastAsia" w:cstheme="minorEastAsia"/>
          <w:sz w:val="24"/>
        </w:rPr>
        <w:t>时，卖出10手TS合约，同时买入</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手TF合约，然后在</w:t>
      </w:r>
      <w:r>
        <w:rPr>
          <w:rFonts w:hint="eastAsia" w:asciiTheme="minorEastAsia" w:hAnsiTheme="minorEastAsia" w:cstheme="minorEastAsia"/>
          <w:position w:val="-12"/>
          <w:sz w:val="24"/>
        </w:rPr>
        <w:object>
          <v:shape id="_x0000_i1184"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4" DrawAspect="Content" ObjectID="_1468075884" r:id="rId236">
            <o:LockedField>false</o:LockedField>
          </o:OLEObject>
        </w:object>
      </w:r>
      <w:r>
        <w:rPr>
          <w:rFonts w:hint="eastAsia" w:asciiTheme="minorEastAsia" w:hAnsiTheme="minorEastAsia" w:cstheme="minorEastAsia"/>
          <w:sz w:val="24"/>
        </w:rPr>
        <w:t>回复到均值0时或若</w:t>
      </w:r>
      <w:r>
        <w:rPr>
          <w:rFonts w:hint="eastAsia" w:asciiTheme="minorEastAsia" w:hAnsiTheme="minorEastAsia" w:cstheme="minorEastAsia"/>
          <w:position w:val="-12"/>
          <w:sz w:val="24"/>
        </w:rPr>
        <w:object>
          <v:shape id="_x0000_i1185"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5" DrawAspect="Content" ObjectID="_1468075885" r:id="rId237">
            <o:LockedField>false</o:LockedField>
          </o:OLEObject>
        </w:object>
      </w:r>
      <w:r>
        <w:rPr>
          <w:rFonts w:hint="eastAsia" w:asciiTheme="minorEastAsia" w:hAnsiTheme="minorEastAsia" w:cstheme="minorEastAsia"/>
          <w:sz w:val="24"/>
        </w:rPr>
        <w:t>&gt; 3.5*</w:t>
      </w:r>
      <w:r>
        <w:rPr>
          <w:rFonts w:hint="eastAsia" w:asciiTheme="minorEastAsia" w:hAnsiTheme="minorEastAsia" w:cstheme="minorEastAsia"/>
          <w:position w:val="-12"/>
          <w:sz w:val="24"/>
        </w:rPr>
        <w:object>
          <v:shape id="_x0000_i1186"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86" DrawAspect="Content" ObjectID="_1468075886" r:id="rId238">
            <o:LockedField>false</o:LockedField>
          </o:OLEObject>
        </w:object>
      </w:r>
      <w:r>
        <w:rPr>
          <w:rFonts w:hint="eastAsia" w:asciiTheme="minorEastAsia" w:hAnsiTheme="minorEastAsia" w:cstheme="minorEastAsia"/>
          <w:sz w:val="24"/>
        </w:rPr>
        <w:t>时，进行反向操作，买入10手TS合约，同时卖出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手TF合约，进行平仓或止损平仓。（2）若</w:t>
      </w:r>
      <w:r>
        <w:rPr>
          <w:rFonts w:hint="eastAsia" w:asciiTheme="minorEastAsia" w:hAnsiTheme="minorEastAsia" w:cstheme="minorEastAsia"/>
          <w:position w:val="-12"/>
          <w:sz w:val="24"/>
        </w:rPr>
        <w:object>
          <v:shape id="_x0000_i1187"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7" DrawAspect="Content" ObjectID="_1468075887" r:id="rId239">
            <o:LockedField>false</o:LockedField>
          </o:OLEObject>
        </w:object>
      </w:r>
      <w:r>
        <w:rPr>
          <w:rFonts w:hint="eastAsia" w:asciiTheme="minorEastAsia" w:hAnsiTheme="minorEastAsia" w:cstheme="minorEastAsia"/>
          <w:sz w:val="24"/>
        </w:rPr>
        <w:t>&lt;-n2*</w:t>
      </w:r>
      <w:r>
        <w:rPr>
          <w:rFonts w:hint="eastAsia" w:asciiTheme="minorEastAsia" w:hAnsiTheme="minorEastAsia" w:cstheme="minorEastAsia"/>
          <w:position w:val="-12"/>
          <w:sz w:val="24"/>
        </w:rPr>
        <w:object>
          <v:shape id="_x0000_i1188"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88" DrawAspect="Content" ObjectID="_1468075888" r:id="rId240">
            <o:LockedField>false</o:LockedField>
          </o:OLEObject>
        </w:object>
      </w:r>
      <w:r>
        <w:rPr>
          <w:rFonts w:hint="eastAsia" w:asciiTheme="minorEastAsia" w:hAnsiTheme="minorEastAsia" w:cstheme="minorEastAsia"/>
          <w:sz w:val="24"/>
        </w:rPr>
        <w:t>且</w:t>
      </w:r>
      <w:r>
        <w:rPr>
          <w:rFonts w:hint="eastAsia" w:asciiTheme="minorEastAsia" w:hAnsiTheme="minorEastAsia" w:cstheme="minorEastAsia"/>
          <w:position w:val="-12"/>
          <w:sz w:val="24"/>
        </w:rPr>
        <w:object>
          <v:shape id="_x0000_i1189"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89" DrawAspect="Content" ObjectID="_1468075889" r:id="rId241">
            <o:LockedField>false</o:LockedField>
          </o:OLEObject>
        </w:object>
      </w:r>
      <w:r>
        <w:rPr>
          <w:rFonts w:hint="eastAsia" w:asciiTheme="minorEastAsia" w:hAnsiTheme="minorEastAsia" w:cstheme="minorEastAsia"/>
          <w:sz w:val="24"/>
        </w:rPr>
        <w:t>&gt;-3</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90"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90" DrawAspect="Content" ObjectID="_1468075890" r:id="rId242">
            <o:LockedField>false</o:LockedField>
          </o:OLEObject>
        </w:object>
      </w:r>
      <w:r>
        <w:rPr>
          <w:rFonts w:hint="eastAsia" w:asciiTheme="minorEastAsia" w:hAnsiTheme="minorEastAsia" w:cstheme="minorEastAsia"/>
          <w:sz w:val="24"/>
        </w:rPr>
        <w:t>时，买入10手TS合约，同时卖出</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手TF合约，然后在</w:t>
      </w:r>
      <w:r>
        <w:rPr>
          <w:rFonts w:hint="eastAsia" w:asciiTheme="minorEastAsia" w:hAnsiTheme="minorEastAsia" w:cstheme="minorEastAsia"/>
          <w:position w:val="-12"/>
          <w:sz w:val="24"/>
        </w:rPr>
        <w:object>
          <v:shape id="_x0000_i1191"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91" DrawAspect="Content" ObjectID="_1468075891" r:id="rId243">
            <o:LockedField>false</o:LockedField>
          </o:OLEObject>
        </w:object>
      </w:r>
      <w:r>
        <w:rPr>
          <w:rFonts w:hint="eastAsia" w:asciiTheme="minorEastAsia" w:hAnsiTheme="minorEastAsia" w:cstheme="minorEastAsia"/>
          <w:sz w:val="24"/>
        </w:rPr>
        <w:t>回复到均值0时或</w:t>
      </w:r>
      <w:r>
        <w:rPr>
          <w:rFonts w:hint="eastAsia" w:asciiTheme="minorEastAsia" w:hAnsiTheme="minorEastAsia" w:cstheme="minorEastAsia"/>
          <w:position w:val="-12"/>
          <w:sz w:val="24"/>
        </w:rPr>
        <w:object>
          <v:shape id="_x0000_i1192" o:spt="75" type="#_x0000_t75" style="height:18pt;width:13.5pt;" o:ole="t" filled="f" o:preferrelative="t" stroked="f" coordsize="21600,21600">
            <v:path/>
            <v:fill on="f" focussize="0,0"/>
            <v:stroke on="f" joinstyle="miter"/>
            <v:imagedata r:id="rId130" o:title=""/>
            <o:lock v:ext="edit" aspectratio="t"/>
            <w10:wrap type="none"/>
            <w10:anchorlock/>
          </v:shape>
          <o:OLEObject Type="Embed" ProgID="Equation.KSEE3" ShapeID="_x0000_i1192" DrawAspect="Content" ObjectID="_1468075892" r:id="rId244">
            <o:LockedField>false</o:LockedField>
          </o:OLEObject>
        </w:object>
      </w:r>
      <w:r>
        <w:rPr>
          <w:rFonts w:hint="eastAsia" w:asciiTheme="minorEastAsia" w:hAnsiTheme="minorEastAsia" w:cstheme="minorEastAsia"/>
          <w:sz w:val="24"/>
        </w:rPr>
        <w:t>&lt;-3</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193" o:spt="75" type="#_x0000_t75" style="height:18pt;width:13.5pt;" o:ole="t" filled="f" o:preferrelative="t" stroked="f" coordsize="21600,21600">
            <v:path/>
            <v:fill on="f" focussize="0,0"/>
            <v:stroke on="f" joinstyle="miter"/>
            <v:imagedata r:id="rId134" o:title=""/>
            <o:lock v:ext="edit" aspectratio="t"/>
            <w10:wrap type="none"/>
            <w10:anchorlock/>
          </v:shape>
          <o:OLEObject Type="Embed" ProgID="Equation.KSEE3" ShapeID="_x0000_i1193" DrawAspect="Content" ObjectID="_1468075893" r:id="rId245">
            <o:LockedField>false</o:LockedField>
          </o:OLEObject>
        </w:object>
      </w:r>
      <w:r>
        <w:rPr>
          <w:rFonts w:hint="eastAsia" w:asciiTheme="minorEastAsia" w:hAnsiTheme="minorEastAsia" w:cstheme="minorEastAsia"/>
          <w:sz w:val="24"/>
        </w:rPr>
        <w:t>时，进行反向操作，卖出10手TS合约，同时买入</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手TF合约，进行平仓或止损平仓。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在考虑到将正反向套利交易信号设为非对称信号时，将止损阈值确定为</w:t>
      </w:r>
      <w:r>
        <w:rPr>
          <w:rFonts w:hint="eastAsia" w:asciiTheme="minorEastAsia" w:hAnsiTheme="minorEastAsia" w:cstheme="minorEastAsia"/>
          <w:sz w:val="24"/>
          <w:lang w:val="en-US" w:eastAsia="zh-CN"/>
        </w:rPr>
        <w:t>3.5</w:t>
      </w:r>
      <w:r>
        <w:rPr>
          <w:rFonts w:hint="eastAsia" w:asciiTheme="minorEastAsia" w:hAnsiTheme="minorEastAsia" w:cstheme="minorEastAsia"/>
          <w:sz w:val="24"/>
        </w:rPr>
        <w:t>时，根据样本内数据（历史收盘价数据）用MATLAB软件进行测试和计算，选择累计收益为正的对应的策略，对其夏普比率进行比较，选择最大夏普比率的策略，通过测试发现样本内夏普比率最大的策略的交易阈值为n1=0.8，n2=1.3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样本内回测</w:t>
      </w:r>
      <w:r>
        <w:rPr>
          <w:rFonts w:hint="eastAsia" w:asciiTheme="minorEastAsia" w:hAnsiTheme="minorEastAsia" w:cstheme="minorEastAsia"/>
          <w:sz w:val="24"/>
          <w:lang w:val="en-US" w:eastAsia="zh-CN"/>
        </w:rPr>
        <w:t>效果</w:t>
      </w:r>
      <w:r>
        <w:rPr>
          <w:rFonts w:hint="eastAsia" w:asciiTheme="minorEastAsia" w:hAnsiTheme="minorEastAsia" w:cstheme="minorEastAsia"/>
          <w:sz w:val="24"/>
        </w:rPr>
        <w:t>分析</w:t>
      </w:r>
    </w:p>
    <w:p>
      <w:pPr>
        <w:spacing w:line="360" w:lineRule="auto"/>
        <w:rPr>
          <w:rFonts w:asciiTheme="minorEastAsia" w:hAnsiTheme="minorEastAsia" w:cstheme="minorEastAsia"/>
          <w:sz w:val="24"/>
        </w:rPr>
      </w:pPr>
      <w:r>
        <w:drawing>
          <wp:inline distT="0" distB="0" distL="114300" distR="114300">
            <wp:extent cx="5010785" cy="2252345"/>
            <wp:effectExtent l="0" t="0" r="18415" b="14605"/>
            <wp:docPr id="3"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6"/>
                    <pic:cNvPicPr>
                      <a:picLocks noChangeAspect="1"/>
                    </pic:cNvPicPr>
                  </pic:nvPicPr>
                  <pic:blipFill>
                    <a:blip r:embed="rId246" cstate="print"/>
                    <a:stretch>
                      <a:fillRect/>
                    </a:stretch>
                  </pic:blipFill>
                  <pic:spPr>
                    <a:xfrm>
                      <a:off x="0" y="0"/>
                      <a:ext cx="5010785" cy="22523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图4.</w:t>
      </w:r>
      <w:r>
        <w:rPr>
          <w:rFonts w:hint="eastAsia" w:asciiTheme="minorEastAsia" w:hAnsiTheme="minorEastAsia" w:cstheme="minorEastAsia"/>
          <w:sz w:val="21"/>
          <w:szCs w:val="21"/>
          <w:lang w:val="en-US" w:eastAsia="zh-CN"/>
        </w:rPr>
        <w:t>7</w:t>
      </w: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rPr>
        <w:t>策略样本内回测过程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图4.</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是根据非对称的最优阈值，正向套利开仓信号为0.8倍的标准差，止损信号为3.5倍的标准差，反向套利开仓信号为-1.3倍的标准差，止损信号为-</w:t>
      </w:r>
      <w:r>
        <w:rPr>
          <w:rFonts w:hint="eastAsia" w:asciiTheme="minorEastAsia" w:hAnsiTheme="minorEastAsia" w:cstheme="minorEastAsia"/>
          <w:sz w:val="24"/>
          <w:lang w:val="en-US" w:eastAsia="zh-CN"/>
        </w:rPr>
        <w:t>3.5</w:t>
      </w:r>
      <w:r>
        <w:rPr>
          <w:rFonts w:hint="eastAsia" w:asciiTheme="minorEastAsia" w:hAnsiTheme="minorEastAsia" w:cstheme="minorEastAsia"/>
          <w:sz w:val="24"/>
        </w:rPr>
        <w:t>倍的标准差时的回测过程，其中KUP、KDOWN为上下开仓线，ZUP、ZDOWN为上下止损线，中间在0附近波动的曲线E2为样本内去中心化价差序列的残差序列，可以看出该序列具有一定的均值回复特性。此时套利结果为如下：</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cstheme="minorEastAsia"/>
          <w:sz w:val="24"/>
        </w:rPr>
      </w:pPr>
      <w:r>
        <w:rPr>
          <w:rFonts w:hint="eastAsia" w:asciiTheme="minorEastAsia" w:hAnsiTheme="minorEastAsia" w:cstheme="minorEastAsia"/>
          <w:sz w:val="21"/>
          <w:szCs w:val="21"/>
        </w:rPr>
        <w:t>表4.1</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rPr>
        <w:t xml:space="preserve"> 非对称阈值样本内正向套利情况</w:t>
      </w:r>
    </w:p>
    <w:tbl>
      <w:tblPr>
        <w:tblStyle w:val="14"/>
        <w:tblW w:w="7860" w:type="dxa"/>
        <w:tblInd w:w="0" w:type="dxa"/>
        <w:shd w:val="clear" w:color="auto" w:fill="auto"/>
        <w:tblLayout w:type="autofit"/>
        <w:tblCellMar>
          <w:top w:w="0" w:type="dxa"/>
          <w:left w:w="0" w:type="dxa"/>
          <w:bottom w:w="0" w:type="dxa"/>
          <w:right w:w="0" w:type="dxa"/>
        </w:tblCellMar>
      </w:tblPr>
      <w:tblGrid>
        <w:gridCol w:w="1080"/>
        <w:gridCol w:w="1605"/>
        <w:gridCol w:w="1975"/>
        <w:gridCol w:w="1852"/>
        <w:gridCol w:w="1650"/>
      </w:tblGrid>
      <w:tr>
        <w:tblPrEx>
          <w:shd w:val="clear" w:color="auto" w:fill="auto"/>
          <w:tblCellMar>
            <w:top w:w="0" w:type="dxa"/>
            <w:left w:w="0" w:type="dxa"/>
            <w:bottom w:w="0" w:type="dxa"/>
            <w:right w:w="0" w:type="dxa"/>
          </w:tblCellMar>
        </w:tblPrEx>
        <w:trPr>
          <w:trHeight w:val="285" w:hRule="atLeast"/>
        </w:trPr>
        <w:tc>
          <w:tcPr>
            <w:tcW w:w="108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正向套利次数</w:t>
            </w:r>
          </w:p>
        </w:tc>
        <w:tc>
          <w:tcPr>
            <w:tcW w:w="130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开仓时间</w:t>
            </w:r>
          </w:p>
        </w:tc>
        <w:tc>
          <w:tcPr>
            <w:tcW w:w="197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平仓时间</w:t>
            </w:r>
          </w:p>
        </w:tc>
        <w:tc>
          <w:tcPr>
            <w:tcW w:w="1852"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套利盈亏</w:t>
            </w:r>
          </w:p>
        </w:tc>
        <w:tc>
          <w:tcPr>
            <w:tcW w:w="16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套利收益率(%)</w:t>
            </w:r>
          </w:p>
        </w:tc>
      </w:tr>
      <w:tr>
        <w:tblPrEx>
          <w:shd w:val="clear" w:color="auto" w:fill="auto"/>
          <w:tblCellMar>
            <w:top w:w="0" w:type="dxa"/>
            <w:left w:w="0" w:type="dxa"/>
            <w:bottom w:w="0" w:type="dxa"/>
            <w:right w:w="0" w:type="dxa"/>
          </w:tblCellMar>
        </w:tblPrEx>
        <w:trPr>
          <w:trHeight w:val="285" w:hRule="atLeast"/>
        </w:trPr>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2020/4/29 9:30</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2020/5/6 9:39</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6660</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2.22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2020/5/6 9:42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2020/5/18 9:39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17160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5.72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2020/5/18 10:03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2020/5/19 9:54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9410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3.14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2020/5/21 9:42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2020/6/16 9:18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50160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16.72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2020/6/16 9:33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2020/6/18 9:18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0.55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2020/6/18 9:21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9:18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11410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3.80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2020/7/6 9:21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2020/7/10 10:45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34660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11.55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2020/7/10 10:51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2020/7/15 9:45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7910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2.64 </w:t>
            </w:r>
          </w:p>
        </w:tc>
      </w:tr>
      <w:tr>
        <w:tblPrEx>
          <w:shd w:val="clear" w:color="auto" w:fill="auto"/>
        </w:tblPrEx>
        <w:trPr>
          <w:trHeight w:val="322"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2020/7/15 10:24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2020/7/20 9:39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-17590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-5.86 </w:t>
            </w:r>
          </w:p>
        </w:tc>
      </w:tr>
      <w:tr>
        <w:tblPrEx>
          <w:shd w:val="clear" w:color="auto" w:fill="auto"/>
          <w:tblCellMar>
            <w:top w:w="0" w:type="dxa"/>
            <w:left w:w="0" w:type="dxa"/>
            <w:bottom w:w="0" w:type="dxa"/>
            <w:right w:w="0" w:type="dxa"/>
          </w:tblCellMar>
        </w:tblPrEx>
        <w:trPr>
          <w:trHeight w:val="285" w:hRule="atLeast"/>
        </w:trPr>
        <w:tc>
          <w:tcPr>
            <w:tcW w:w="0" w:type="auto"/>
            <w:gridSpan w:val="3"/>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正向套利总收益以及累计收益率</w:t>
            </w:r>
          </w:p>
        </w:tc>
        <w:tc>
          <w:tcPr>
            <w:tcW w:w="0" w:type="auto"/>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121440</w:t>
            </w:r>
          </w:p>
        </w:tc>
        <w:tc>
          <w:tcPr>
            <w:tcW w:w="0" w:type="auto"/>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40.48 </w:t>
            </w:r>
          </w:p>
        </w:tc>
      </w:tr>
    </w:tbl>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cstheme="minorEastAsia"/>
          <w:sz w:val="21"/>
          <w:szCs w:val="21"/>
        </w:rPr>
      </w:pPr>
      <w:r>
        <w:rPr>
          <w:rFonts w:hint="eastAsia" w:asciiTheme="minorEastAsia" w:hAnsiTheme="minorEastAsia" w:cstheme="minorEastAsia"/>
          <w:sz w:val="21"/>
          <w:szCs w:val="21"/>
        </w:rPr>
        <w:t>表4.1</w:t>
      </w:r>
      <w:r>
        <w:rPr>
          <w:rFonts w:hint="eastAsia" w:asciiTheme="minorEastAsia" w:hAnsiTheme="minorEastAsia" w:cstheme="minorEastAsia"/>
          <w:sz w:val="21"/>
          <w:szCs w:val="21"/>
          <w:lang w:val="en-US" w:eastAsia="zh-CN"/>
        </w:rPr>
        <w:t>3</w:t>
      </w:r>
      <w:r>
        <w:rPr>
          <w:rFonts w:hint="eastAsia" w:asciiTheme="minorEastAsia" w:hAnsiTheme="minorEastAsia" w:cstheme="minorEastAsia"/>
          <w:sz w:val="21"/>
          <w:szCs w:val="21"/>
        </w:rPr>
        <w:t xml:space="preserve">  对称阈值样本内反向套利情况</w:t>
      </w:r>
    </w:p>
    <w:tbl>
      <w:tblPr>
        <w:tblStyle w:val="14"/>
        <w:tblW w:w="7860" w:type="dxa"/>
        <w:tblInd w:w="0" w:type="dxa"/>
        <w:shd w:val="clear" w:color="auto" w:fill="auto"/>
        <w:tblLayout w:type="autofit"/>
        <w:tblCellMar>
          <w:top w:w="0" w:type="dxa"/>
          <w:left w:w="0" w:type="dxa"/>
          <w:bottom w:w="0" w:type="dxa"/>
          <w:right w:w="0" w:type="dxa"/>
        </w:tblCellMar>
      </w:tblPr>
      <w:tblGrid>
        <w:gridCol w:w="1080"/>
        <w:gridCol w:w="1605"/>
        <w:gridCol w:w="1975"/>
        <w:gridCol w:w="1852"/>
        <w:gridCol w:w="1650"/>
      </w:tblGrid>
      <w:tr>
        <w:tblPrEx>
          <w:shd w:val="clear" w:color="auto" w:fill="auto"/>
          <w:tblCellMar>
            <w:top w:w="0" w:type="dxa"/>
            <w:left w:w="0" w:type="dxa"/>
            <w:bottom w:w="0" w:type="dxa"/>
            <w:right w:w="0" w:type="dxa"/>
          </w:tblCellMar>
        </w:tblPrEx>
        <w:trPr>
          <w:trHeight w:val="544" w:hRule="atLeast"/>
        </w:trPr>
        <w:tc>
          <w:tcPr>
            <w:tcW w:w="108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反向套利次数</w:t>
            </w:r>
          </w:p>
        </w:tc>
        <w:tc>
          <w:tcPr>
            <w:tcW w:w="130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开仓时间</w:t>
            </w:r>
          </w:p>
        </w:tc>
        <w:tc>
          <w:tcPr>
            <w:tcW w:w="1975"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平仓时间</w:t>
            </w:r>
          </w:p>
        </w:tc>
        <w:tc>
          <w:tcPr>
            <w:tcW w:w="1852"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套利盈亏</w:t>
            </w:r>
          </w:p>
        </w:tc>
        <w:tc>
          <w:tcPr>
            <w:tcW w:w="16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套利收益率(%)</w:t>
            </w:r>
          </w:p>
        </w:tc>
      </w:tr>
      <w:tr>
        <w:tblPrEx>
          <w:shd w:val="clear" w:color="auto" w:fill="auto"/>
          <w:tblCellMar>
            <w:top w:w="0" w:type="dxa"/>
            <w:left w:w="0" w:type="dxa"/>
            <w:bottom w:w="0" w:type="dxa"/>
            <w:right w:w="0" w:type="dxa"/>
          </w:tblCellMar>
        </w:tblPrEx>
        <w:trPr>
          <w:trHeight w:val="285" w:hRule="atLeast"/>
        </w:trPr>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2020/5/19 10:24</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2020/5/21 9:18</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-30590</w:t>
            </w:r>
          </w:p>
        </w:tc>
        <w:tc>
          <w:tcPr>
            <w:tcW w:w="0" w:type="auto"/>
            <w:tcBorders>
              <w:top w:val="single" w:color="000000"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-10.20 </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2020/7/20 9:51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2020/7/24 15:15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0.22 </w:t>
            </w:r>
          </w:p>
        </w:tc>
      </w:tr>
      <w:tr>
        <w:tblPrEx>
          <w:shd w:val="clear" w:color="auto" w:fill="auto"/>
          <w:tblCellMar>
            <w:top w:w="0" w:type="dxa"/>
            <w:left w:w="0" w:type="dxa"/>
            <w:bottom w:w="0" w:type="dxa"/>
            <w:right w:w="0" w:type="dxa"/>
          </w:tblCellMar>
        </w:tblPrEx>
        <w:trPr>
          <w:trHeight w:val="285" w:hRule="atLeast"/>
        </w:trPr>
        <w:tc>
          <w:tcPr>
            <w:tcW w:w="0" w:type="auto"/>
            <w:gridSpan w:val="3"/>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反向套利总收益以及累计收益率</w:t>
            </w:r>
          </w:p>
        </w:tc>
        <w:tc>
          <w:tcPr>
            <w:tcW w:w="0" w:type="auto"/>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-29930</w:t>
            </w:r>
          </w:p>
        </w:tc>
        <w:tc>
          <w:tcPr>
            <w:tcW w:w="0" w:type="auto"/>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-9.98 </w:t>
            </w:r>
          </w:p>
        </w:tc>
      </w:tr>
    </w:tbl>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asciiTheme="minorEastAsia" w:hAnsiTheme="minorEastAsia" w:cstheme="minorEastAsia"/>
          <w:sz w:val="21"/>
          <w:szCs w:val="21"/>
        </w:rPr>
      </w:pPr>
      <w:r>
        <w:rPr>
          <w:rFonts w:hint="eastAsia" w:asciiTheme="minorEastAsia" w:hAnsiTheme="minorEastAsia" w:cstheme="minorEastAsia"/>
          <w:sz w:val="21"/>
          <w:szCs w:val="21"/>
        </w:rPr>
        <w:t>表4.1</w:t>
      </w:r>
      <w:r>
        <w:rPr>
          <w:rFonts w:hint="eastAsia" w:asciiTheme="minorEastAsia" w:hAnsiTheme="minorEastAsia" w:cstheme="minorEastAsia"/>
          <w:sz w:val="21"/>
          <w:szCs w:val="21"/>
          <w:lang w:val="en-US" w:eastAsia="zh-CN"/>
        </w:rPr>
        <w:t xml:space="preserve">4 </w:t>
      </w:r>
      <w:r>
        <w:rPr>
          <w:rFonts w:hint="eastAsia" w:asciiTheme="minorEastAsia" w:hAnsiTheme="minorEastAsia" w:cstheme="minorEastAsia"/>
          <w:sz w:val="21"/>
          <w:szCs w:val="21"/>
        </w:rPr>
        <w:t>套利结果</w:t>
      </w:r>
    </w:p>
    <w:tbl>
      <w:tblPr>
        <w:tblStyle w:val="14"/>
        <w:tblW w:w="8190" w:type="dxa"/>
        <w:tblInd w:w="0" w:type="dxa"/>
        <w:tblLayout w:type="fixed"/>
        <w:tblCellMar>
          <w:top w:w="0" w:type="dxa"/>
          <w:left w:w="0" w:type="dxa"/>
          <w:bottom w:w="0" w:type="dxa"/>
          <w:right w:w="0" w:type="dxa"/>
        </w:tblCellMar>
      </w:tblPr>
      <w:tblGrid>
        <w:gridCol w:w="1324"/>
        <w:gridCol w:w="1823"/>
        <w:gridCol w:w="1996"/>
        <w:gridCol w:w="1339"/>
        <w:gridCol w:w="1708"/>
      </w:tblGrid>
      <w:tr>
        <w:tblPrEx>
          <w:tblCellMar>
            <w:top w:w="0" w:type="dxa"/>
            <w:left w:w="0" w:type="dxa"/>
            <w:bottom w:w="0" w:type="dxa"/>
            <w:right w:w="0" w:type="dxa"/>
          </w:tblCellMar>
        </w:tblPrEx>
        <w:trPr>
          <w:trHeight w:val="285" w:hRule="atLeast"/>
        </w:trPr>
        <w:tc>
          <w:tcPr>
            <w:tcW w:w="1324"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套利收益</w:t>
            </w:r>
          </w:p>
        </w:tc>
        <w:tc>
          <w:tcPr>
            <w:tcW w:w="1823"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累计收益率</w:t>
            </w:r>
          </w:p>
        </w:tc>
        <w:tc>
          <w:tcPr>
            <w:tcW w:w="1996"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年化收益率</w:t>
            </w:r>
          </w:p>
        </w:tc>
        <w:tc>
          <w:tcPr>
            <w:tcW w:w="1339"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胜率</w:t>
            </w:r>
          </w:p>
        </w:tc>
        <w:tc>
          <w:tcPr>
            <w:tcW w:w="1708"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夏普比率</w:t>
            </w:r>
          </w:p>
        </w:tc>
      </w:tr>
      <w:tr>
        <w:tblPrEx>
          <w:tblCellMar>
            <w:top w:w="0" w:type="dxa"/>
            <w:left w:w="0" w:type="dxa"/>
            <w:bottom w:w="0" w:type="dxa"/>
            <w:right w:w="0" w:type="dxa"/>
          </w:tblCellMar>
        </w:tblPrEx>
        <w:trPr>
          <w:trHeight w:val="300" w:hRule="atLeast"/>
        </w:trPr>
        <w:tc>
          <w:tcPr>
            <w:tcW w:w="1324"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rPr>
              <w:t>91510</w:t>
            </w:r>
          </w:p>
        </w:tc>
        <w:tc>
          <w:tcPr>
            <w:tcW w:w="1823"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30.5</w:t>
            </w:r>
            <w:r>
              <w:rPr>
                <w:rFonts w:hint="eastAsia" w:ascii="宋体" w:hAnsi="宋体" w:eastAsia="宋体" w:cs="宋体"/>
                <w:color w:val="000000"/>
                <w:kern w:val="0"/>
                <w:sz w:val="21"/>
                <w:szCs w:val="21"/>
              </w:rPr>
              <w:t>%</w:t>
            </w:r>
          </w:p>
        </w:tc>
        <w:tc>
          <w:tcPr>
            <w:tcW w:w="1996"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val="en-US" w:eastAsia="zh-CN"/>
              </w:rPr>
              <w:t>197.13</w:t>
            </w:r>
            <w:r>
              <w:rPr>
                <w:rFonts w:hint="eastAsia" w:ascii="宋体" w:hAnsi="宋体" w:eastAsia="宋体" w:cs="宋体"/>
                <w:color w:val="000000"/>
                <w:kern w:val="0"/>
                <w:sz w:val="21"/>
                <w:szCs w:val="21"/>
              </w:rPr>
              <w:t>%</w:t>
            </w:r>
          </w:p>
        </w:tc>
        <w:tc>
          <w:tcPr>
            <w:tcW w:w="1339"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rPr>
              <w:t>81.81%</w:t>
            </w:r>
          </w:p>
        </w:tc>
        <w:tc>
          <w:tcPr>
            <w:tcW w:w="1708"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1"/>
                <w:szCs w:val="21"/>
                <w:lang w:val="en-US" w:eastAsia="zh-CN"/>
              </w:rPr>
            </w:pPr>
            <w:r>
              <w:rPr>
                <w:rFonts w:hint="eastAsia" w:ascii="宋体" w:hAnsi="宋体" w:eastAsia="宋体" w:cs="宋体"/>
                <w:color w:val="000000"/>
                <w:kern w:val="0"/>
                <w:sz w:val="21"/>
                <w:szCs w:val="21"/>
              </w:rPr>
              <w:t>0.</w:t>
            </w:r>
            <w:r>
              <w:rPr>
                <w:rFonts w:hint="eastAsia" w:ascii="宋体" w:hAnsi="宋体" w:eastAsia="宋体" w:cs="宋体"/>
                <w:color w:val="000000"/>
                <w:kern w:val="0"/>
                <w:sz w:val="21"/>
                <w:szCs w:val="21"/>
                <w:lang w:val="en-US" w:eastAsia="zh-CN"/>
              </w:rPr>
              <w:t>3375</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根据表4.1</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和表4.1</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可知，基于AR-GARCH模型的2年期国债期货和5年期国债期货之间的套利策略在考虑非对称交易信号的情况下样本时间段当中共进行了11次套利，该策略的总的收益为</w:t>
      </w:r>
      <w:r>
        <w:rPr>
          <w:rFonts w:hint="eastAsia" w:asciiTheme="minorEastAsia" w:hAnsiTheme="minorEastAsia" w:eastAsiaTheme="minorEastAsia" w:cstheme="minorEastAsia"/>
          <w:color w:val="000000"/>
          <w:kern w:val="0"/>
          <w:sz w:val="24"/>
          <w:szCs w:val="24"/>
          <w:lang w:val="en-US" w:eastAsia="zh-CN"/>
        </w:rPr>
        <w:t>91510</w:t>
      </w:r>
      <w:r>
        <w:rPr>
          <w:rFonts w:hint="eastAsia" w:asciiTheme="minorEastAsia" w:hAnsiTheme="minorEastAsia" w:eastAsiaTheme="minorEastAsia" w:cstheme="minorEastAsia"/>
          <w:sz w:val="24"/>
          <w:szCs w:val="24"/>
        </w:rPr>
        <w:t>元，胜率为81.81%，累计收益率为</w:t>
      </w:r>
      <w:r>
        <w:rPr>
          <w:rFonts w:hint="eastAsia" w:asciiTheme="minorEastAsia" w:hAnsiTheme="minorEastAsia" w:eastAsiaTheme="minorEastAsia" w:cstheme="minorEastAsia"/>
          <w:color w:val="000000"/>
          <w:kern w:val="0"/>
          <w:sz w:val="24"/>
          <w:szCs w:val="24"/>
          <w:lang w:val="en-US" w:eastAsia="zh-CN"/>
        </w:rPr>
        <w:t>30.5</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sz w:val="24"/>
          <w:szCs w:val="24"/>
        </w:rPr>
        <w:t>%，年化收益率为</w:t>
      </w:r>
      <w:r>
        <w:rPr>
          <w:rFonts w:hint="eastAsia" w:asciiTheme="minorEastAsia" w:hAnsiTheme="minorEastAsia" w:eastAsiaTheme="minorEastAsia" w:cstheme="minorEastAsia"/>
          <w:color w:val="000000"/>
          <w:kern w:val="0"/>
          <w:sz w:val="24"/>
          <w:szCs w:val="24"/>
          <w:lang w:val="en-US" w:eastAsia="zh-CN"/>
        </w:rPr>
        <w:t>197.13</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sz w:val="24"/>
          <w:szCs w:val="24"/>
        </w:rPr>
        <w:t>，夏普比率为0.</w:t>
      </w:r>
      <w:r>
        <w:rPr>
          <w:rFonts w:hint="eastAsia" w:asciiTheme="minorEastAsia" w:hAnsiTheme="minorEastAsia" w:eastAsiaTheme="minorEastAsia" w:cstheme="minorEastAsia"/>
          <w:sz w:val="24"/>
          <w:szCs w:val="24"/>
          <w:lang w:val="en-US" w:eastAsia="zh-CN"/>
        </w:rPr>
        <w:t>3375</w:t>
      </w:r>
      <w:r>
        <w:rPr>
          <w:rFonts w:hint="eastAsia" w:asciiTheme="minorEastAsia" w:hAnsiTheme="minorEastAsia" w:eastAsiaTheme="minorEastAsia" w:cstheme="minorEastAsia"/>
          <w:sz w:val="24"/>
          <w:szCs w:val="24"/>
        </w:rPr>
        <w:t>。其中正向套利为9次，盈利为8次，亏损为1次，正向套利总体为盈利，其总收益为</w:t>
      </w:r>
      <w:r>
        <w:rPr>
          <w:rFonts w:hint="eastAsia" w:asciiTheme="minorEastAsia" w:hAnsiTheme="minorEastAsia" w:eastAsiaTheme="minorEastAsia" w:cstheme="minorEastAsia"/>
          <w:i w:val="0"/>
          <w:color w:val="000000"/>
          <w:kern w:val="0"/>
          <w:sz w:val="24"/>
          <w:szCs w:val="24"/>
          <w:u w:val="none"/>
          <w:lang w:val="en-US" w:eastAsia="zh-CN" w:bidi="ar"/>
        </w:rPr>
        <w:t>121440</w:t>
      </w:r>
      <w:r>
        <w:rPr>
          <w:rFonts w:hint="eastAsia" w:asciiTheme="minorEastAsia" w:hAnsiTheme="minorEastAsia" w:eastAsiaTheme="minorEastAsia" w:cstheme="minorEastAsia"/>
          <w:sz w:val="24"/>
          <w:szCs w:val="24"/>
        </w:rPr>
        <w:t>元；反向套利为2次，盈利为1次，亏损为1次，反向套利总体为亏损，且单次套利的金额超过了初始资金的20%，其总亏损为</w:t>
      </w:r>
      <w:r>
        <w:rPr>
          <w:rFonts w:hint="eastAsia" w:asciiTheme="minorEastAsia" w:hAnsiTheme="minorEastAsia" w:eastAsiaTheme="minorEastAsia" w:cstheme="minorEastAsia"/>
          <w:i w:val="0"/>
          <w:color w:val="000000"/>
          <w:kern w:val="0"/>
          <w:sz w:val="24"/>
          <w:szCs w:val="24"/>
          <w:u w:val="none"/>
          <w:lang w:val="en-US" w:eastAsia="zh-CN" w:bidi="ar"/>
        </w:rPr>
        <w:t>29930</w:t>
      </w:r>
      <w:r>
        <w:rPr>
          <w:rFonts w:hint="eastAsia" w:asciiTheme="minorEastAsia" w:hAnsiTheme="minorEastAsia" w:eastAsiaTheme="minorEastAsia" w:cstheme="minorEastAsia"/>
          <w:sz w:val="24"/>
          <w:szCs w:val="24"/>
        </w:rPr>
        <w:t>元，正向套利的收益其中</w:t>
      </w:r>
      <w:r>
        <w:rPr>
          <w:rFonts w:hint="eastAsia" w:asciiTheme="minorEastAsia" w:hAnsiTheme="minorEastAsia" w:eastAsiaTheme="minorEastAsia" w:cstheme="minorEastAsia"/>
          <w:sz w:val="24"/>
          <w:szCs w:val="24"/>
          <w:lang w:val="en-US" w:eastAsia="zh-CN"/>
        </w:rPr>
        <w:t>24.65</w:t>
      </w:r>
      <w:r>
        <w:rPr>
          <w:rFonts w:hint="eastAsia" w:asciiTheme="minorEastAsia" w:hAnsiTheme="minorEastAsia" w:eastAsiaTheme="minorEastAsia" w:cstheme="minorEastAsia"/>
          <w:sz w:val="24"/>
          <w:szCs w:val="24"/>
        </w:rPr>
        <w:t>%用来弥补反向套利的亏损。相对来说在基于AR-GARCH模型的套利策略中考虑非对称阈值的策略比对称阈值的策略在样本时间内整体套利交易的套利效果相对较好，因此仅从样本内套利结果看应该选择非对称阈值进行套利交易信号的设计。</w:t>
      </w: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kern w:val="2"/>
          <w:sz w:val="32"/>
          <w:szCs w:val="32"/>
          <w:lang w:val="en-US" w:eastAsia="zh-CN" w:bidi="ar-SA"/>
        </w:rPr>
      </w:pPr>
      <w:bookmarkStart w:id="232" w:name="_Toc15921"/>
      <w:bookmarkStart w:id="233" w:name="_Toc24708"/>
      <w:bookmarkStart w:id="234" w:name="_Toc32032"/>
      <w:bookmarkStart w:id="235" w:name="_Toc633"/>
      <w:bookmarkStart w:id="236" w:name="_Toc17439"/>
      <w:r>
        <w:rPr>
          <w:rStyle w:val="26"/>
          <w:rFonts w:hint="eastAsia" w:ascii="黑体" w:hAnsi="黑体" w:eastAsia="黑体" w:cs="黑体"/>
          <w:b w:val="0"/>
          <w:bCs w:val="0"/>
          <w:sz w:val="32"/>
          <w:szCs w:val="32"/>
        </w:rPr>
        <w:t>5</w:t>
      </w:r>
      <w:r>
        <w:rPr>
          <w:rStyle w:val="26"/>
          <w:rFonts w:hint="eastAsia" w:ascii="黑体" w:hAnsi="黑体" w:eastAsia="黑体" w:cs="黑体"/>
          <w:b w:val="0"/>
          <w:bCs w:val="0"/>
          <w:sz w:val="32"/>
          <w:szCs w:val="32"/>
          <w:lang w:val="en-US" w:eastAsia="zh-CN"/>
        </w:rPr>
        <w:t xml:space="preserve"> </w:t>
      </w:r>
      <w:r>
        <w:rPr>
          <w:rStyle w:val="26"/>
          <w:rFonts w:hint="eastAsia" w:ascii="黑体" w:hAnsi="黑体" w:eastAsia="黑体" w:cs="黑体"/>
          <w:b w:val="0"/>
          <w:bCs w:val="0"/>
          <w:sz w:val="32"/>
          <w:szCs w:val="32"/>
        </w:rPr>
        <w:t>国债期货跨品种套利策略</w:t>
      </w:r>
      <w:r>
        <w:rPr>
          <w:rStyle w:val="26"/>
          <w:rFonts w:hint="eastAsia" w:ascii="黑体" w:hAnsi="黑体" w:eastAsia="黑体" w:cs="黑体"/>
          <w:b w:val="0"/>
          <w:bCs w:val="0"/>
          <w:sz w:val="32"/>
          <w:szCs w:val="32"/>
          <w:lang w:val="en-US" w:eastAsia="zh-CN"/>
        </w:rPr>
        <w:t>样本外回测效果</w:t>
      </w:r>
      <w:r>
        <w:rPr>
          <w:rStyle w:val="26"/>
          <w:rFonts w:hint="eastAsia" w:ascii="黑体" w:hAnsi="黑体" w:eastAsia="黑体" w:cs="黑体"/>
          <w:b w:val="0"/>
          <w:bCs w:val="0"/>
          <w:sz w:val="32"/>
          <w:szCs w:val="32"/>
        </w:rPr>
        <w:t>及</w:t>
      </w:r>
      <w:r>
        <w:rPr>
          <w:rFonts w:hint="eastAsia" w:ascii="黑体" w:hAnsi="黑体" w:eastAsia="黑体" w:cs="黑体"/>
          <w:b w:val="0"/>
          <w:bCs/>
          <w:kern w:val="2"/>
          <w:sz w:val="32"/>
          <w:szCs w:val="32"/>
          <w:lang w:val="en-US" w:eastAsia="zh-CN" w:bidi="ar-SA"/>
        </w:rPr>
        <w:t>结论</w:t>
      </w:r>
      <w:bookmarkEnd w:id="232"/>
      <w:bookmarkEnd w:id="233"/>
      <w:bookmarkEnd w:id="234"/>
      <w:bookmarkEnd w:id="235"/>
      <w:bookmarkEnd w:id="23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根据上文确定的国债期货跨品种套利策略对样本数据进行检测，其中根据AR(3)-GARCH模型求出的残差序列以及上文求出的最优阈值可以求出入场和离场的上下触发点，对两种期货合约进行交易以期获得相对较好的盈利。下文首先将对此策略的样本外数据进行回测，分析策略的具体效果；然后</w:t>
      </w:r>
      <w:r>
        <w:rPr>
          <w:rFonts w:hint="eastAsia" w:asciiTheme="minorEastAsia" w:hAnsiTheme="minorEastAsia" w:cstheme="minorEastAsia"/>
          <w:sz w:val="24"/>
          <w:lang w:val="en-US" w:eastAsia="zh-CN"/>
        </w:rPr>
        <w:t>本文进行总结</w:t>
      </w:r>
      <w:r>
        <w:rPr>
          <w:rFonts w:hint="eastAsia" w:asciiTheme="minorEastAsia" w:hAnsiTheme="minorEastAsia" w:cstheme="minorEastAsia"/>
          <w:sz w:val="24"/>
        </w:rPr>
        <w:t>。</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rPr>
      </w:pPr>
      <w:bookmarkStart w:id="237" w:name="_Toc2462"/>
      <w:bookmarkStart w:id="238" w:name="_Toc9671"/>
      <w:bookmarkStart w:id="239" w:name="_Toc5951"/>
      <w:bookmarkStart w:id="240" w:name="_Toc2957"/>
      <w:bookmarkStart w:id="241" w:name="_Toc1884"/>
      <w:r>
        <w:rPr>
          <w:rFonts w:hint="eastAsia" w:ascii="黑体" w:hAnsi="黑体" w:eastAsia="黑体" w:cs="黑体"/>
          <w:b w:val="0"/>
          <w:bCs/>
          <w:sz w:val="28"/>
          <w:szCs w:val="28"/>
        </w:rPr>
        <w:t>5.</w:t>
      </w:r>
      <w:r>
        <w:rPr>
          <w:rFonts w:hint="eastAsia" w:ascii="黑体" w:hAnsi="黑体" w:eastAsia="黑体" w:cs="黑体"/>
          <w:b w:val="0"/>
          <w:bCs/>
          <w:sz w:val="28"/>
          <w:szCs w:val="28"/>
          <w:lang w:val="en-US" w:eastAsia="zh-CN"/>
        </w:rPr>
        <w:t xml:space="preserve">1 </w:t>
      </w:r>
      <w:r>
        <w:rPr>
          <w:rFonts w:hint="eastAsia" w:ascii="黑体" w:hAnsi="黑体" w:eastAsia="黑体" w:cs="黑体"/>
          <w:b w:val="0"/>
          <w:bCs/>
          <w:sz w:val="28"/>
          <w:szCs w:val="28"/>
        </w:rPr>
        <w:t>样本外回测</w:t>
      </w:r>
      <w:r>
        <w:rPr>
          <w:rFonts w:hint="eastAsia" w:ascii="黑体" w:hAnsi="黑体" w:cs="黑体"/>
          <w:b w:val="0"/>
          <w:bCs/>
          <w:sz w:val="28"/>
          <w:szCs w:val="28"/>
          <w:lang w:val="en-US" w:eastAsia="zh-CN"/>
        </w:rPr>
        <w:t>效果</w:t>
      </w:r>
      <w:r>
        <w:rPr>
          <w:rFonts w:hint="eastAsia" w:ascii="黑体" w:hAnsi="黑体" w:eastAsia="黑体" w:cs="黑体"/>
          <w:b w:val="0"/>
          <w:bCs/>
          <w:sz w:val="28"/>
          <w:szCs w:val="28"/>
        </w:rPr>
        <w:t>分析</w:t>
      </w:r>
      <w:bookmarkEnd w:id="237"/>
      <w:bookmarkEnd w:id="238"/>
      <w:bookmarkEnd w:id="239"/>
      <w:bookmarkEnd w:id="240"/>
      <w:bookmarkEnd w:id="24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rPr>
        <w:t>根据样本内检测结果得出的最优阈值，从而确定了完整的套利策略，但是作为一个套利策略必须通过样本外回测或实盘交易测试检验来判断策略的有效性以及策略的优劣。本文选取与样本内研究的期货合约相同且时间与样本内时间连续的2年期国债期货和5年期国债期货的3分钟收盘价作为样本外数据进行测试，共1615对数据</w:t>
      </w:r>
      <w:r>
        <w:rPr>
          <w:rFonts w:hint="eastAsia" w:asciiTheme="minorEastAsia" w:hAnsiTheme="minorEastAsia" w:cstheme="minorEastAsia"/>
          <w:sz w:val="24"/>
          <w:lang w:eastAsia="zh-CN"/>
        </w:rPr>
        <w:t>。</w:t>
      </w:r>
      <w:r>
        <w:rPr>
          <w:rFonts w:hint="eastAsia" w:asciiTheme="minorEastAsia" w:hAnsiTheme="minorEastAsia" w:cstheme="minorEastAsia"/>
          <w:sz w:val="24"/>
        </w:rPr>
        <w:t>由</w:t>
      </w:r>
      <w:r>
        <w:rPr>
          <w:rFonts w:hint="eastAsia" w:asciiTheme="minorEastAsia" w:hAnsiTheme="minorEastAsia" w:cstheme="minorEastAsia"/>
          <w:sz w:val="24"/>
          <w:lang w:val="en-US" w:eastAsia="zh-CN"/>
        </w:rPr>
        <w:t>样本内</w:t>
      </w:r>
      <w:r>
        <w:rPr>
          <w:rFonts w:hint="eastAsia" w:asciiTheme="minorEastAsia" w:hAnsiTheme="minorEastAsia" w:cstheme="minorEastAsia"/>
          <w:sz w:val="24"/>
        </w:rPr>
        <w:t>套利策略的套利结果可知，</w:t>
      </w:r>
      <w:r>
        <w:rPr>
          <w:rFonts w:hint="eastAsia" w:asciiTheme="minorEastAsia" w:hAnsiTheme="minorEastAsia" w:cstheme="minorEastAsia"/>
          <w:sz w:val="24"/>
          <w:lang w:val="en-US" w:eastAsia="zh-CN"/>
        </w:rPr>
        <w:t>对称交易信号的策略套利效果较差，</w:t>
      </w:r>
      <w:r>
        <w:rPr>
          <w:rFonts w:hint="eastAsia" w:asciiTheme="minorEastAsia" w:hAnsiTheme="minorEastAsia" w:cstheme="minorEastAsia"/>
          <w:sz w:val="24"/>
        </w:rPr>
        <w:t>作为一名理性的投资者则不会选择</w:t>
      </w:r>
      <w:r>
        <w:rPr>
          <w:rFonts w:hint="eastAsia" w:asciiTheme="minorEastAsia" w:hAnsiTheme="minorEastAsia" w:cstheme="minorEastAsia"/>
          <w:sz w:val="24"/>
          <w:lang w:val="en-US" w:eastAsia="zh-CN"/>
        </w:rPr>
        <w:t>对称交易信号的</w:t>
      </w:r>
      <w:r>
        <w:rPr>
          <w:rFonts w:hint="eastAsia" w:asciiTheme="minorEastAsia" w:hAnsiTheme="minorEastAsia" w:cstheme="minorEastAsia"/>
          <w:sz w:val="24"/>
        </w:rPr>
        <w:t>策略，因此需要对该策略进行改进或说明以设定为对称交易信号的策略无效</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故样本外仅对有效策略进行回测。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1.收益分析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通过样本内数据得出的AR-GARCH模型以及非对称交易阈值n1=0.8，n2=1.3,m1=3.5对样本外数据进行回测，其结果如下：</w:t>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表5.</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样本外非对称阈值回测结果</w:t>
      </w:r>
    </w:p>
    <w:tbl>
      <w:tblPr>
        <w:tblStyle w:val="14"/>
        <w:tblW w:w="8166" w:type="dxa"/>
        <w:tblInd w:w="0" w:type="dxa"/>
        <w:tblLayout w:type="fixed"/>
        <w:tblCellMar>
          <w:top w:w="0" w:type="dxa"/>
          <w:left w:w="0" w:type="dxa"/>
          <w:bottom w:w="0" w:type="dxa"/>
          <w:right w:w="0" w:type="dxa"/>
        </w:tblCellMar>
      </w:tblPr>
      <w:tblGrid>
        <w:gridCol w:w="741"/>
        <w:gridCol w:w="758"/>
        <w:gridCol w:w="1087"/>
        <w:gridCol w:w="960"/>
        <w:gridCol w:w="1260"/>
        <w:gridCol w:w="1350"/>
        <w:gridCol w:w="930"/>
        <w:gridCol w:w="1080"/>
      </w:tblGrid>
      <w:tr>
        <w:tblPrEx>
          <w:tblCellMar>
            <w:top w:w="0" w:type="dxa"/>
            <w:left w:w="0" w:type="dxa"/>
            <w:bottom w:w="0" w:type="dxa"/>
            <w:right w:w="0" w:type="dxa"/>
          </w:tblCellMar>
        </w:tblPrEx>
        <w:trPr>
          <w:trHeight w:val="285" w:hRule="atLeast"/>
        </w:trPr>
        <w:tc>
          <w:tcPr>
            <w:tcW w:w="741"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反向交易次数</w:t>
            </w:r>
          </w:p>
        </w:tc>
        <w:tc>
          <w:tcPr>
            <w:tcW w:w="758"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总交易次数</w:t>
            </w:r>
          </w:p>
        </w:tc>
        <w:tc>
          <w:tcPr>
            <w:tcW w:w="1087"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盈利次数</w:t>
            </w:r>
          </w:p>
        </w:tc>
        <w:tc>
          <w:tcPr>
            <w:tcW w:w="96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套利收益</w:t>
            </w:r>
          </w:p>
        </w:tc>
        <w:tc>
          <w:tcPr>
            <w:tcW w:w="126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累计收益率</w:t>
            </w:r>
          </w:p>
        </w:tc>
        <w:tc>
          <w:tcPr>
            <w:tcW w:w="135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年化收益率</w:t>
            </w:r>
          </w:p>
        </w:tc>
        <w:tc>
          <w:tcPr>
            <w:tcW w:w="93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胜率</w:t>
            </w:r>
          </w:p>
        </w:tc>
        <w:tc>
          <w:tcPr>
            <w:tcW w:w="1080" w:type="dxa"/>
            <w:tcBorders>
              <w:top w:val="single" w:color="000000" w:sz="12"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夏普比率</w:t>
            </w:r>
          </w:p>
        </w:tc>
      </w:tr>
      <w:tr>
        <w:tblPrEx>
          <w:tblCellMar>
            <w:top w:w="0" w:type="dxa"/>
            <w:left w:w="0" w:type="dxa"/>
            <w:bottom w:w="0" w:type="dxa"/>
            <w:right w:w="0" w:type="dxa"/>
          </w:tblCellMar>
        </w:tblPrEx>
        <w:trPr>
          <w:trHeight w:val="300" w:hRule="atLeast"/>
        </w:trPr>
        <w:tc>
          <w:tcPr>
            <w:tcW w:w="741"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kern w:val="0"/>
                <w:sz w:val="21"/>
                <w:szCs w:val="21"/>
                <w:lang w:val="en-US" w:eastAsia="zh-CN"/>
              </w:rPr>
              <w:t>12</w:t>
            </w:r>
          </w:p>
        </w:tc>
        <w:tc>
          <w:tcPr>
            <w:tcW w:w="758"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kern w:val="0"/>
                <w:sz w:val="21"/>
                <w:szCs w:val="21"/>
              </w:rPr>
              <w:t>5</w:t>
            </w:r>
            <w:r>
              <w:rPr>
                <w:rFonts w:hint="eastAsia" w:asciiTheme="minorEastAsia" w:hAnsiTheme="minorEastAsia" w:eastAsiaTheme="minorEastAsia" w:cstheme="minorEastAsia"/>
                <w:color w:val="000000"/>
                <w:kern w:val="0"/>
                <w:sz w:val="21"/>
                <w:szCs w:val="21"/>
                <w:lang w:val="en-US" w:eastAsia="zh-CN"/>
              </w:rPr>
              <w:t>4</w:t>
            </w:r>
          </w:p>
        </w:tc>
        <w:tc>
          <w:tcPr>
            <w:tcW w:w="1087"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kern w:val="0"/>
                <w:sz w:val="21"/>
                <w:szCs w:val="21"/>
                <w:lang w:val="en-US" w:eastAsia="zh-CN"/>
              </w:rPr>
              <w:t>34</w:t>
            </w:r>
          </w:p>
        </w:tc>
        <w:tc>
          <w:tcPr>
            <w:tcW w:w="960"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kern w:val="0"/>
                <w:sz w:val="21"/>
                <w:szCs w:val="21"/>
              </w:rPr>
              <w:t>358</w:t>
            </w:r>
            <w:r>
              <w:rPr>
                <w:rFonts w:hint="eastAsia" w:asciiTheme="minorEastAsia" w:hAnsiTheme="minorEastAsia" w:eastAsiaTheme="minorEastAsia" w:cstheme="minorEastAsia"/>
                <w:color w:val="000000"/>
                <w:kern w:val="0"/>
                <w:sz w:val="21"/>
                <w:szCs w:val="21"/>
                <w:lang w:val="en-US" w:eastAsia="zh-CN"/>
              </w:rPr>
              <w:t>90</w:t>
            </w:r>
          </w:p>
        </w:tc>
        <w:tc>
          <w:tcPr>
            <w:tcW w:w="1260"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rPr>
              <w:t>11.96</w:t>
            </w:r>
            <w:r>
              <w:rPr>
                <w:rFonts w:hint="eastAsia" w:asciiTheme="minorEastAsia" w:hAnsiTheme="minorEastAsia" w:eastAsiaTheme="minorEastAsia" w:cstheme="minorEastAsia"/>
                <w:color w:val="000000"/>
                <w:kern w:val="0"/>
                <w:sz w:val="21"/>
                <w:szCs w:val="21"/>
              </w:rPr>
              <w:t>%</w:t>
            </w:r>
          </w:p>
        </w:tc>
        <w:tc>
          <w:tcPr>
            <w:tcW w:w="1350"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rPr>
              <w:t>342.32</w:t>
            </w:r>
            <w:r>
              <w:rPr>
                <w:rFonts w:hint="eastAsia" w:asciiTheme="minorEastAsia" w:hAnsiTheme="minorEastAsia" w:eastAsiaTheme="minorEastAsia" w:cstheme="minorEastAsia"/>
                <w:color w:val="000000"/>
                <w:kern w:val="0"/>
                <w:sz w:val="21"/>
                <w:szCs w:val="21"/>
              </w:rPr>
              <w:t>%</w:t>
            </w:r>
          </w:p>
        </w:tc>
        <w:tc>
          <w:tcPr>
            <w:tcW w:w="930"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rPr>
              <w:t>62.96</w:t>
            </w:r>
            <w:r>
              <w:rPr>
                <w:rFonts w:hint="eastAsia" w:asciiTheme="minorEastAsia" w:hAnsiTheme="minorEastAsia" w:eastAsiaTheme="minorEastAsia" w:cstheme="minorEastAsia"/>
                <w:color w:val="000000"/>
                <w:kern w:val="0"/>
                <w:sz w:val="21"/>
                <w:szCs w:val="21"/>
              </w:rPr>
              <w:t>%</w:t>
            </w:r>
          </w:p>
        </w:tc>
        <w:tc>
          <w:tcPr>
            <w:tcW w:w="1080" w:type="dxa"/>
            <w:tcBorders>
              <w:top w:val="single" w:color="000000" w:sz="8" w:space="0"/>
              <w:left w:val="nil"/>
              <w:bottom w:val="single" w:color="000000" w:sz="12" w:space="0"/>
              <w:right w:val="nil"/>
            </w:tcBorders>
            <w:shd w:val="clear" w:color="auto" w:fill="auto"/>
            <w:noWrap/>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 xml:space="preserve"> 6.8555</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根据表5.</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的</w:t>
      </w:r>
      <w:r>
        <w:rPr>
          <w:rFonts w:hint="eastAsia" w:asciiTheme="minorEastAsia" w:hAnsiTheme="minorEastAsia" w:cstheme="minorEastAsia"/>
          <w:sz w:val="24"/>
          <w:szCs w:val="24"/>
          <w:lang w:val="en-US" w:eastAsia="zh-CN"/>
        </w:rPr>
        <w:t>样本外</w:t>
      </w:r>
      <w:r>
        <w:rPr>
          <w:rFonts w:hint="eastAsia" w:asciiTheme="minorEastAsia" w:hAnsiTheme="minorEastAsia" w:eastAsiaTheme="minorEastAsia" w:cstheme="minorEastAsia"/>
          <w:sz w:val="24"/>
          <w:szCs w:val="24"/>
        </w:rPr>
        <w:t>回测结果可知，设定非对称阈值的套利策略的收益在样本外的套利</w:t>
      </w:r>
      <w:r>
        <w:rPr>
          <w:rFonts w:hint="eastAsia" w:asciiTheme="minorEastAsia" w:hAnsiTheme="minorEastAsia" w:cstheme="minorEastAsia"/>
          <w:sz w:val="24"/>
          <w:szCs w:val="24"/>
          <w:lang w:val="en-US" w:eastAsia="zh-CN"/>
        </w:rPr>
        <w:t>累计收益</w:t>
      </w:r>
      <w:r>
        <w:rPr>
          <w:rFonts w:hint="eastAsia" w:asciiTheme="minorEastAsia" w:hAnsiTheme="minorEastAsia" w:eastAsiaTheme="minorEastAsia" w:cstheme="minorEastAsia"/>
          <w:sz w:val="24"/>
          <w:szCs w:val="24"/>
        </w:rPr>
        <w:t>相对于样本内较</w:t>
      </w:r>
      <w:r>
        <w:rPr>
          <w:rFonts w:hint="eastAsia" w:asciiTheme="minorEastAsia" w:hAnsiTheme="minorEastAsia" w:cstheme="minorEastAsia"/>
          <w:sz w:val="24"/>
          <w:szCs w:val="24"/>
          <w:lang w:val="en-US" w:eastAsia="zh-CN"/>
        </w:rPr>
        <w:t>低</w:t>
      </w:r>
      <w:r>
        <w:rPr>
          <w:rFonts w:hint="eastAsia" w:asciiTheme="minorEastAsia" w:hAnsiTheme="minorEastAsia" w:eastAsiaTheme="minorEastAsia" w:cstheme="minorEastAsia"/>
          <w:sz w:val="24"/>
          <w:szCs w:val="24"/>
        </w:rPr>
        <w:t>，但</w:t>
      </w:r>
      <w:r>
        <w:rPr>
          <w:rFonts w:hint="eastAsia" w:asciiTheme="minorEastAsia" w:hAnsiTheme="minorEastAsia" w:cstheme="minorEastAsia"/>
          <w:sz w:val="24"/>
          <w:szCs w:val="24"/>
          <w:lang w:val="en-US" w:eastAsia="zh-CN"/>
        </w:rPr>
        <w:t>整体分析，该策略在样本外的年化收益以及夏普比率都是较高的，故该策略是</w:t>
      </w:r>
      <w:r>
        <w:rPr>
          <w:rFonts w:hint="eastAsia" w:asciiTheme="minorEastAsia" w:hAnsiTheme="minorEastAsia" w:eastAsiaTheme="minorEastAsia" w:cstheme="minorEastAsia"/>
          <w:sz w:val="24"/>
          <w:szCs w:val="24"/>
        </w:rPr>
        <w:t>比较成功的，其总共进行了5</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次套利，正向套利为4</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次，反向套利为</w:t>
      </w: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rPr>
        <w:t>次，总盈利</w:t>
      </w:r>
      <w:r>
        <w:rPr>
          <w:rFonts w:hint="eastAsia" w:asciiTheme="minorEastAsia" w:hAnsiTheme="minorEastAsia" w:eastAsiaTheme="minorEastAsia" w:cstheme="minorEastAsia"/>
          <w:color w:val="000000"/>
          <w:kern w:val="0"/>
          <w:sz w:val="24"/>
          <w:szCs w:val="24"/>
        </w:rPr>
        <w:t>358</w:t>
      </w:r>
      <w:r>
        <w:rPr>
          <w:rFonts w:hint="eastAsia" w:asciiTheme="minorEastAsia" w:hAnsiTheme="minorEastAsia" w:eastAsiaTheme="minorEastAsia" w:cstheme="minorEastAsia"/>
          <w:color w:val="000000"/>
          <w:kern w:val="0"/>
          <w:sz w:val="24"/>
          <w:szCs w:val="24"/>
          <w:lang w:val="en-US" w:eastAsia="zh-CN"/>
        </w:rPr>
        <w:t>90</w:t>
      </w:r>
      <w:r>
        <w:rPr>
          <w:rFonts w:hint="eastAsia" w:asciiTheme="minorEastAsia" w:hAnsiTheme="minorEastAsia" w:eastAsiaTheme="minorEastAsia" w:cstheme="minorEastAsia"/>
          <w:sz w:val="24"/>
          <w:szCs w:val="24"/>
        </w:rPr>
        <w:t>元，累计收益率为</w:t>
      </w:r>
      <w:r>
        <w:rPr>
          <w:rFonts w:hint="eastAsia" w:asciiTheme="minorEastAsia" w:hAnsiTheme="minorEastAsia" w:eastAsiaTheme="minorEastAsia" w:cstheme="minorEastAsia"/>
          <w:color w:val="000000"/>
          <w:kern w:val="0"/>
          <w:sz w:val="24"/>
          <w:szCs w:val="24"/>
          <w:lang w:val="en-US" w:eastAsia="zh-CN"/>
        </w:rPr>
        <w:t>11.96</w:t>
      </w:r>
      <w:r>
        <w:rPr>
          <w:rFonts w:hint="eastAsia" w:asciiTheme="minorEastAsia" w:hAnsiTheme="minorEastAsia" w:eastAsiaTheme="minorEastAsia" w:cstheme="minorEastAsia"/>
          <w:sz w:val="24"/>
          <w:szCs w:val="24"/>
        </w:rPr>
        <w:t>%，胜率为</w:t>
      </w:r>
      <w:r>
        <w:rPr>
          <w:rFonts w:hint="eastAsia" w:asciiTheme="minorEastAsia" w:hAnsiTheme="minorEastAsia" w:eastAsiaTheme="minorEastAsia" w:cstheme="minorEastAsia"/>
          <w:sz w:val="24"/>
          <w:szCs w:val="24"/>
          <w:lang w:val="en-US" w:eastAsia="zh-CN"/>
        </w:rPr>
        <w:t>62.96</w:t>
      </w:r>
      <w:r>
        <w:rPr>
          <w:rFonts w:hint="eastAsia" w:asciiTheme="minorEastAsia" w:hAnsiTheme="minorEastAsia" w:eastAsiaTheme="minorEastAsia" w:cstheme="minorEastAsia"/>
          <w:sz w:val="24"/>
          <w:szCs w:val="24"/>
        </w:rPr>
        <w:t>%，表明2年期国债期货和5年期国债期货的跨品种套利策略是可行的。</w:t>
      </w:r>
    </w:p>
    <w:p>
      <w:pPr>
        <w:keepNext w:val="0"/>
        <w:keepLines w:val="0"/>
        <w:pageBreakBefore w:val="0"/>
        <w:widowControl w:val="0"/>
        <w:kinsoku/>
        <w:wordWrap/>
        <w:overflowPunct/>
        <w:topLinePunct w:val="0"/>
        <w:autoSpaceDE/>
        <w:autoSpaceDN/>
        <w:bidi w:val="0"/>
        <w:adjustRightInd/>
        <w:snapToGrid/>
        <w:spacing w:before="240" w:after="120" w:line="240" w:lineRule="auto"/>
        <w:ind w:firstLine="420" w:firstLineChars="20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表5.</w:t>
      </w:r>
      <w:r>
        <w:rPr>
          <w:rFonts w:hint="eastAsia" w:asciiTheme="minorEastAsia" w:hAnsiTheme="minorEastAsia" w:cstheme="minorEastAsia"/>
          <w:sz w:val="21"/>
          <w:szCs w:val="21"/>
          <w:lang w:val="en-US" w:eastAsia="zh-CN"/>
        </w:rPr>
        <w:t xml:space="preserve">2  </w:t>
      </w:r>
      <w:r>
        <w:rPr>
          <w:rFonts w:hint="eastAsia" w:asciiTheme="minorEastAsia" w:hAnsiTheme="minorEastAsia" w:eastAsiaTheme="minorEastAsia" w:cstheme="minorEastAsia"/>
          <w:sz w:val="21"/>
          <w:szCs w:val="21"/>
        </w:rPr>
        <w:t>样本内外套利结果比较</w:t>
      </w:r>
    </w:p>
    <w:tbl>
      <w:tblPr>
        <w:tblStyle w:val="14"/>
        <w:tblW w:w="8286" w:type="dxa"/>
        <w:tblInd w:w="0" w:type="dxa"/>
        <w:tblLayout w:type="fixed"/>
        <w:tblCellMar>
          <w:top w:w="0" w:type="dxa"/>
          <w:left w:w="0" w:type="dxa"/>
          <w:bottom w:w="0" w:type="dxa"/>
          <w:right w:w="0" w:type="dxa"/>
        </w:tblCellMar>
      </w:tblPr>
      <w:tblGrid>
        <w:gridCol w:w="1370"/>
        <w:gridCol w:w="739"/>
        <w:gridCol w:w="692"/>
        <w:gridCol w:w="669"/>
        <w:gridCol w:w="819"/>
        <w:gridCol w:w="1087"/>
        <w:gridCol w:w="1065"/>
        <w:gridCol w:w="855"/>
        <w:gridCol w:w="990"/>
      </w:tblGrid>
      <w:tr>
        <w:tblPrEx>
          <w:tblCellMar>
            <w:top w:w="0" w:type="dxa"/>
            <w:left w:w="0" w:type="dxa"/>
            <w:bottom w:w="0" w:type="dxa"/>
            <w:right w:w="0" w:type="dxa"/>
          </w:tblCellMar>
        </w:tblPrEx>
        <w:trPr>
          <w:trHeight w:val="270" w:hRule="atLeast"/>
        </w:trPr>
        <w:tc>
          <w:tcPr>
            <w:tcW w:w="137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r>
              <w:rPr>
                <w:rFonts w:hint="eastAsia" w:ascii="宋体" w:hAnsi="宋体" w:eastAsia="宋体" w:cs="宋体"/>
                <w:color w:val="000000"/>
                <w:sz w:val="22"/>
                <w:szCs w:val="22"/>
              </w:rPr>
              <w:t>阈值</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6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textAlignment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套利期间</w:t>
            </w:r>
          </w:p>
        </w:tc>
        <w:tc>
          <w:tcPr>
            <w:tcW w:w="66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盈利次数</w:t>
            </w:r>
          </w:p>
        </w:tc>
        <w:tc>
          <w:tcPr>
            <w:tcW w:w="8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套利收益</w:t>
            </w:r>
          </w:p>
        </w:tc>
        <w:tc>
          <w:tcPr>
            <w:tcW w:w="10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累计收益率</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年化收益率</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胜率</w:t>
            </w:r>
          </w:p>
        </w:tc>
        <w:tc>
          <w:tcPr>
            <w:tcW w:w="990"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夏普比率</w:t>
            </w:r>
          </w:p>
        </w:tc>
      </w:tr>
      <w:tr>
        <w:tblPrEx>
          <w:tblCellMar>
            <w:top w:w="0" w:type="dxa"/>
            <w:left w:w="0" w:type="dxa"/>
            <w:bottom w:w="0" w:type="dxa"/>
            <w:right w:w="0" w:type="dxa"/>
          </w:tblCellMar>
        </w:tblPrEx>
        <w:trPr>
          <w:trHeight w:val="270" w:hRule="atLeast"/>
        </w:trPr>
        <w:tc>
          <w:tcPr>
            <w:tcW w:w="1370"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n=0.8,m=3</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样本内</w:t>
            </w:r>
          </w:p>
        </w:tc>
        <w:tc>
          <w:tcPr>
            <w:tcW w:w="6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92天</w:t>
            </w:r>
          </w:p>
        </w:tc>
        <w:tc>
          <w:tcPr>
            <w:tcW w:w="66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12</w:t>
            </w:r>
          </w:p>
        </w:tc>
        <w:tc>
          <w:tcPr>
            <w:tcW w:w="8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4"/>
                <w:lang w:val="en-US" w:eastAsia="zh-CN"/>
              </w:rPr>
              <w:t>19404</w:t>
            </w:r>
          </w:p>
        </w:tc>
        <w:tc>
          <w:tcPr>
            <w:tcW w:w="10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6.35</w:t>
            </w:r>
            <w:r>
              <w:rPr>
                <w:rFonts w:hint="eastAsia" w:ascii="宋体" w:hAnsi="宋体" w:eastAsia="宋体" w:cs="宋体"/>
                <w:color w:val="000000"/>
                <w:kern w:val="0"/>
                <w:sz w:val="22"/>
                <w:szCs w:val="22"/>
              </w:rPr>
              <w:t>%</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28.62</w:t>
            </w:r>
            <w:r>
              <w:rPr>
                <w:rFonts w:hint="eastAsia" w:ascii="宋体" w:hAnsi="宋体" w:eastAsia="宋体" w:cs="宋体"/>
                <w:color w:val="000000"/>
                <w:kern w:val="0"/>
                <w:sz w:val="22"/>
                <w:szCs w:val="22"/>
              </w:rPr>
              <w:t>%</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66.67</w:t>
            </w:r>
            <w:r>
              <w:rPr>
                <w:rFonts w:hint="eastAsia" w:ascii="宋体" w:hAnsi="宋体" w:eastAsia="宋体" w:cs="宋体"/>
                <w:color w:val="000000"/>
                <w:kern w:val="0"/>
                <w:sz w:val="22"/>
                <w:szCs w:val="22"/>
              </w:rPr>
              <w:t>%</w:t>
            </w:r>
          </w:p>
        </w:tc>
        <w:tc>
          <w:tcPr>
            <w:tcW w:w="990"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eastAsia="宋体" w:cs="宋体"/>
                <w:color w:val="000000"/>
                <w:kern w:val="0"/>
                <w:sz w:val="22"/>
                <w:szCs w:val="22"/>
              </w:rPr>
              <w:t>0.</w:t>
            </w:r>
            <w:r>
              <w:rPr>
                <w:rFonts w:hint="eastAsia" w:ascii="宋体" w:hAnsi="宋体" w:eastAsia="宋体" w:cs="宋体"/>
                <w:color w:val="000000"/>
                <w:kern w:val="0"/>
                <w:sz w:val="22"/>
                <w:szCs w:val="22"/>
                <w:lang w:val="en-US" w:eastAsia="zh-CN"/>
              </w:rPr>
              <w:t>0464</w:t>
            </w:r>
          </w:p>
        </w:tc>
      </w:tr>
      <w:tr>
        <w:tblPrEx>
          <w:tblCellMar>
            <w:top w:w="0" w:type="dxa"/>
            <w:left w:w="0" w:type="dxa"/>
            <w:bottom w:w="0" w:type="dxa"/>
            <w:right w:w="0" w:type="dxa"/>
          </w:tblCellMar>
        </w:tblPrEx>
        <w:trPr>
          <w:trHeight w:val="270" w:hRule="atLeast"/>
        </w:trPr>
        <w:tc>
          <w:tcPr>
            <w:tcW w:w="1370" w:type="dxa"/>
            <w:vMerge w:val="restart"/>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n1=0.8,n2=1.3m1=3.5</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样本内</w:t>
            </w:r>
          </w:p>
        </w:tc>
        <w:tc>
          <w:tcPr>
            <w:tcW w:w="6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92天</w:t>
            </w:r>
          </w:p>
        </w:tc>
        <w:tc>
          <w:tcPr>
            <w:tcW w:w="66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9</w:t>
            </w:r>
          </w:p>
        </w:tc>
        <w:tc>
          <w:tcPr>
            <w:tcW w:w="8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4"/>
                <w:lang w:val="en-US" w:eastAsia="zh-CN"/>
              </w:rPr>
              <w:t>91510</w:t>
            </w:r>
          </w:p>
        </w:tc>
        <w:tc>
          <w:tcPr>
            <w:tcW w:w="10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30.5</w:t>
            </w:r>
            <w:r>
              <w:rPr>
                <w:rFonts w:hint="eastAsia" w:ascii="宋体" w:hAnsi="宋体" w:eastAsia="宋体" w:cs="宋体"/>
                <w:color w:val="000000"/>
                <w:kern w:val="0"/>
                <w:sz w:val="22"/>
                <w:szCs w:val="22"/>
              </w:rPr>
              <w:t>%</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197.13</w:t>
            </w:r>
            <w:r>
              <w:rPr>
                <w:rFonts w:hint="eastAsia" w:ascii="宋体" w:hAnsi="宋体" w:eastAsia="宋体" w:cs="宋体"/>
                <w:color w:val="000000"/>
                <w:kern w:val="0"/>
                <w:sz w:val="22"/>
                <w:szCs w:val="22"/>
              </w:rPr>
              <w:t>%</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81.81%</w:t>
            </w:r>
          </w:p>
        </w:tc>
        <w:tc>
          <w:tcPr>
            <w:tcW w:w="990"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eastAsia="宋体" w:cs="宋体"/>
                <w:color w:val="000000"/>
                <w:kern w:val="0"/>
                <w:sz w:val="22"/>
                <w:szCs w:val="22"/>
              </w:rPr>
              <w:t>0.</w:t>
            </w:r>
            <w:r>
              <w:rPr>
                <w:rFonts w:hint="eastAsia" w:ascii="宋体" w:hAnsi="宋体" w:eastAsia="宋体" w:cs="宋体"/>
                <w:color w:val="000000"/>
                <w:kern w:val="0"/>
                <w:sz w:val="22"/>
                <w:szCs w:val="22"/>
                <w:lang w:val="en-US" w:eastAsia="zh-CN"/>
              </w:rPr>
              <w:t>3375</w:t>
            </w:r>
          </w:p>
        </w:tc>
      </w:tr>
      <w:tr>
        <w:tblPrEx>
          <w:tblCellMar>
            <w:top w:w="0" w:type="dxa"/>
            <w:left w:w="0" w:type="dxa"/>
            <w:bottom w:w="0" w:type="dxa"/>
            <w:right w:w="0" w:type="dxa"/>
          </w:tblCellMar>
        </w:tblPrEx>
        <w:trPr>
          <w:trHeight w:val="285" w:hRule="atLeast"/>
        </w:trPr>
        <w:tc>
          <w:tcPr>
            <w:tcW w:w="1370" w:type="dxa"/>
            <w:vMerge w:val="continue"/>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样本外</w:t>
            </w:r>
          </w:p>
        </w:tc>
        <w:tc>
          <w:tcPr>
            <w:tcW w:w="6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25天</w:t>
            </w:r>
          </w:p>
        </w:tc>
        <w:tc>
          <w:tcPr>
            <w:tcW w:w="66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eastAsia="宋体" w:cs="宋体"/>
                <w:color w:val="000000"/>
                <w:kern w:val="0"/>
                <w:sz w:val="22"/>
                <w:szCs w:val="22"/>
                <w:lang w:val="en-US" w:eastAsia="zh-CN"/>
              </w:rPr>
              <w:t>34</w:t>
            </w:r>
          </w:p>
        </w:tc>
        <w:tc>
          <w:tcPr>
            <w:tcW w:w="8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358</w:t>
            </w:r>
            <w:r>
              <w:rPr>
                <w:rFonts w:hint="eastAsia" w:ascii="宋体" w:hAnsi="宋体" w:eastAsia="宋体" w:cs="宋体"/>
                <w:color w:val="000000"/>
                <w:kern w:val="0"/>
                <w:sz w:val="24"/>
                <w:lang w:val="en-US" w:eastAsia="zh-CN"/>
              </w:rPr>
              <w:t>90</w:t>
            </w:r>
          </w:p>
        </w:tc>
        <w:tc>
          <w:tcPr>
            <w:tcW w:w="10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11.96</w:t>
            </w:r>
            <w:r>
              <w:rPr>
                <w:rFonts w:hint="eastAsia" w:ascii="宋体" w:hAnsi="宋体" w:eastAsia="宋体" w:cs="宋体"/>
                <w:color w:val="000000"/>
                <w:kern w:val="0"/>
                <w:sz w:val="22"/>
                <w:szCs w:val="22"/>
              </w:rPr>
              <w:t>%</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342.32</w:t>
            </w:r>
            <w:r>
              <w:rPr>
                <w:rFonts w:hint="eastAsia" w:ascii="宋体" w:hAnsi="宋体" w:eastAsia="宋体" w:cs="宋体"/>
                <w:color w:val="000000"/>
                <w:kern w:val="0"/>
                <w:sz w:val="22"/>
                <w:szCs w:val="22"/>
              </w:rPr>
              <w:t>%</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val="en-US" w:eastAsia="zh-CN"/>
              </w:rPr>
              <w:t>62.96</w:t>
            </w:r>
            <w:r>
              <w:rPr>
                <w:rFonts w:hint="eastAsia" w:ascii="宋体" w:hAnsi="宋体" w:eastAsia="宋体" w:cs="宋体"/>
                <w:color w:val="000000"/>
                <w:kern w:val="0"/>
                <w:sz w:val="22"/>
                <w:szCs w:val="22"/>
              </w:rPr>
              <w:t>%</w:t>
            </w:r>
          </w:p>
        </w:tc>
        <w:tc>
          <w:tcPr>
            <w:tcW w:w="990" w:type="dxa"/>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6.8555</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根据表5.</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样本内外将两种不同形式阈值策略的套利结果进行比较，从上表可知样本内的套利效果总是优于样本外的套利效果，而对于不同交易阈值的策略，非对称阈值的策略的胜率、累计收益率较好，故考虑到非对称阈值的交易策略不管在样本内还是样本外的套利效果都是优于对称阈值的策略，因此利用AR-GARCH模型的2年期国债期货和5年期国债期货的跨品种套利策略中应该选择非对称交易信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2.风险分析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rPr>
        <w:t>本文通过对样本外的收益率与相同期间国债指数的收益率进行比较，对基于AR-GARCH模型的2年期国债期货和5年期国债期货的跨品种套利策略的</w:t>
      </w:r>
      <w:r>
        <w:rPr>
          <w:rFonts w:hint="eastAsia" w:asciiTheme="minorEastAsia" w:hAnsiTheme="minorEastAsia" w:eastAsiaTheme="minorEastAsia" w:cstheme="minorEastAsia"/>
          <w:sz w:val="24"/>
          <w:lang w:val="en-US" w:eastAsia="zh-CN"/>
        </w:rPr>
        <w:t>风险</w:t>
      </w:r>
      <w:r>
        <w:rPr>
          <w:rFonts w:hint="eastAsia" w:asciiTheme="minorEastAsia" w:hAnsiTheme="minorEastAsia" w:eastAsiaTheme="minorEastAsia" w:cstheme="minorEastAsia"/>
          <w:sz w:val="24"/>
        </w:rPr>
        <w:t>进行</w:t>
      </w:r>
      <w:r>
        <w:rPr>
          <w:rFonts w:hint="eastAsia" w:asciiTheme="minorEastAsia" w:hAnsiTheme="minorEastAsia" w:cstheme="minorEastAsia"/>
          <w:sz w:val="24"/>
          <w:lang w:val="en-US" w:eastAsia="zh-CN"/>
        </w:rPr>
        <w:t>分析</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szCs w:val="24"/>
        </w:rPr>
        <w:t>2020年7月27日的国债指数收盘价为182.51，2020年8月20日国债指数收盘价为182.68，在与样本外的时间段相一致的19个交易日内国债指数收益率为0.09%，而本文的设计非对称信号的跨品种套利策略的收益率为</w:t>
      </w:r>
      <w:r>
        <w:rPr>
          <w:rFonts w:hint="eastAsia" w:asciiTheme="minorEastAsia" w:hAnsiTheme="minorEastAsia" w:eastAsiaTheme="minorEastAsia" w:cstheme="minorEastAsia"/>
          <w:sz w:val="24"/>
          <w:szCs w:val="24"/>
          <w:lang w:val="en-US" w:eastAsia="zh-CN"/>
        </w:rPr>
        <w:t>11.96</w:t>
      </w:r>
      <w:r>
        <w:rPr>
          <w:rFonts w:hint="eastAsia" w:asciiTheme="minorEastAsia" w:hAnsiTheme="minorEastAsia" w:eastAsiaTheme="minorEastAsia" w:cstheme="minorEastAsia"/>
          <w:sz w:val="24"/>
          <w:szCs w:val="24"/>
        </w:rPr>
        <w:t>%，证明了基于AR-GARCH模型的跨品种套利策略在考虑非对称阈值的情况下是有效的，在国债指数走势上涨时，套利获利要较持有指数获利的幅度大，体现了该策略的有效性。</w:t>
      </w:r>
      <w:r>
        <w:rPr>
          <w:rFonts w:hint="eastAsia" w:asciiTheme="minorEastAsia" w:hAnsiTheme="minorEastAsia" w:eastAsiaTheme="minorEastAsia" w:cstheme="minorEastAsia"/>
          <w:sz w:val="24"/>
          <w:szCs w:val="24"/>
          <w:lang w:val="en-US" w:eastAsia="zh-CN"/>
        </w:rPr>
        <w:t>但收益与风险总是呈正相关的，相对于无风险收益策略本文策略可能面临不可忽略的风险，在样本内的夏普比率为0.3375，即在单位风险下该策略的年化收益率为33.75%，而在样本外风险收益更高，但不能排除偶然性的存在。本文策略可能存在以下的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2"/>
        <w:rPr>
          <w:rFonts w:hint="eastAsia" w:asciiTheme="minorEastAsia" w:hAnsiTheme="minorEastAsia" w:eastAsiaTheme="minorEastAsia" w:cstheme="minorEastAsia"/>
          <w:sz w:val="24"/>
          <w:szCs w:val="24"/>
          <w:lang w:val="en-US" w:eastAsia="zh-CN"/>
        </w:rPr>
      </w:pPr>
      <w:bookmarkStart w:id="242" w:name="_Toc10844"/>
      <w:bookmarkStart w:id="243" w:name="_Toc8293"/>
      <w:r>
        <w:rPr>
          <w:rFonts w:hint="eastAsia" w:asciiTheme="minorEastAsia" w:hAnsiTheme="minorEastAsia" w:cstheme="minorEastAsia"/>
          <w:sz w:val="24"/>
          <w:szCs w:val="24"/>
          <w:lang w:val="en-US" w:eastAsia="zh-CN"/>
        </w:rPr>
        <w:t>（1）统计套利</w:t>
      </w:r>
      <w:r>
        <w:rPr>
          <w:rFonts w:hint="eastAsia" w:asciiTheme="minorEastAsia" w:hAnsiTheme="minorEastAsia" w:eastAsiaTheme="minorEastAsia" w:cstheme="minorEastAsia"/>
          <w:sz w:val="24"/>
          <w:szCs w:val="24"/>
          <w:lang w:val="en-US" w:eastAsia="zh-CN"/>
        </w:rPr>
        <w:t>风险</w:t>
      </w:r>
      <w:bookmarkEnd w:id="242"/>
      <w:bookmarkEnd w:id="24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由于本文是基于统计套利原理的国债期货跨品种套利交易策略的研究，而统计套利是有风险套利，</w:t>
      </w:r>
      <w:r>
        <w:rPr>
          <w:rFonts w:hint="eastAsia" w:asciiTheme="minorEastAsia" w:hAnsiTheme="minorEastAsia" w:eastAsiaTheme="minorEastAsia" w:cstheme="minorEastAsia"/>
          <w:sz w:val="24"/>
        </w:rPr>
        <w:t>是基于两种套利对象之间的长期稳定关系进行套利，</w:t>
      </w:r>
      <w:r>
        <w:rPr>
          <w:rFonts w:hint="eastAsia" w:asciiTheme="minorEastAsia" w:hAnsiTheme="minorEastAsia" w:eastAsiaTheme="minorEastAsia" w:cstheme="minorEastAsia"/>
          <w:sz w:val="24"/>
          <w:szCs w:val="24"/>
          <w:lang w:val="en-US" w:eastAsia="zh-CN"/>
        </w:rPr>
        <w:t>假设</w:t>
      </w:r>
      <w:r>
        <w:rPr>
          <w:rFonts w:hint="eastAsia" w:asciiTheme="minorEastAsia" w:hAnsiTheme="minorEastAsia" w:eastAsiaTheme="minorEastAsia" w:cstheme="minorEastAsia"/>
          <w:sz w:val="24"/>
        </w:rPr>
        <w:t>两种套利对象之间</w:t>
      </w:r>
      <w:r>
        <w:rPr>
          <w:rFonts w:hint="eastAsia" w:asciiTheme="minorEastAsia" w:hAnsiTheme="minorEastAsia" w:eastAsiaTheme="minorEastAsia" w:cstheme="minorEastAsia"/>
          <w:sz w:val="24"/>
          <w:szCs w:val="24"/>
          <w:lang w:val="en-US" w:eastAsia="zh-CN"/>
        </w:rPr>
        <w:t>价差在大概率下是向均衡价差回复的，但当价差出现长期性偏离均衡价差，</w:t>
      </w:r>
      <w:r>
        <w:rPr>
          <w:rFonts w:hint="eastAsia" w:asciiTheme="minorEastAsia" w:hAnsiTheme="minorEastAsia" w:cstheme="minorEastAsia"/>
          <w:sz w:val="24"/>
          <w:szCs w:val="24"/>
          <w:lang w:val="en-US" w:eastAsia="zh-CN"/>
        </w:rPr>
        <w:t>且未达到止损条件，将会带来资金的长时间占用，</w:t>
      </w:r>
      <w:r>
        <w:rPr>
          <w:rFonts w:hint="eastAsia" w:asciiTheme="minorEastAsia" w:hAnsiTheme="minorEastAsia" w:eastAsiaTheme="minorEastAsia" w:cstheme="minorEastAsia"/>
          <w:sz w:val="24"/>
          <w:szCs w:val="24"/>
          <w:lang w:val="en-US" w:eastAsia="zh-CN"/>
        </w:rPr>
        <w:t>该</w:t>
      </w:r>
      <w:r>
        <w:rPr>
          <w:rFonts w:hint="eastAsia" w:asciiTheme="minorEastAsia" w:hAnsiTheme="minorEastAsia" w:cstheme="minorEastAsia"/>
          <w:sz w:val="24"/>
          <w:szCs w:val="24"/>
          <w:lang w:val="en-US" w:eastAsia="zh-CN"/>
        </w:rPr>
        <w:t>套利</w:t>
      </w:r>
      <w:r>
        <w:rPr>
          <w:rFonts w:hint="eastAsia" w:asciiTheme="minorEastAsia" w:hAnsiTheme="minorEastAsia" w:eastAsiaTheme="minorEastAsia" w:cstheme="minorEastAsia"/>
          <w:sz w:val="24"/>
          <w:szCs w:val="24"/>
          <w:lang w:val="en-US" w:eastAsia="zh-CN"/>
        </w:rPr>
        <w:t>策略</w:t>
      </w:r>
      <w:r>
        <w:rPr>
          <w:rFonts w:hint="eastAsia" w:asciiTheme="minorEastAsia" w:hAnsiTheme="minorEastAsia" w:cstheme="minorEastAsia"/>
          <w:sz w:val="24"/>
          <w:szCs w:val="24"/>
          <w:lang w:val="en-US" w:eastAsia="zh-CN"/>
        </w:rPr>
        <w:t>为有风险套利策略</w:t>
      </w:r>
      <w:r>
        <w:rPr>
          <w:rFonts w:hint="eastAsia" w:asciiTheme="minorEastAsia" w:hAnsiTheme="minorEastAsia" w:cstheme="minorEastAsia"/>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2"/>
        <w:rPr>
          <w:rFonts w:hint="eastAsia" w:asciiTheme="minorEastAsia" w:hAnsiTheme="minorEastAsia" w:eastAsiaTheme="minorEastAsia" w:cstheme="minorEastAsia"/>
          <w:sz w:val="24"/>
          <w:szCs w:val="24"/>
          <w:lang w:val="en-US" w:eastAsia="zh-CN"/>
        </w:rPr>
      </w:pPr>
      <w:bookmarkStart w:id="244" w:name="_Toc6009"/>
      <w:bookmarkStart w:id="245" w:name="_Toc4777"/>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模型风险</w:t>
      </w:r>
      <w:bookmarkEnd w:id="244"/>
      <w:bookmarkEnd w:id="24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建立AR-GARCH模型时利用的是国债期货历史价格数据，在寻求交易信号时也是利用历史数据进行分析，故本文策略是基于历史价格会再次出现的假设。当价格大幅度偏离历史价格轨道时，本文建立的模型将会失效，投资者将会面临较大风险。同时</w:t>
      </w:r>
      <w:r>
        <w:rPr>
          <w:rFonts w:hint="eastAsia" w:asciiTheme="minorEastAsia" w:hAnsiTheme="minorEastAsia" w:eastAsiaTheme="minorEastAsia" w:cstheme="minorEastAsia"/>
          <w:sz w:val="24"/>
          <w:szCs w:val="24"/>
        </w:rPr>
        <w:t>自回归方程的残差序列代替去中心化价差序列</w:t>
      </w:r>
      <w:r>
        <w:rPr>
          <w:rFonts w:hint="eastAsia" w:asciiTheme="minorEastAsia" w:hAnsiTheme="minorEastAsia" w:eastAsiaTheme="minorEastAsia" w:cstheme="minorEastAsia"/>
          <w:sz w:val="24"/>
          <w:szCs w:val="24"/>
          <w:lang w:val="en-US" w:eastAsia="zh-CN"/>
        </w:rPr>
        <w:t>存在误差，利用AR-GARCH模型对样本外套利时机的预测存在时效性。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综上所述，本文策略存在一定的风险，需对模型进行实时更新，还策略适用于风险</w:t>
      </w:r>
      <w:r>
        <w:rPr>
          <w:rFonts w:hint="eastAsia" w:asciiTheme="minorEastAsia" w:hAnsiTheme="minorEastAsia" w:cstheme="minorEastAsia"/>
          <w:sz w:val="24"/>
          <w:szCs w:val="24"/>
          <w:lang w:val="en-US" w:eastAsia="zh-CN"/>
        </w:rPr>
        <w:t>中</w:t>
      </w:r>
      <w:r>
        <w:rPr>
          <w:rFonts w:hint="eastAsia" w:asciiTheme="minorEastAsia" w:hAnsiTheme="minorEastAsia" w:eastAsiaTheme="minorEastAsia" w:cstheme="minorEastAsia"/>
          <w:sz w:val="24"/>
          <w:szCs w:val="24"/>
          <w:lang w:val="en-US" w:eastAsia="zh-CN"/>
        </w:rPr>
        <w:t>型投资者。</w:t>
      </w:r>
    </w:p>
    <w:p>
      <w:pPr>
        <w:pStyle w:val="3"/>
        <w:keepNext/>
        <w:keepLines/>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b w:val="0"/>
          <w:bCs/>
          <w:sz w:val="28"/>
          <w:szCs w:val="28"/>
          <w:lang w:val="en-US" w:eastAsia="zh-CN"/>
        </w:rPr>
      </w:pPr>
      <w:bookmarkStart w:id="246" w:name="_Toc26658"/>
      <w:bookmarkStart w:id="247" w:name="_Toc20373"/>
      <w:bookmarkStart w:id="248" w:name="_Toc27746"/>
      <w:bookmarkStart w:id="249" w:name="_Toc26436"/>
      <w:bookmarkStart w:id="250" w:name="_Toc7729"/>
      <w:r>
        <w:rPr>
          <w:rFonts w:hint="eastAsia" w:ascii="黑体" w:hAnsi="黑体" w:eastAsia="黑体" w:cs="黑体"/>
          <w:b w:val="0"/>
          <w:bCs/>
          <w:sz w:val="28"/>
          <w:szCs w:val="28"/>
          <w:lang w:val="en-US" w:eastAsia="zh-CN"/>
        </w:rPr>
        <w:t>5.</w:t>
      </w:r>
      <w:r>
        <w:rPr>
          <w:rFonts w:hint="eastAsia" w:ascii="黑体" w:hAnsi="黑体" w:cs="黑体"/>
          <w:b w:val="0"/>
          <w:bCs/>
          <w:sz w:val="28"/>
          <w:szCs w:val="28"/>
          <w:lang w:val="en-US" w:eastAsia="zh-CN"/>
        </w:rPr>
        <w:t xml:space="preserve">2 </w:t>
      </w:r>
      <w:r>
        <w:rPr>
          <w:rFonts w:hint="eastAsia" w:ascii="黑体" w:hAnsi="黑体" w:eastAsia="黑体" w:cs="黑体"/>
          <w:b w:val="0"/>
          <w:bCs/>
          <w:sz w:val="28"/>
          <w:szCs w:val="28"/>
          <w:lang w:val="en-US" w:eastAsia="zh-CN"/>
        </w:rPr>
        <w:t>结论</w:t>
      </w:r>
      <w:bookmarkEnd w:id="246"/>
      <w:bookmarkEnd w:id="247"/>
      <w:bookmarkEnd w:id="248"/>
      <w:bookmarkEnd w:id="249"/>
      <w:bookmarkEnd w:id="25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rPr>
        <w:t>本文通过实证分析得知2年期国债期货合约与5年期国债期货合约价格之间存在协整关系，在其存在协整关系的基本前提下，可知两期货价差具有一定的均值回复特性，统计套利策略的核心正是借鉴均值回归思想，认为价差在短时期可能会偏离均值，但长期会回复均值。在以往统计套利文献中大多数是基于残差恒定波动模型构建套利策略，而现实中，价差序列的方差不是固定的，因此，本文的研究重点是对两种期货价差序列进行分析，运用</w:t>
      </w:r>
      <w:r>
        <w:rPr>
          <w:rFonts w:asciiTheme="minorEastAsia" w:hAnsiTheme="minorEastAsia" w:cstheme="minorEastAsia"/>
          <w:sz w:val="24"/>
        </w:rPr>
        <w:t>AR-GARCH</w:t>
      </w:r>
      <w:r>
        <w:rPr>
          <w:rFonts w:hint="eastAsia" w:asciiTheme="minorEastAsia" w:hAnsiTheme="minorEastAsia" w:cstheme="minorEastAsia"/>
          <w:sz w:val="24"/>
        </w:rPr>
        <w:t>模型构建一套完整的国债期货跨品种套利策略，同时在设计入场点时运用非对称信号与以往文献中研究更多的对称信号进行对比，通过对比发现在样本内得到的最优阈值的基础上对阈值进行改进能获得更高的收益</w:t>
      </w:r>
      <w:r>
        <w:rPr>
          <w:rFonts w:hint="eastAsia" w:asciiTheme="minorEastAsia" w:hAnsi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 xml:space="preserve">本文对策略设计步骤具体包括建模、参数优化、统计样本内外套利结果、样本外回测，并且与改进前对称阈值的套利策略进行对比分析，从而评价策略的可行性和有效性。首先，对样本内的两种国债期货的价差序列进行分析，由于协整方程的残差序列是去中心化价差序列，故用协整方程的残差序列可以替代价差序列，通过对残差序列的自相关检验和自回归方程扰动项的异方差检验得知残差序列存在一定的自相关且扰动项存在异方差，因此，本文对去中心化价差序列建立了 </w:t>
      </w:r>
      <w:r>
        <w:rPr>
          <w:rFonts w:asciiTheme="minorEastAsia" w:hAnsiTheme="minorEastAsia" w:cstheme="minorEastAsia"/>
          <w:sz w:val="24"/>
        </w:rPr>
        <w:t>AR</w:t>
      </w:r>
      <w:r>
        <w:rPr>
          <w:rFonts w:hint="eastAsia" w:asciiTheme="minorEastAsia" w:hAnsiTheme="minorEastAsia" w:cstheme="minorEastAsia"/>
          <w:sz w:val="24"/>
        </w:rPr>
        <w:t>（3）-</w:t>
      </w:r>
      <w:r>
        <w:rPr>
          <w:rFonts w:asciiTheme="minorEastAsia" w:hAnsiTheme="minorEastAsia" w:cstheme="minorEastAsia"/>
          <w:sz w:val="24"/>
        </w:rPr>
        <w:t>GARCH</w:t>
      </w:r>
      <w:r>
        <w:rPr>
          <w:rFonts w:hint="eastAsia" w:asciiTheme="minorEastAsia" w:hAnsiTheme="minorEastAsia" w:cstheme="minorEastAsia"/>
          <w:sz w:val="24"/>
        </w:rPr>
        <w:t>（</w:t>
      </w:r>
      <w:r>
        <w:rPr>
          <w:rFonts w:asciiTheme="minorEastAsia" w:hAnsiTheme="minorEastAsia" w:cstheme="minorEastAsia"/>
          <w:sz w:val="24"/>
        </w:rPr>
        <w:t>1,1</w:t>
      </w:r>
      <w:r>
        <w:rPr>
          <w:rFonts w:hint="eastAsia" w:asciiTheme="minorEastAsia" w:hAnsiTheme="minorEastAsia" w:cstheme="minorEastAsia"/>
          <w:sz w:val="24"/>
        </w:rPr>
        <w:t>）模型；其次，将</w:t>
      </w:r>
      <w:r>
        <w:rPr>
          <w:rFonts w:asciiTheme="minorEastAsia" w:hAnsiTheme="minorEastAsia" w:cstheme="minorEastAsia"/>
          <w:sz w:val="24"/>
        </w:rPr>
        <w:t>AR-GARCH</w:t>
      </w:r>
      <w:r>
        <w:rPr>
          <w:rFonts w:hint="eastAsia" w:asciiTheme="minorEastAsia" w:hAnsiTheme="minorEastAsia" w:cstheme="minorEastAsia"/>
          <w:sz w:val="24"/>
        </w:rPr>
        <w:t>模型与套利策略相结合，构建跨品种套利策略,在样本内进行参数优化，选取在样本内累计收益以及夏普比率较好的参数组n=0.8,m=3，分析在该参数下样本内的策略回测表现，通过分析样本内策略的回测结果对策略进行非对称阈值的改进，改进后的参数组为n1=0.8,n2=1.3,m1=3.5，然后对改进前后的策略的样本内外套利经过进行比较，发现非对称阈值的策略不管在样本内外其收益相对更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sz w:val="24"/>
        </w:rPr>
      </w:pPr>
    </w:p>
    <w:p>
      <w:pPr>
        <w:pStyle w:val="2"/>
        <w:keepNext/>
        <w:keepLines/>
        <w:pageBreakBefore w:val="0"/>
        <w:widowControl w:val="0"/>
        <w:kinsoku/>
        <w:wordWrap/>
        <w:overflowPunct/>
        <w:topLinePunct w:val="0"/>
        <w:autoSpaceDE/>
        <w:autoSpaceDN/>
        <w:bidi w:val="0"/>
        <w:adjustRightInd/>
        <w:snapToGrid/>
        <w:spacing w:before="480" w:after="360" w:line="400" w:lineRule="exact"/>
        <w:jc w:val="center"/>
        <w:textAlignment w:val="auto"/>
        <w:rPr>
          <w:rFonts w:hint="eastAsia" w:ascii="黑体" w:hAnsi="黑体" w:eastAsia="黑体" w:cs="黑体"/>
          <w:b w:val="0"/>
          <w:bCs w:val="0"/>
          <w:sz w:val="32"/>
          <w:szCs w:val="32"/>
        </w:rPr>
      </w:pPr>
      <w:bookmarkStart w:id="251" w:name="_Toc12909"/>
      <w:bookmarkStart w:id="252" w:name="_Toc23909"/>
      <w:bookmarkStart w:id="253" w:name="_Toc23671"/>
      <w:bookmarkStart w:id="254" w:name="_Toc3464"/>
      <w:bookmarkStart w:id="255" w:name="_Toc1778"/>
      <w:r>
        <w:rPr>
          <w:rFonts w:hint="eastAsia" w:ascii="黑体" w:hAnsi="黑体" w:eastAsia="黑体" w:cs="黑体"/>
          <w:b w:val="0"/>
          <w:bCs w:val="0"/>
          <w:sz w:val="32"/>
          <w:szCs w:val="32"/>
        </w:rPr>
        <w:t>参考文献</w:t>
      </w:r>
      <w:bookmarkEnd w:id="251"/>
      <w:bookmarkEnd w:id="252"/>
      <w:bookmarkEnd w:id="253"/>
      <w:bookmarkEnd w:id="254"/>
      <w:bookmarkEnd w:id="255"/>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[1] Kenyon D，Clay J．Analysis of profit margin hedging strategies for hog producers［J］．Journal of Futures Markets，1987，7(2):183-202．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[2] Simon D P．The soybean crush spread:Empirical evi-dence and trading strategies ［J］．Journal of Futures Markets，1999，19(3):271-289</w:t>
      </w:r>
    </w:p>
    <w:p>
      <w:pPr>
        <w:keepNext w:val="0"/>
        <w:keepLines w:val="0"/>
        <w:pageBreakBefore w:val="0"/>
        <w:kinsoku/>
        <w:wordWrap/>
        <w:overflowPunct/>
        <w:topLinePunct w:val="0"/>
        <w:autoSpaceDE/>
        <w:autoSpaceDN/>
        <w:bidi w:val="0"/>
        <w:adjustRightInd/>
        <w:snapToGrid/>
        <w:spacing w:before="60" w:line="32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[3]LIU Q．Price Relations among Hog，Corn，and Soybean Meal Futures[J]．Journal of Futures Markets，2005，25(5)：491—514．</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[4] Ma C K and Soenen L A．Arbitrage opportunities in metal futures  markets［J］.Journal of Futures Markets，1988，8(2):199 －209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 xml:space="preserve">[5]Emery G.W. and  Lin Q.An analysis of the relationship of between electricity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 xml:space="preserve">and trading strategies[J]．Joumal of Future Markets，2002，22：95-122．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 xml:space="preserve">[6]Kanamura T，Rachev S T，Fabozzi F J． A profit modelfor spread trading with an application to energy futures［J］． The Journal of Trading，2010，5( 1) : 48 - 62．  </w:t>
      </w:r>
    </w:p>
    <w:p>
      <w:pPr>
        <w:keepNext w:val="0"/>
        <w:keepLines w:val="0"/>
        <w:pageBreakBefore w:val="0"/>
        <w:kinsoku/>
        <w:wordWrap/>
        <w:overflowPunct/>
        <w:topLinePunct w:val="0"/>
        <w:autoSpaceDE/>
        <w:autoSpaceDN/>
        <w:bidi w:val="0"/>
        <w:adjustRightInd/>
        <w:snapToGrid/>
        <w:spacing w:before="60" w:line="320" w:lineRule="exac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[7</w:t>
      </w:r>
      <w:r>
        <w:rPr>
          <w:rFonts w:hint="default" w:ascii="Times New Roman" w:hAnsi="Times New Roman" w:cs="Times New Roman"/>
          <w:sz w:val="21"/>
          <w:szCs w:val="21"/>
        </w:rPr>
        <w:t xml:space="preserve">]BollerslevT.Generalized autoregressive conditional heteroskedasticity[J]. Eeri Research Paper,1986,31(3):307–327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[8 Dunis C L，Laws J and Evans B． Modelling and trading the gasoline crack spread: A non－linear story［J］．DerivativesUse，Trading Regulation，2006a，12(1):126 －145 </w:t>
      </w:r>
    </w:p>
    <w:p>
      <w:pPr>
        <w:keepNext w:val="0"/>
        <w:keepLines w:val="0"/>
        <w:pageBreakBefore w:val="0"/>
        <w:kinsoku/>
        <w:wordWrap/>
        <w:overflowPunct/>
        <w:topLinePunct w:val="0"/>
        <w:autoSpaceDE/>
        <w:autoSpaceDN/>
        <w:bidi w:val="0"/>
        <w:adjustRightInd/>
        <w:snapToGrid/>
        <w:spacing w:before="60" w:line="32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[9]Tzang D N and Leuthold R M．Hedge Ratios Under Inherent Risk Reduction in a Commodity Complex[J]．Journal of Futures Markets，1990，10(5)：497—504．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[10] Darren Butterworth, Phil Holmes. Inter-market spread trading: evidence from UK index futures markets[J]. Applied Financial Economics, 2002, 12(11):783-790</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[11] Cummins M and Bucca A． Quantitative spread trading on crude oil and refined  products  markets ［J］． Quantitative Finance，2012，12(12):1857－1875 </w:t>
      </w:r>
    </w:p>
    <w:p>
      <w:pPr>
        <w:keepNext w:val="0"/>
        <w:keepLines w:val="0"/>
        <w:pageBreakBefore w:val="0"/>
        <w:kinsoku/>
        <w:wordWrap/>
        <w:overflowPunct/>
        <w:topLinePunct w:val="0"/>
        <w:autoSpaceDE/>
        <w:autoSpaceDN/>
        <w:bidi w:val="0"/>
        <w:adjustRightInd/>
        <w:snapToGrid/>
        <w:spacing w:before="60" w:line="32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[12]Christian L. Dunis,Jason Laws,Ben Evans. Trading futures spread portfolios: applications of higher order and recurrent networks[J]. The European Journal of Finance,2008,14(6).</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[13] Haigh M S, Holt M T. Crack spread hedging: accounting for time-varying volatility spillovers in the energy futures markets [J]. Journal of Applied Econometrics,2002, 17(3):269–289.</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[14] Brennan M J, Schwartz E S. Arbitrage in Stock Index Futures[J]. Journal of Business, 1990, 63(1):S7-31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[15] Darren Butterworth, Phil Holmes. Inter-market spread trading: evidence from UK index futures markets[J]. Applied Financial Economics, 2002, 12(11):783-790</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[16] </w:t>
      </w:r>
      <w:r>
        <w:rPr>
          <w:rFonts w:hint="default" w:ascii="Times New Roman" w:hAnsi="Times New Roman" w:cs="Times New Roman"/>
          <w:color w:val="222222"/>
          <w:kern w:val="0"/>
          <w:sz w:val="21"/>
          <w:szCs w:val="21"/>
        </w:rPr>
        <w:t>Alexander C, Dimitriu A. A comparison of cointegration and tracking error models for mutual funds and hedge funds[J]. ISMA Centre Discussion Papers in Finance, 2004, 4: 1-26</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222222"/>
          <w:kern w:val="0"/>
          <w:sz w:val="21"/>
          <w:szCs w:val="21"/>
        </w:rPr>
        <w:t xml:space="preserve">[17] Alexander C, Dimitriu A. Indexing and statistical arbitrage[J]. The Journal of Portfolio Management, 2005, 31(2): 50-63.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 xml:space="preserve">[18] </w:t>
      </w:r>
      <w:r>
        <w:rPr>
          <w:rFonts w:hint="default" w:ascii="Times New Roman" w:hAnsi="Times New Roman" w:cs="Times New Roman"/>
          <w:color w:val="222222"/>
          <w:kern w:val="0"/>
          <w:sz w:val="21"/>
          <w:szCs w:val="21"/>
        </w:rPr>
        <w:t xml:space="preserve">Jacobsen B. Demonstrating error-correction modelling for intraday statistical arbitrage[J]. Applied Financial Economics Letters, 2008, 4(4): 287-292.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222222"/>
          <w:kern w:val="0"/>
          <w:sz w:val="21"/>
          <w:szCs w:val="21"/>
        </w:rPr>
        <w:t>[19]Caldeira J, Moura G V. Selection of a portfolio of pairs based on cointegration: A statistical arbitrage strategy[J]. Available at SSRN 2196391, 2013.</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color w:val="000000"/>
          <w:kern w:val="0"/>
          <w:sz w:val="21"/>
          <w:szCs w:val="21"/>
        </w:rPr>
        <w:t>[20]</w:t>
      </w:r>
      <w:r>
        <w:rPr>
          <w:rFonts w:hint="default" w:ascii="Times New Roman" w:hAnsi="Times New Roman" w:cs="Times New Roman"/>
          <w:color w:val="222222"/>
          <w:kern w:val="0"/>
          <w:sz w:val="21"/>
          <w:szCs w:val="21"/>
        </w:rPr>
        <w:t xml:space="preserve">Miao J, Laws J. Profitability of a simple pairs trading strategy: recent evidences from a global context[J]. International Journal of Theoretical and Applied Finance, 2016, 19(04): 1650023. </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[21]Thomaidis N S. Efficient Statistical Analysis of Financial Time -Series Using Neural Networks and GARCH Model [C].Social Science Electronic Publishing, 2006.</w:t>
      </w:r>
    </w:p>
    <w:p>
      <w:pPr>
        <w:keepNext w:val="0"/>
        <w:keepLines w:val="0"/>
        <w:pageBreakBefore w:val="0"/>
        <w:kinsoku/>
        <w:wordWrap/>
        <w:overflowPunct/>
        <w:topLinePunct w:val="0"/>
        <w:autoSpaceDE/>
        <w:autoSpaceDN/>
        <w:bidi w:val="0"/>
        <w:adjustRightInd/>
        <w:snapToGrid/>
        <w:spacing w:before="60" w:line="32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[22]Russell Poskitt. An intraday test of pricing and arbitrage opportunities in the New Zealand bank bill futures market[J]. Journal of Futures Markets,2002,22(6).</w:t>
      </w:r>
    </w:p>
    <w:p>
      <w:pPr>
        <w:keepNext w:val="0"/>
        <w:keepLines w:val="0"/>
        <w:pageBreakBefore w:val="0"/>
        <w:widowControl/>
        <w:suppressLineNumbers w:val="0"/>
        <w:kinsoku/>
        <w:wordWrap/>
        <w:overflowPunct/>
        <w:topLinePunct w:val="0"/>
        <w:autoSpaceDE/>
        <w:autoSpaceDN/>
        <w:bidi w:val="0"/>
        <w:adjustRightInd/>
        <w:snapToGrid/>
        <w:spacing w:before="60" w:line="320" w:lineRule="exact"/>
        <w:jc w:val="left"/>
        <w:textAlignment w:val="auto"/>
        <w:rPr>
          <w:rFonts w:hint="default" w:ascii="Times New Roman" w:hAnsi="Times New Roman" w:cs="Times New Roman"/>
          <w:sz w:val="21"/>
          <w:szCs w:val="21"/>
        </w:rPr>
      </w:pPr>
      <w:r>
        <w:rPr>
          <w:rFonts w:hint="default" w:ascii="Times New Roman" w:hAnsi="Times New Roman" w:cs="Times New Roman"/>
          <w:sz w:val="21"/>
          <w:szCs w:val="21"/>
        </w:rPr>
        <w:t>[23]</w:t>
      </w:r>
      <w:r>
        <w:rPr>
          <w:rFonts w:hint="default" w:ascii="Times New Roman" w:hAnsi="Times New Roman" w:eastAsia="TimesNewRomanPSMT" w:cs="Times New Roman"/>
          <w:color w:val="222222"/>
          <w:kern w:val="0"/>
          <w:sz w:val="21"/>
          <w:szCs w:val="21"/>
          <w:lang w:val="en-US" w:eastAsia="zh-CN" w:bidi="ar"/>
        </w:rPr>
        <w:t>Vidyamurthy G. Pairs Trading: quantitative methods and analysis[M]. John Wiley &amp; Sons, 2004.</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4</w:t>
      </w:r>
      <w:r>
        <w:rPr>
          <w:rFonts w:hint="eastAsia" w:ascii="宋体" w:hAnsi="宋体" w:eastAsia="宋体" w:cs="宋体"/>
          <w:sz w:val="21"/>
          <w:szCs w:val="21"/>
        </w:rPr>
        <w:t xml:space="preserve">]贾瑞斌. 基于协整的甲醇与聚丙烯跨品种套利方案设计[D].对外经济贸易大学,2017.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]靳朝翔,梁仁方,刘建和.基于神经网络模型的商品期货跨品种套利策略——以焦炭、铁矿石和螺纹钢为例[J].云南财经大学学报,2016,32(04):150-160.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6</w:t>
      </w:r>
      <w:r>
        <w:rPr>
          <w:rFonts w:hint="eastAsia" w:ascii="宋体" w:hAnsi="宋体" w:eastAsia="宋体" w:cs="宋体"/>
          <w:sz w:val="21"/>
          <w:szCs w:val="21"/>
        </w:rPr>
        <w:t>]周亮.基于GARCH模型的商品期现套利研究[J].吉林工商学院学报,2017,33(06):78-84.</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7</w:t>
      </w:r>
      <w:r>
        <w:rPr>
          <w:rFonts w:hint="eastAsia" w:ascii="宋体" w:hAnsi="宋体" w:eastAsia="宋体" w:cs="宋体"/>
          <w:sz w:val="21"/>
          <w:szCs w:val="21"/>
        </w:rPr>
        <w:t>]刘文文. 国债期货跨品种套利策略研究[D].山西财经大学,2019.</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8</w:t>
      </w:r>
      <w:r>
        <w:rPr>
          <w:rFonts w:hint="eastAsia" w:ascii="宋体" w:hAnsi="宋体" w:eastAsia="宋体" w:cs="宋体"/>
          <w:sz w:val="21"/>
          <w:szCs w:val="21"/>
        </w:rPr>
        <w:t>]杨艳军,陈思岑.基于高频数据的我国国债期货市场套利研究[J].财务与金融,2018(02):1-6.</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9</w:t>
      </w:r>
      <w:r>
        <w:rPr>
          <w:rFonts w:hint="eastAsia" w:ascii="宋体" w:hAnsi="宋体" w:eastAsia="宋体" w:cs="宋体"/>
          <w:sz w:val="21"/>
          <w:szCs w:val="21"/>
        </w:rPr>
        <w:t>]何树红,张月秋,张文.基于GARCH模型的股指期货协整跨期套利实证研究[J].数学的实践与认识,2013,43(20):274-279</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30</w:t>
      </w:r>
      <w:r>
        <w:rPr>
          <w:rFonts w:hint="eastAsia" w:ascii="宋体" w:hAnsi="宋体" w:eastAsia="宋体" w:cs="宋体"/>
          <w:sz w:val="21"/>
          <w:szCs w:val="21"/>
        </w:rPr>
        <w:t>]邢知,郝继升.基于协整-GARCH模型的统计套利策略最优阈值改进研究[J].延安大学学报(自然科学版),2018,37(03):41-45.</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1</w:t>
      </w:r>
      <w:r>
        <w:rPr>
          <w:rFonts w:hint="eastAsia" w:ascii="宋体" w:hAnsi="宋体" w:eastAsia="宋体" w:cs="宋体"/>
          <w:sz w:val="21"/>
          <w:szCs w:val="21"/>
        </w:rPr>
        <w:t>]苗宇,朱家明.基于GARCH对沪深300股指期货套利策略的实证分析[J].北京印刷学院学报,2019,27(05):77-80.</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]邹战勇,陈红纯,李星.国际大宗农产品期货波动非对称性实证研究[J].韶关学院学报,2019,40(01):88-93.</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w:t>
      </w:r>
      <w:r>
        <w:rPr>
          <w:rFonts w:hint="eastAsia" w:ascii="宋体" w:hAnsi="宋体" w:eastAsia="宋体" w:cs="宋体"/>
          <w:color w:val="000000"/>
          <w:kern w:val="0"/>
          <w:sz w:val="21"/>
          <w:szCs w:val="21"/>
          <w:lang w:val="en-US" w:eastAsia="zh-CN"/>
        </w:rPr>
        <w:t>3</w:t>
      </w:r>
      <w:r>
        <w:rPr>
          <w:rFonts w:hint="eastAsia" w:ascii="宋体" w:hAnsi="宋体" w:eastAsia="宋体" w:cs="宋体"/>
          <w:color w:val="000000"/>
          <w:kern w:val="0"/>
          <w:sz w:val="21"/>
          <w:szCs w:val="21"/>
        </w:rPr>
        <w:t>]覃良文,唐国强,林静.基于协整-GARCH 模型最优阈值统计套利研究[J].桂林理工大学学报, 2016, 36(03):625-631.</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w:t>
      </w:r>
      <w:r>
        <w:rPr>
          <w:rFonts w:hint="eastAsia" w:ascii="宋体" w:hAnsi="宋体" w:eastAsia="宋体" w:cs="宋体"/>
          <w:color w:val="000000"/>
          <w:kern w:val="0"/>
          <w:sz w:val="21"/>
          <w:szCs w:val="21"/>
          <w:lang w:val="en-US" w:eastAsia="zh-CN"/>
        </w:rPr>
        <w:t>4</w:t>
      </w:r>
      <w:r>
        <w:rPr>
          <w:rFonts w:hint="eastAsia" w:ascii="宋体" w:hAnsi="宋体" w:eastAsia="宋体" w:cs="宋体"/>
          <w:color w:val="000000"/>
          <w:kern w:val="0"/>
          <w:sz w:val="21"/>
          <w:szCs w:val="21"/>
        </w:rPr>
        <w:t>]胡宇璇.</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"https://kns.cnki.net/kcms/detail/detail.aspx?filename=YNJR201623198&amp;dbcode=CJFQ&amp;dbname=CJFD2016&amp;v=" \t "https://kns.cnki.net/kcms/detail/frame/kcmstarget" </w:instrText>
      </w:r>
      <w:r>
        <w:rPr>
          <w:rFonts w:hint="eastAsia" w:ascii="宋体" w:hAnsi="宋体" w:eastAsia="宋体" w:cs="宋体"/>
          <w:sz w:val="21"/>
          <w:szCs w:val="21"/>
        </w:rPr>
        <w:fldChar w:fldCharType="separate"/>
      </w:r>
      <w:r>
        <w:rPr>
          <w:rFonts w:hint="eastAsia" w:ascii="宋体" w:hAnsi="宋体" w:eastAsia="宋体" w:cs="宋体"/>
          <w:color w:val="000000"/>
          <w:kern w:val="0"/>
          <w:sz w:val="21"/>
          <w:szCs w:val="21"/>
        </w:rPr>
        <w:t>商品期货跨品种套利策略的实证研究——以棕榈油期货和豆油期货为例</w:t>
      </w:r>
      <w:r>
        <w:rPr>
          <w:rFonts w:hint="eastAsia" w:ascii="宋体" w:hAnsi="宋体" w:eastAsia="宋体" w:cs="宋体"/>
          <w:color w:val="000000"/>
          <w:kern w:val="0"/>
          <w:sz w:val="21"/>
          <w:szCs w:val="21"/>
        </w:rPr>
        <w:fldChar w:fldCharType="end"/>
      </w:r>
      <w:r>
        <w:rPr>
          <w:rFonts w:hint="eastAsia" w:ascii="宋体" w:hAnsi="宋体" w:eastAsia="宋体" w:cs="宋体"/>
          <w:color w:val="000000"/>
          <w:kern w:val="0"/>
          <w:sz w:val="21"/>
          <w:szCs w:val="21"/>
        </w:rPr>
        <w:t xml:space="preserve">[J]. 时代金融. 2016(23)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[35]刘建和,梁仁方,王玉斌,吴伟.大豆期货合约均值回归套利策略和Elman神经网络套利策略对比研究[J].湖南财政经济学院学报,2016,32(03):13-20.</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[36]杨威. 中国国债期货跨品种套利量化策略设计[D].华中科技大学大学,2017.</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[37]丁秀玲,华仁海.大连商品交易所大豆与豆粕期货价格之间的套利研究[J].统计研究,2007(02):55-59.</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[38]李世伟.基于协整理论的沪深300股指期货跨期套利研究[J].中国计量学院学报,2011,22(02):198-202.</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[39]朱丽蓉,苏辛,周勇.基于我国期货市场的统计套利研究[J].数理统计与管理,2015,34(04):730-740.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[40]张威波,胡艳英.基于高频数据的豆类期货套利实证研究[J].时代金融,2018(06):155-156+158.</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[41]方军,李星野.基于协整理论的DFT-GARCH模型的统计套利研究[J].经济数学,2019,36(02):57-62.</w:t>
      </w:r>
    </w:p>
    <w:p>
      <w:pPr>
        <w:keepNext w:val="0"/>
        <w:keepLines w:val="0"/>
        <w:pageBreakBefore w:val="0"/>
        <w:widowControl/>
        <w:kinsoku/>
        <w:wordWrap/>
        <w:overflowPunct/>
        <w:topLinePunct w:val="0"/>
        <w:autoSpaceDE/>
        <w:autoSpaceDN/>
        <w:bidi w:val="0"/>
        <w:adjustRightInd/>
        <w:snapToGrid/>
        <w:spacing w:before="60" w:line="320" w:lineRule="exact"/>
        <w:jc w:val="left"/>
        <w:textAlignment w:val="auto"/>
        <w:rPr>
          <w:rFonts w:hint="eastAsia" w:ascii="宋体" w:hAnsi="宋体" w:eastAsia="宋体" w:cs="宋体"/>
          <w:color w:val="000000"/>
          <w:kern w:val="0"/>
          <w:sz w:val="21"/>
          <w:szCs w:val="21"/>
        </w:rPr>
      </w:pPr>
      <w:r>
        <w:rPr>
          <w:rFonts w:hint="eastAsia" w:ascii="宋体" w:hAnsi="宋体" w:eastAsia="宋体" w:cs="宋体"/>
          <w:sz w:val="21"/>
          <w:szCs w:val="21"/>
        </w:rPr>
        <w:t>[42]张玉希.</w:t>
      </w:r>
      <w:r>
        <w:rPr>
          <w:rFonts w:hint="eastAsia" w:ascii="宋体" w:hAnsi="宋体" w:eastAsia="宋体" w:cs="宋体"/>
          <w:color w:val="000000"/>
          <w:kern w:val="0"/>
          <w:sz w:val="21"/>
          <w:szCs w:val="21"/>
        </w:rPr>
        <w:t xml:space="preserve">高频数据下的沪深 300 股指期货量化交易策略设计[D].上海师范大学, 2018.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[43]李洋, 郑志勇.量化投资 : 以MATLAB为工具[M].电子工业出版社,2015.</w:t>
      </w:r>
    </w:p>
    <w:p>
      <w:pPr>
        <w:keepNext w:val="0"/>
        <w:keepLines w:val="0"/>
        <w:pageBreakBefore w:val="0"/>
        <w:widowControl/>
        <w:suppressLineNumbers w:val="0"/>
        <w:kinsoku/>
        <w:wordWrap/>
        <w:overflowPunct/>
        <w:topLinePunct w:val="0"/>
        <w:autoSpaceDE/>
        <w:autoSpaceDN/>
        <w:bidi w:val="0"/>
        <w:adjustRightInd/>
        <w:snapToGrid/>
        <w:spacing w:before="60" w:line="320" w:lineRule="exact"/>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rPr>
        <w:t>[</w:t>
      </w:r>
      <w:r>
        <w:rPr>
          <w:rFonts w:hint="eastAsia" w:ascii="宋体" w:hAnsi="宋体" w:eastAsia="宋体" w:cs="宋体"/>
          <w:sz w:val="21"/>
          <w:szCs w:val="21"/>
          <w:lang w:val="en-US" w:eastAsia="zh-CN"/>
        </w:rPr>
        <w:t>44</w:t>
      </w:r>
      <w:r>
        <w:rPr>
          <w:rFonts w:hint="eastAsia" w:ascii="宋体" w:hAnsi="宋体" w:eastAsia="宋体" w:cs="宋体"/>
          <w:sz w:val="21"/>
          <w:szCs w:val="21"/>
        </w:rPr>
        <w:t>]</w:t>
      </w:r>
      <w:r>
        <w:rPr>
          <w:rFonts w:hint="eastAsia" w:ascii="宋体" w:hAnsi="宋体" w:eastAsia="宋体" w:cs="宋体"/>
          <w:color w:val="000000"/>
          <w:kern w:val="0"/>
          <w:sz w:val="21"/>
          <w:szCs w:val="21"/>
          <w:lang w:val="en-US" w:eastAsia="zh-CN" w:bidi="ar"/>
        </w:rPr>
        <w:t xml:space="preserve">张河生,闻岳春.基于参数调整的协整配对交易策略:理论模型及应用[J].西部金融, 2013(01):11-16. </w:t>
      </w:r>
    </w:p>
    <w:p>
      <w:pPr>
        <w:keepNext w:val="0"/>
        <w:keepLines w:val="0"/>
        <w:pageBreakBefore w:val="0"/>
        <w:kinsoku/>
        <w:wordWrap/>
        <w:overflowPunct/>
        <w:topLinePunct w:val="0"/>
        <w:autoSpaceDE/>
        <w:autoSpaceDN/>
        <w:bidi w:val="0"/>
        <w:adjustRightInd/>
        <w:snapToGrid/>
        <w:spacing w:before="60" w:line="320" w:lineRule="exact"/>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45</w:t>
      </w:r>
      <w:r>
        <w:rPr>
          <w:rFonts w:hint="eastAsia" w:ascii="宋体" w:hAnsi="宋体" w:eastAsia="宋体" w:cs="宋体"/>
          <w:sz w:val="21"/>
          <w:szCs w:val="21"/>
        </w:rPr>
        <w:t>]唐瑞波. 基于遗传算法优化Elman神经网络的黑色金属期货跨品种套利策略[D].华中科技大学,2019.</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widowControl/>
        <w:jc w:val="left"/>
        <w:rPr>
          <w:rFonts w:ascii="TimesNewRomanPSMT" w:hAnsi="TimesNewRomanPSMT" w:eastAsia="TimesNewRomanPSMT" w:cs="TimesNewRomanPSMT"/>
          <w:color w:val="000000"/>
          <w:kern w:val="0"/>
          <w:sz w:val="24"/>
        </w:rPr>
      </w:pP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posOffset>2566670</wp:posOffset>
              </wp:positionH>
              <wp:positionV relativeFrom="paragraph">
                <wp:posOffset>9525</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6</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1pt;margin-top:0.75pt;height:144pt;width:144pt;mso-position-horizontal-relative:margin;mso-wrap-style:none;z-index:251660288;mso-width-relative:page;mso-height-relative:page;" filled="f" stroked="f" coordsize="21600,21600" o:gfxdata="UEsDBAoAAAAAAIdO4kAAAAAAAAAAAAAAAAAEAAAAZHJzL1BLAwQUAAAACACHTuJAegeFGNYAAAAJ&#10;AQAADwAAAGRycy9kb3ducmV2LnhtbE2Py07DMBBF90j8gzVI7KjdkFZtGqcSFWGJRMOCpRsPSYof&#10;ke2m4e8ZVrC8Old3zpT72Ro2YYiDdxKWCwEMXev14DoJ7039sAEWk3JaGe9QwjdG2Fe3N6UqtL+6&#10;N5yOqWM04mKhJPQpjQXnse3RqrjwIzpinz5YlSiGjuugrjRuDc+EWHOrBkcXejXiocf263ixEg51&#10;04QJYzAf+FI/nl+fcnyepby/W4odsIRz+ivDrz6pQ0VOJ39xOjIjIRd5RlUCK2DE19uM8klCttmu&#10;gFcl//9B9QNQSwMEFAAAAAgAh07iQEXAyHIUAgAAFQQAAA4AAABkcnMvZTJvRG9jLnhtbK1Ty47T&#10;MBTdI/EPlvc0adGMqqrpqMyoCKliRiqItes4TSS/ZLtNygfAH7Biw57v6nfMsdN00AwrxMa+vu97&#10;7vH8plOSHITzjdEFHY9ySoTmpmz0rqCfP63eTCnxgemSSaNFQY/C05vF61fz1s7ExNRGlsIRJNF+&#10;1tqC1iHYWZZ5XgvF/MhYoWGsjFMs4Ol2WelYi+xKZpM8v85a40rrDBfeQ3vXG+ki5a8qwcN9VXkR&#10;iCwoegvpdOncxjNbzNls55itG35ug/1DF4o1GkUvqe5YYGTvmhepVMOd8aYKI25UZqqq4SLNgGnG&#10;+bNpNjWzIs0CcLy9wOT/X1r+8fDgSFNid1eUaKawo9OP76efv0+/vhHoAFBr/Qx+GwvP0L0zHZwH&#10;vYcyzt1VTsUbExHYAfXxAq/oAuExaDqZTnOYOGzDA/mzp3DrfHgvjCJRKKjD/hKs7LD2oXcdXGI1&#10;bVaNlGmHUpO2oNdvr/IUcLEgudSoEYfom41S6LbdebKtKY8YzJmeG97yVYPia+bDA3MgAxoGwcM9&#10;jkoaFDFniZLauK9/00d/7AhWSlqQq6Aa7KdEftDYXeThILhB2A6C3qtbA7aO8XEsTyICXJCDWDmj&#10;voD1y1gDJqY5KhU0DOJt6AmOX8PFcpmc9tY1u7oPAPMsC2u9sTyWiUB6u9wHgJkwjgD1qJxxA/fS&#10;ls7/JJL7z3fyevrNi0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6B4UY1gAAAAkBAAAPAAAAAAAA&#10;AAEAIAAAACIAAABkcnMvZG93bnJldi54bWxQSwECFAAUAAAACACHTuJARcDIchQCAAAVBAAADgAA&#10;AAAAAAABACAAAAAlAQAAZHJzL2Uyb0RvYy54bWxQSwUGAAAAAAYABgBZAQAAqw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6</w:t>
                    </w:r>
                    <w:r>
                      <w:rPr>
                        <w:rFonts w:hint="default" w:ascii="Times New Roman" w:hAnsi="Times New Roman" w:cs="Times New Roman"/>
                        <w:sz w:val="21"/>
                        <w:szCs w:val="21"/>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6</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center;mso-position-horizontal-relative:margin;mso-wrap-style:none;z-index:251663360;mso-width-relative:page;mso-height-relative:page;" filled="f" stroked="f" coordsize="21600,21600" o:gfxdata="UEsDBAoAAAAAAIdO4kAAAAAAAAAAAAAAAAAEAAAAZHJzL1BLAwQUAAAACACHTuJAF9imLNMAAAAG&#10;AQAADwAAAGRycy9kb3ducmV2LnhtbE2PQU/DMAyF70j8h8hI3Fi6saFSmk5iojsisXLgmDWmLSRO&#10;lWRd+fd4J7j5+VnP3yu3s7NiwhAHTwqWiwwEUuvNQJ2C96a+y0HEpMlo6wkV/GCEbXV9VerC+DO9&#10;4XRIneAQioVW0Kc0FlLGtken48KPSOx9+uB0Yhk6aYI+c7izcpVlD9LpgfhDr0fc9dh+H05Owa5u&#10;mjBhDPYD9/X91+vzGl9mpW5vltkTiIRz+juGCz6jQ8VMR38iE4VVwEUSbzcg2FzlOevjZXjcgKxK&#10;+R+/+gVQSwMEFAAAAAgAh07iQICWlnYUAgAAFQQAAA4AAABkcnMvZTJvRG9jLnhtbK1Ty47TMBTd&#10;I/EPlvc0aRFDVTUdlRkVIVXMSAWxdh2nieSXbLdJ+QD4A1Zs2M939Ts4dprOaGCF2NjX933PPZ5f&#10;d0qSg3C+Mbqg41FOidDclI3eFfTzp9WrKSU+MF0yabQo6FF4er14+WLe2pmYmNrIUjiCJNrPWlvQ&#10;OgQ7yzLPa6GYHxkrNIyVcYoFPN0uKx1rkV3JbJLnV1lrXGmd4cJ7aG97I12k/FUleLirKi8CkQVF&#10;byGdLp3beGaLOZvtHLN1w89tsH/oQrFGo+gl1S0LjOxd80cq1XBnvKnCiBuVmapquEgzYJpx/mya&#10;Tc2sSLMAHG8vMPn/l5Z/PNw70pTY3VtKNFPY0enH99PPh9OvbwQ6ANRaP4PfxsIzdO9MB+dB76GM&#10;c3eVU/HGRAR2QH28wCu6QHgMmk6m0xwmDtvwQP7sMdw6H94Lo0gUCuqwvwQrO6x96F0Hl1hNm1Uj&#10;Zdqh1KQt6NXrN3kKuFiQXGrUiEP0zUYpdNvuPNnWlEcM5kzPDW/5qkHxNfPhnjmQAQ2D4OEORyUN&#10;ipizRElt3Ne/6aM/dgQrJS3IVVAN9lMiP2jsLvJwENwgbAdB79WNAVvH+DiWJxEBLshBrJxRX8D6&#10;ZawBE9MclQoaBvEm9ATHr+FiuUxOe+uaXd0HgHmWhbXeWB7LRCC9Xe4DwEwYR4B6VM64gXtpS+d/&#10;Esn99J28Hn/z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X2KYs0wAAAAYBAAAPAAAAAAAAAAEA&#10;IAAAACIAAABkcnMvZG93bnJldi54bWxQSwECFAAUAAAACACHTuJAgJaWdhQCAAAVBAAADgAAAAAA&#10;AAABACAAAAAiAQAAZHJzL2Uyb0RvYy54bWxQSwUGAAAAAAYABgBZAQAAqA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6</w:t>
                    </w:r>
                    <w:r>
                      <w:rPr>
                        <w:rFonts w:hint="default" w:ascii="Times New Roman" w:hAnsi="Times New Roman" w:cs="Times New Roman"/>
                        <w:sz w:val="21"/>
                        <w:szCs w:val="21"/>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016"/>
    <w:rsid w:val="00034B54"/>
    <w:rsid w:val="00042BB8"/>
    <w:rsid w:val="00046F17"/>
    <w:rsid w:val="00074730"/>
    <w:rsid w:val="00096371"/>
    <w:rsid w:val="000978F1"/>
    <w:rsid w:val="000A1A2A"/>
    <w:rsid w:val="000A4694"/>
    <w:rsid w:val="000A51E8"/>
    <w:rsid w:val="000C18E7"/>
    <w:rsid w:val="000D7506"/>
    <w:rsid w:val="000D77FA"/>
    <w:rsid w:val="000F795D"/>
    <w:rsid w:val="0010745E"/>
    <w:rsid w:val="00112503"/>
    <w:rsid w:val="00136A65"/>
    <w:rsid w:val="001443C6"/>
    <w:rsid w:val="00145ED8"/>
    <w:rsid w:val="00147641"/>
    <w:rsid w:val="00172A27"/>
    <w:rsid w:val="00175341"/>
    <w:rsid w:val="00192A5D"/>
    <w:rsid w:val="001A5023"/>
    <w:rsid w:val="001C311A"/>
    <w:rsid w:val="001D62A5"/>
    <w:rsid w:val="0020652A"/>
    <w:rsid w:val="0021314F"/>
    <w:rsid w:val="00216F6E"/>
    <w:rsid w:val="00226735"/>
    <w:rsid w:val="00232753"/>
    <w:rsid w:val="0025393D"/>
    <w:rsid w:val="00281E4C"/>
    <w:rsid w:val="002D3FD2"/>
    <w:rsid w:val="002D58A6"/>
    <w:rsid w:val="002E1BC6"/>
    <w:rsid w:val="002F0CD7"/>
    <w:rsid w:val="003060B4"/>
    <w:rsid w:val="00346D48"/>
    <w:rsid w:val="00347426"/>
    <w:rsid w:val="00357E1C"/>
    <w:rsid w:val="003625CD"/>
    <w:rsid w:val="00376875"/>
    <w:rsid w:val="003941B8"/>
    <w:rsid w:val="003A61AF"/>
    <w:rsid w:val="003B4EAA"/>
    <w:rsid w:val="003B763D"/>
    <w:rsid w:val="003D73C4"/>
    <w:rsid w:val="00444485"/>
    <w:rsid w:val="00446B13"/>
    <w:rsid w:val="004528E8"/>
    <w:rsid w:val="004542D7"/>
    <w:rsid w:val="004760A1"/>
    <w:rsid w:val="004918CA"/>
    <w:rsid w:val="004935A0"/>
    <w:rsid w:val="004A194E"/>
    <w:rsid w:val="004A20DB"/>
    <w:rsid w:val="004D0E20"/>
    <w:rsid w:val="004D2E55"/>
    <w:rsid w:val="004D3A29"/>
    <w:rsid w:val="004D6CE6"/>
    <w:rsid w:val="004E679B"/>
    <w:rsid w:val="004F7ACB"/>
    <w:rsid w:val="00502D5E"/>
    <w:rsid w:val="0051160E"/>
    <w:rsid w:val="00512C6B"/>
    <w:rsid w:val="0051575E"/>
    <w:rsid w:val="00516B43"/>
    <w:rsid w:val="00533184"/>
    <w:rsid w:val="00535417"/>
    <w:rsid w:val="00537456"/>
    <w:rsid w:val="0058332C"/>
    <w:rsid w:val="005937A9"/>
    <w:rsid w:val="005E0E84"/>
    <w:rsid w:val="005E34BB"/>
    <w:rsid w:val="00616209"/>
    <w:rsid w:val="00624932"/>
    <w:rsid w:val="006342E6"/>
    <w:rsid w:val="0064389E"/>
    <w:rsid w:val="00643909"/>
    <w:rsid w:val="00650150"/>
    <w:rsid w:val="00653B04"/>
    <w:rsid w:val="00655EC3"/>
    <w:rsid w:val="00675A16"/>
    <w:rsid w:val="006A27C9"/>
    <w:rsid w:val="006A2B42"/>
    <w:rsid w:val="006B4F0E"/>
    <w:rsid w:val="006C0A56"/>
    <w:rsid w:val="006C2EAA"/>
    <w:rsid w:val="00704343"/>
    <w:rsid w:val="00704962"/>
    <w:rsid w:val="00716A91"/>
    <w:rsid w:val="00730C84"/>
    <w:rsid w:val="007472DC"/>
    <w:rsid w:val="00782B19"/>
    <w:rsid w:val="007A78C5"/>
    <w:rsid w:val="007B33B5"/>
    <w:rsid w:val="007C0321"/>
    <w:rsid w:val="007C6D52"/>
    <w:rsid w:val="007C7D6E"/>
    <w:rsid w:val="00800661"/>
    <w:rsid w:val="00822C9A"/>
    <w:rsid w:val="008338E9"/>
    <w:rsid w:val="008350D9"/>
    <w:rsid w:val="0083726E"/>
    <w:rsid w:val="00846D67"/>
    <w:rsid w:val="00851DC8"/>
    <w:rsid w:val="00861EC2"/>
    <w:rsid w:val="00880C86"/>
    <w:rsid w:val="008865D1"/>
    <w:rsid w:val="00886803"/>
    <w:rsid w:val="00893DA6"/>
    <w:rsid w:val="008B49A0"/>
    <w:rsid w:val="008B4DD0"/>
    <w:rsid w:val="008E62AF"/>
    <w:rsid w:val="008F750D"/>
    <w:rsid w:val="0090109C"/>
    <w:rsid w:val="009061A7"/>
    <w:rsid w:val="00921D5D"/>
    <w:rsid w:val="00925108"/>
    <w:rsid w:val="00940438"/>
    <w:rsid w:val="009C2DF2"/>
    <w:rsid w:val="009D7F30"/>
    <w:rsid w:val="009F1760"/>
    <w:rsid w:val="009F5E61"/>
    <w:rsid w:val="00A026B4"/>
    <w:rsid w:val="00A15437"/>
    <w:rsid w:val="00A245D2"/>
    <w:rsid w:val="00A520E8"/>
    <w:rsid w:val="00A52FF8"/>
    <w:rsid w:val="00A6795B"/>
    <w:rsid w:val="00A85F5E"/>
    <w:rsid w:val="00A92A2C"/>
    <w:rsid w:val="00A97849"/>
    <w:rsid w:val="00A97DBC"/>
    <w:rsid w:val="00AA095C"/>
    <w:rsid w:val="00AE0D33"/>
    <w:rsid w:val="00AE1648"/>
    <w:rsid w:val="00AF146C"/>
    <w:rsid w:val="00B002A8"/>
    <w:rsid w:val="00B03B88"/>
    <w:rsid w:val="00B05501"/>
    <w:rsid w:val="00B12966"/>
    <w:rsid w:val="00B2552E"/>
    <w:rsid w:val="00B91C3B"/>
    <w:rsid w:val="00B934F7"/>
    <w:rsid w:val="00B93B21"/>
    <w:rsid w:val="00BA77F8"/>
    <w:rsid w:val="00BB174E"/>
    <w:rsid w:val="00BC2AB6"/>
    <w:rsid w:val="00BC4E3D"/>
    <w:rsid w:val="00C0225F"/>
    <w:rsid w:val="00C25BF3"/>
    <w:rsid w:val="00C34FB4"/>
    <w:rsid w:val="00C67836"/>
    <w:rsid w:val="00C7162A"/>
    <w:rsid w:val="00CC177B"/>
    <w:rsid w:val="00CD24AD"/>
    <w:rsid w:val="00CF193D"/>
    <w:rsid w:val="00CF7326"/>
    <w:rsid w:val="00D05A15"/>
    <w:rsid w:val="00D1789B"/>
    <w:rsid w:val="00D30AFE"/>
    <w:rsid w:val="00D33C1B"/>
    <w:rsid w:val="00D43FAC"/>
    <w:rsid w:val="00D46C8F"/>
    <w:rsid w:val="00D50084"/>
    <w:rsid w:val="00D5538D"/>
    <w:rsid w:val="00D57770"/>
    <w:rsid w:val="00D73E9B"/>
    <w:rsid w:val="00D847B3"/>
    <w:rsid w:val="00DB0760"/>
    <w:rsid w:val="00DC73A5"/>
    <w:rsid w:val="00DE6B51"/>
    <w:rsid w:val="00DF0C99"/>
    <w:rsid w:val="00DF6A24"/>
    <w:rsid w:val="00E24206"/>
    <w:rsid w:val="00E30F6E"/>
    <w:rsid w:val="00E31959"/>
    <w:rsid w:val="00E50F51"/>
    <w:rsid w:val="00E51276"/>
    <w:rsid w:val="00E75209"/>
    <w:rsid w:val="00E85910"/>
    <w:rsid w:val="00EA2283"/>
    <w:rsid w:val="00EC6A0C"/>
    <w:rsid w:val="00EE2AA3"/>
    <w:rsid w:val="00EE6719"/>
    <w:rsid w:val="00F5249C"/>
    <w:rsid w:val="00F624F3"/>
    <w:rsid w:val="00F63B81"/>
    <w:rsid w:val="00F67E19"/>
    <w:rsid w:val="00F850F6"/>
    <w:rsid w:val="00FA1E5F"/>
    <w:rsid w:val="00FA3F4F"/>
    <w:rsid w:val="00FA63F1"/>
    <w:rsid w:val="00FB580D"/>
    <w:rsid w:val="00FC6B0A"/>
    <w:rsid w:val="00FE7C45"/>
    <w:rsid w:val="00FF0EAB"/>
    <w:rsid w:val="01005349"/>
    <w:rsid w:val="01047756"/>
    <w:rsid w:val="01055E9C"/>
    <w:rsid w:val="010667BE"/>
    <w:rsid w:val="01080C74"/>
    <w:rsid w:val="010D6312"/>
    <w:rsid w:val="011476B6"/>
    <w:rsid w:val="01164CCB"/>
    <w:rsid w:val="01167DB5"/>
    <w:rsid w:val="011717C6"/>
    <w:rsid w:val="01176A55"/>
    <w:rsid w:val="012076F1"/>
    <w:rsid w:val="01211C74"/>
    <w:rsid w:val="01251B2E"/>
    <w:rsid w:val="012578C6"/>
    <w:rsid w:val="01281549"/>
    <w:rsid w:val="01293258"/>
    <w:rsid w:val="01297EF3"/>
    <w:rsid w:val="012A7AE0"/>
    <w:rsid w:val="012D76FD"/>
    <w:rsid w:val="01307D9D"/>
    <w:rsid w:val="01315D71"/>
    <w:rsid w:val="01324392"/>
    <w:rsid w:val="01326A9A"/>
    <w:rsid w:val="01333B93"/>
    <w:rsid w:val="01342CAA"/>
    <w:rsid w:val="013623EE"/>
    <w:rsid w:val="013C39AC"/>
    <w:rsid w:val="013C7DCC"/>
    <w:rsid w:val="013F550F"/>
    <w:rsid w:val="014247FB"/>
    <w:rsid w:val="014850F2"/>
    <w:rsid w:val="014B4609"/>
    <w:rsid w:val="014D0871"/>
    <w:rsid w:val="014D34C1"/>
    <w:rsid w:val="014E2242"/>
    <w:rsid w:val="014F6911"/>
    <w:rsid w:val="0152446E"/>
    <w:rsid w:val="01532DF3"/>
    <w:rsid w:val="0155382E"/>
    <w:rsid w:val="01557F97"/>
    <w:rsid w:val="01573079"/>
    <w:rsid w:val="01573B8F"/>
    <w:rsid w:val="015B13A0"/>
    <w:rsid w:val="015C5D0D"/>
    <w:rsid w:val="01607E59"/>
    <w:rsid w:val="01642D62"/>
    <w:rsid w:val="01643FF5"/>
    <w:rsid w:val="01661D17"/>
    <w:rsid w:val="016A5DDA"/>
    <w:rsid w:val="016E7291"/>
    <w:rsid w:val="016F2EB2"/>
    <w:rsid w:val="01723B2A"/>
    <w:rsid w:val="01732DF5"/>
    <w:rsid w:val="0178163F"/>
    <w:rsid w:val="01784B45"/>
    <w:rsid w:val="017A6733"/>
    <w:rsid w:val="017A7965"/>
    <w:rsid w:val="017E12F4"/>
    <w:rsid w:val="017E31E9"/>
    <w:rsid w:val="017F761E"/>
    <w:rsid w:val="01802936"/>
    <w:rsid w:val="01804794"/>
    <w:rsid w:val="01842183"/>
    <w:rsid w:val="01857DAC"/>
    <w:rsid w:val="018602A9"/>
    <w:rsid w:val="01895372"/>
    <w:rsid w:val="018D2110"/>
    <w:rsid w:val="018F6986"/>
    <w:rsid w:val="019018CC"/>
    <w:rsid w:val="01906BE8"/>
    <w:rsid w:val="01913CCF"/>
    <w:rsid w:val="01916D72"/>
    <w:rsid w:val="01932CDA"/>
    <w:rsid w:val="0194583F"/>
    <w:rsid w:val="0196743A"/>
    <w:rsid w:val="01974A96"/>
    <w:rsid w:val="019913B5"/>
    <w:rsid w:val="019A5143"/>
    <w:rsid w:val="019A5DD4"/>
    <w:rsid w:val="019A6449"/>
    <w:rsid w:val="019B671D"/>
    <w:rsid w:val="019D73AB"/>
    <w:rsid w:val="01A11DBF"/>
    <w:rsid w:val="01A23D8B"/>
    <w:rsid w:val="01A266A2"/>
    <w:rsid w:val="01A33580"/>
    <w:rsid w:val="01A34AB2"/>
    <w:rsid w:val="01A61CB7"/>
    <w:rsid w:val="01A84122"/>
    <w:rsid w:val="01A95CFE"/>
    <w:rsid w:val="01AA54FE"/>
    <w:rsid w:val="01AF2944"/>
    <w:rsid w:val="01B246E8"/>
    <w:rsid w:val="01B471DA"/>
    <w:rsid w:val="01B53858"/>
    <w:rsid w:val="01B8144A"/>
    <w:rsid w:val="01B82F3F"/>
    <w:rsid w:val="01B97B5A"/>
    <w:rsid w:val="01BC20AF"/>
    <w:rsid w:val="01BD6733"/>
    <w:rsid w:val="01C014D8"/>
    <w:rsid w:val="01C35814"/>
    <w:rsid w:val="01C37872"/>
    <w:rsid w:val="01C9065B"/>
    <w:rsid w:val="01C907E0"/>
    <w:rsid w:val="01C9588D"/>
    <w:rsid w:val="01CA04D8"/>
    <w:rsid w:val="01CC6283"/>
    <w:rsid w:val="01CD5964"/>
    <w:rsid w:val="01CE67D0"/>
    <w:rsid w:val="01CF4382"/>
    <w:rsid w:val="01D237EE"/>
    <w:rsid w:val="01D61CE4"/>
    <w:rsid w:val="01D66422"/>
    <w:rsid w:val="01D737AD"/>
    <w:rsid w:val="01D75DAE"/>
    <w:rsid w:val="01D85EE7"/>
    <w:rsid w:val="01D939B0"/>
    <w:rsid w:val="01DB3E1D"/>
    <w:rsid w:val="01DB5CF2"/>
    <w:rsid w:val="01DC01B8"/>
    <w:rsid w:val="01DD1B7B"/>
    <w:rsid w:val="01DD722D"/>
    <w:rsid w:val="01DE7823"/>
    <w:rsid w:val="01DF31A8"/>
    <w:rsid w:val="01E124A3"/>
    <w:rsid w:val="01E12E94"/>
    <w:rsid w:val="01E23D37"/>
    <w:rsid w:val="01E84F1B"/>
    <w:rsid w:val="01E94ED2"/>
    <w:rsid w:val="01EA75D8"/>
    <w:rsid w:val="01EB2488"/>
    <w:rsid w:val="01EC242E"/>
    <w:rsid w:val="01EE2C4A"/>
    <w:rsid w:val="01EF5ABD"/>
    <w:rsid w:val="01F24917"/>
    <w:rsid w:val="01F31367"/>
    <w:rsid w:val="01F4722E"/>
    <w:rsid w:val="01F50063"/>
    <w:rsid w:val="01F64F95"/>
    <w:rsid w:val="01F944DE"/>
    <w:rsid w:val="01F97D6A"/>
    <w:rsid w:val="01FF2585"/>
    <w:rsid w:val="01FF5A9E"/>
    <w:rsid w:val="01FF6567"/>
    <w:rsid w:val="02000A40"/>
    <w:rsid w:val="020117A7"/>
    <w:rsid w:val="02030C31"/>
    <w:rsid w:val="02040F00"/>
    <w:rsid w:val="02085C38"/>
    <w:rsid w:val="02087F06"/>
    <w:rsid w:val="020A51C9"/>
    <w:rsid w:val="020D6AC0"/>
    <w:rsid w:val="020E3B8D"/>
    <w:rsid w:val="020F0250"/>
    <w:rsid w:val="02102A20"/>
    <w:rsid w:val="02153B1E"/>
    <w:rsid w:val="02155DFA"/>
    <w:rsid w:val="02160D9A"/>
    <w:rsid w:val="02170F02"/>
    <w:rsid w:val="0219154B"/>
    <w:rsid w:val="021C03EE"/>
    <w:rsid w:val="0220029D"/>
    <w:rsid w:val="02202B59"/>
    <w:rsid w:val="02210C34"/>
    <w:rsid w:val="02222802"/>
    <w:rsid w:val="02225E93"/>
    <w:rsid w:val="02265BFE"/>
    <w:rsid w:val="02267DA8"/>
    <w:rsid w:val="02277116"/>
    <w:rsid w:val="02283D8C"/>
    <w:rsid w:val="022A6190"/>
    <w:rsid w:val="022B6A4C"/>
    <w:rsid w:val="022C15C9"/>
    <w:rsid w:val="022F6BCD"/>
    <w:rsid w:val="02307141"/>
    <w:rsid w:val="02322905"/>
    <w:rsid w:val="023314FE"/>
    <w:rsid w:val="02333DFD"/>
    <w:rsid w:val="02341684"/>
    <w:rsid w:val="0234792B"/>
    <w:rsid w:val="02357EAA"/>
    <w:rsid w:val="02371380"/>
    <w:rsid w:val="02373944"/>
    <w:rsid w:val="02383138"/>
    <w:rsid w:val="02390FB0"/>
    <w:rsid w:val="023A51B6"/>
    <w:rsid w:val="023C4BA4"/>
    <w:rsid w:val="023D084E"/>
    <w:rsid w:val="023F1D7B"/>
    <w:rsid w:val="023F3286"/>
    <w:rsid w:val="02411A48"/>
    <w:rsid w:val="02441049"/>
    <w:rsid w:val="02450342"/>
    <w:rsid w:val="02454C47"/>
    <w:rsid w:val="02476FC1"/>
    <w:rsid w:val="02484CD1"/>
    <w:rsid w:val="024F6E72"/>
    <w:rsid w:val="024F7B4A"/>
    <w:rsid w:val="02503C05"/>
    <w:rsid w:val="02512F49"/>
    <w:rsid w:val="0252026C"/>
    <w:rsid w:val="02520C0C"/>
    <w:rsid w:val="02554CD3"/>
    <w:rsid w:val="02565B96"/>
    <w:rsid w:val="02570A0C"/>
    <w:rsid w:val="02575270"/>
    <w:rsid w:val="02590ADD"/>
    <w:rsid w:val="02596A0D"/>
    <w:rsid w:val="025A572D"/>
    <w:rsid w:val="025A62E2"/>
    <w:rsid w:val="025C0914"/>
    <w:rsid w:val="02607F1B"/>
    <w:rsid w:val="02617211"/>
    <w:rsid w:val="02661F8C"/>
    <w:rsid w:val="026831CF"/>
    <w:rsid w:val="026A2C49"/>
    <w:rsid w:val="026B29ED"/>
    <w:rsid w:val="02701844"/>
    <w:rsid w:val="02702D47"/>
    <w:rsid w:val="02712E21"/>
    <w:rsid w:val="02725926"/>
    <w:rsid w:val="02737906"/>
    <w:rsid w:val="02757D00"/>
    <w:rsid w:val="0277091B"/>
    <w:rsid w:val="0278580D"/>
    <w:rsid w:val="027859FB"/>
    <w:rsid w:val="027E1315"/>
    <w:rsid w:val="027F4E48"/>
    <w:rsid w:val="02800260"/>
    <w:rsid w:val="02806400"/>
    <w:rsid w:val="02823334"/>
    <w:rsid w:val="028669E1"/>
    <w:rsid w:val="028730A8"/>
    <w:rsid w:val="028B2E43"/>
    <w:rsid w:val="028C233A"/>
    <w:rsid w:val="028C23E0"/>
    <w:rsid w:val="028E043E"/>
    <w:rsid w:val="028E4C92"/>
    <w:rsid w:val="029003ED"/>
    <w:rsid w:val="02913443"/>
    <w:rsid w:val="02917836"/>
    <w:rsid w:val="0298201F"/>
    <w:rsid w:val="0298634C"/>
    <w:rsid w:val="029A37AC"/>
    <w:rsid w:val="029B6CF3"/>
    <w:rsid w:val="029E6EB1"/>
    <w:rsid w:val="029F239F"/>
    <w:rsid w:val="02A04EDA"/>
    <w:rsid w:val="02A2358D"/>
    <w:rsid w:val="02A5694A"/>
    <w:rsid w:val="02A735F5"/>
    <w:rsid w:val="02A758F1"/>
    <w:rsid w:val="02AA0151"/>
    <w:rsid w:val="02AA6FC2"/>
    <w:rsid w:val="02AB1C3F"/>
    <w:rsid w:val="02B0635C"/>
    <w:rsid w:val="02B30570"/>
    <w:rsid w:val="02B367E9"/>
    <w:rsid w:val="02B60F92"/>
    <w:rsid w:val="02B7319C"/>
    <w:rsid w:val="02B87607"/>
    <w:rsid w:val="02B9042C"/>
    <w:rsid w:val="02BD4A77"/>
    <w:rsid w:val="02BD4D4C"/>
    <w:rsid w:val="02BF07AF"/>
    <w:rsid w:val="02C245C9"/>
    <w:rsid w:val="02C30863"/>
    <w:rsid w:val="02C56982"/>
    <w:rsid w:val="02C760C8"/>
    <w:rsid w:val="02CB60D1"/>
    <w:rsid w:val="02CC07BC"/>
    <w:rsid w:val="02CC6749"/>
    <w:rsid w:val="02CE1C2E"/>
    <w:rsid w:val="02CF4A9F"/>
    <w:rsid w:val="02D00740"/>
    <w:rsid w:val="02D20BDF"/>
    <w:rsid w:val="02D423BA"/>
    <w:rsid w:val="02D42B70"/>
    <w:rsid w:val="02D54611"/>
    <w:rsid w:val="02D654E2"/>
    <w:rsid w:val="02D81042"/>
    <w:rsid w:val="02DA2EC1"/>
    <w:rsid w:val="02DB22AA"/>
    <w:rsid w:val="02DC5973"/>
    <w:rsid w:val="02DC6381"/>
    <w:rsid w:val="02DD1320"/>
    <w:rsid w:val="02DD338A"/>
    <w:rsid w:val="02DD52C6"/>
    <w:rsid w:val="02E15293"/>
    <w:rsid w:val="02E159CB"/>
    <w:rsid w:val="02E226C8"/>
    <w:rsid w:val="02E56FE1"/>
    <w:rsid w:val="02E8350B"/>
    <w:rsid w:val="02E85D5F"/>
    <w:rsid w:val="02E96CAC"/>
    <w:rsid w:val="02EC54C1"/>
    <w:rsid w:val="02ED05D4"/>
    <w:rsid w:val="02ED18FA"/>
    <w:rsid w:val="02EE142C"/>
    <w:rsid w:val="02EE1970"/>
    <w:rsid w:val="02F02819"/>
    <w:rsid w:val="02F073F3"/>
    <w:rsid w:val="02F2087C"/>
    <w:rsid w:val="02F37566"/>
    <w:rsid w:val="02F52046"/>
    <w:rsid w:val="02F60507"/>
    <w:rsid w:val="02F87C63"/>
    <w:rsid w:val="02F95F94"/>
    <w:rsid w:val="02FA6F2C"/>
    <w:rsid w:val="02FB5590"/>
    <w:rsid w:val="02FD3556"/>
    <w:rsid w:val="03000305"/>
    <w:rsid w:val="03044B1A"/>
    <w:rsid w:val="030531E4"/>
    <w:rsid w:val="0306096C"/>
    <w:rsid w:val="0307522C"/>
    <w:rsid w:val="03076B54"/>
    <w:rsid w:val="03085F24"/>
    <w:rsid w:val="030A5CFE"/>
    <w:rsid w:val="030B0131"/>
    <w:rsid w:val="030C14E1"/>
    <w:rsid w:val="030F0BDE"/>
    <w:rsid w:val="030F2A36"/>
    <w:rsid w:val="030F30E2"/>
    <w:rsid w:val="031254A3"/>
    <w:rsid w:val="031405ED"/>
    <w:rsid w:val="0314350E"/>
    <w:rsid w:val="03191DB0"/>
    <w:rsid w:val="0319702C"/>
    <w:rsid w:val="031A0511"/>
    <w:rsid w:val="031A206B"/>
    <w:rsid w:val="03202843"/>
    <w:rsid w:val="03217678"/>
    <w:rsid w:val="0321775C"/>
    <w:rsid w:val="03222403"/>
    <w:rsid w:val="03224E8A"/>
    <w:rsid w:val="03227473"/>
    <w:rsid w:val="03236300"/>
    <w:rsid w:val="03250E5B"/>
    <w:rsid w:val="03253B62"/>
    <w:rsid w:val="032635D5"/>
    <w:rsid w:val="03276DAA"/>
    <w:rsid w:val="032B1350"/>
    <w:rsid w:val="032D2405"/>
    <w:rsid w:val="032E5D53"/>
    <w:rsid w:val="033026DA"/>
    <w:rsid w:val="033344F3"/>
    <w:rsid w:val="03336C47"/>
    <w:rsid w:val="03347CF4"/>
    <w:rsid w:val="033A4CDE"/>
    <w:rsid w:val="033B75C6"/>
    <w:rsid w:val="033C2FCE"/>
    <w:rsid w:val="033D11B0"/>
    <w:rsid w:val="033D751B"/>
    <w:rsid w:val="033E0664"/>
    <w:rsid w:val="033F64F7"/>
    <w:rsid w:val="033F69F5"/>
    <w:rsid w:val="03410FC9"/>
    <w:rsid w:val="034159E9"/>
    <w:rsid w:val="034207E4"/>
    <w:rsid w:val="034432DD"/>
    <w:rsid w:val="03451FAF"/>
    <w:rsid w:val="034557ED"/>
    <w:rsid w:val="0345624C"/>
    <w:rsid w:val="03460CD2"/>
    <w:rsid w:val="034672E0"/>
    <w:rsid w:val="0347682C"/>
    <w:rsid w:val="03486503"/>
    <w:rsid w:val="03494950"/>
    <w:rsid w:val="034A7CC6"/>
    <w:rsid w:val="034C1DC2"/>
    <w:rsid w:val="034D02AC"/>
    <w:rsid w:val="034F267D"/>
    <w:rsid w:val="03512B3A"/>
    <w:rsid w:val="0354458A"/>
    <w:rsid w:val="03560156"/>
    <w:rsid w:val="03561BB5"/>
    <w:rsid w:val="035734C4"/>
    <w:rsid w:val="03584F06"/>
    <w:rsid w:val="03594055"/>
    <w:rsid w:val="035C1ABE"/>
    <w:rsid w:val="035D4B20"/>
    <w:rsid w:val="03603B4C"/>
    <w:rsid w:val="03614901"/>
    <w:rsid w:val="0362073B"/>
    <w:rsid w:val="03624480"/>
    <w:rsid w:val="03636195"/>
    <w:rsid w:val="03680B25"/>
    <w:rsid w:val="03684C6C"/>
    <w:rsid w:val="036A16DF"/>
    <w:rsid w:val="036A67C5"/>
    <w:rsid w:val="036D3674"/>
    <w:rsid w:val="036F14F1"/>
    <w:rsid w:val="036F5D80"/>
    <w:rsid w:val="03721365"/>
    <w:rsid w:val="03724070"/>
    <w:rsid w:val="0373442E"/>
    <w:rsid w:val="03780BD1"/>
    <w:rsid w:val="037920D9"/>
    <w:rsid w:val="037A3074"/>
    <w:rsid w:val="037E7984"/>
    <w:rsid w:val="037F3B51"/>
    <w:rsid w:val="03804A42"/>
    <w:rsid w:val="038254C8"/>
    <w:rsid w:val="03863B8D"/>
    <w:rsid w:val="03871EDE"/>
    <w:rsid w:val="03880A8B"/>
    <w:rsid w:val="03881D2F"/>
    <w:rsid w:val="0389413C"/>
    <w:rsid w:val="038A7B20"/>
    <w:rsid w:val="038B1197"/>
    <w:rsid w:val="038B2114"/>
    <w:rsid w:val="038B7E14"/>
    <w:rsid w:val="038E2542"/>
    <w:rsid w:val="038E30EB"/>
    <w:rsid w:val="03910FA6"/>
    <w:rsid w:val="039265CB"/>
    <w:rsid w:val="03931D0B"/>
    <w:rsid w:val="039612B9"/>
    <w:rsid w:val="03982C9D"/>
    <w:rsid w:val="03995D0E"/>
    <w:rsid w:val="039E7E40"/>
    <w:rsid w:val="03A026F4"/>
    <w:rsid w:val="03A04D0E"/>
    <w:rsid w:val="03A07E94"/>
    <w:rsid w:val="03A16CE7"/>
    <w:rsid w:val="03A56F9F"/>
    <w:rsid w:val="03A96C84"/>
    <w:rsid w:val="03AB763B"/>
    <w:rsid w:val="03AC3EFD"/>
    <w:rsid w:val="03AC3FF3"/>
    <w:rsid w:val="03AD4939"/>
    <w:rsid w:val="03AE5D99"/>
    <w:rsid w:val="03B31895"/>
    <w:rsid w:val="03B36D1D"/>
    <w:rsid w:val="03B528AC"/>
    <w:rsid w:val="03B64896"/>
    <w:rsid w:val="03B96F3B"/>
    <w:rsid w:val="03BA00EA"/>
    <w:rsid w:val="03BB30AE"/>
    <w:rsid w:val="03BD6F4D"/>
    <w:rsid w:val="03BE26C2"/>
    <w:rsid w:val="03BE7B24"/>
    <w:rsid w:val="03BF7867"/>
    <w:rsid w:val="03C41C43"/>
    <w:rsid w:val="03C65953"/>
    <w:rsid w:val="03C751C3"/>
    <w:rsid w:val="03C93F1F"/>
    <w:rsid w:val="03CA038A"/>
    <w:rsid w:val="03CA3073"/>
    <w:rsid w:val="03CA7061"/>
    <w:rsid w:val="03CB3703"/>
    <w:rsid w:val="03CD5290"/>
    <w:rsid w:val="03CD567C"/>
    <w:rsid w:val="03D527D1"/>
    <w:rsid w:val="03D53A00"/>
    <w:rsid w:val="03D55F7D"/>
    <w:rsid w:val="03D713EB"/>
    <w:rsid w:val="03D80FBB"/>
    <w:rsid w:val="03D929D8"/>
    <w:rsid w:val="03DE6536"/>
    <w:rsid w:val="03E12B8D"/>
    <w:rsid w:val="03E17346"/>
    <w:rsid w:val="03E17BF2"/>
    <w:rsid w:val="03E17FF0"/>
    <w:rsid w:val="03E37FD0"/>
    <w:rsid w:val="03E55F49"/>
    <w:rsid w:val="03E7479C"/>
    <w:rsid w:val="03E81EEC"/>
    <w:rsid w:val="03E9072A"/>
    <w:rsid w:val="03EB14EF"/>
    <w:rsid w:val="03EE3624"/>
    <w:rsid w:val="03F25B1B"/>
    <w:rsid w:val="03F76873"/>
    <w:rsid w:val="03F84AB2"/>
    <w:rsid w:val="03F87863"/>
    <w:rsid w:val="03FB4EDE"/>
    <w:rsid w:val="03FD54EF"/>
    <w:rsid w:val="03FF253B"/>
    <w:rsid w:val="03FF4302"/>
    <w:rsid w:val="03FF4766"/>
    <w:rsid w:val="0405636F"/>
    <w:rsid w:val="040659C7"/>
    <w:rsid w:val="04091B5D"/>
    <w:rsid w:val="040940A0"/>
    <w:rsid w:val="040B056C"/>
    <w:rsid w:val="040E6AFB"/>
    <w:rsid w:val="040F07C3"/>
    <w:rsid w:val="04127E54"/>
    <w:rsid w:val="04142B77"/>
    <w:rsid w:val="04173894"/>
    <w:rsid w:val="041A4BC5"/>
    <w:rsid w:val="041B0288"/>
    <w:rsid w:val="04211A62"/>
    <w:rsid w:val="04212FB9"/>
    <w:rsid w:val="04217F3E"/>
    <w:rsid w:val="042379FA"/>
    <w:rsid w:val="04241FF7"/>
    <w:rsid w:val="0425417D"/>
    <w:rsid w:val="042627F2"/>
    <w:rsid w:val="042645B6"/>
    <w:rsid w:val="04270ED9"/>
    <w:rsid w:val="042923D4"/>
    <w:rsid w:val="042D1819"/>
    <w:rsid w:val="042D7A78"/>
    <w:rsid w:val="042F1EA5"/>
    <w:rsid w:val="04307B0B"/>
    <w:rsid w:val="043328B4"/>
    <w:rsid w:val="04356BCF"/>
    <w:rsid w:val="04366BDB"/>
    <w:rsid w:val="04385CBE"/>
    <w:rsid w:val="043930A4"/>
    <w:rsid w:val="043A7C61"/>
    <w:rsid w:val="043A7F97"/>
    <w:rsid w:val="043D1010"/>
    <w:rsid w:val="043D284A"/>
    <w:rsid w:val="043D537A"/>
    <w:rsid w:val="04402D22"/>
    <w:rsid w:val="044264DF"/>
    <w:rsid w:val="0442794E"/>
    <w:rsid w:val="044364B2"/>
    <w:rsid w:val="04440F94"/>
    <w:rsid w:val="04467BF0"/>
    <w:rsid w:val="04476318"/>
    <w:rsid w:val="04477CA6"/>
    <w:rsid w:val="044A5EBD"/>
    <w:rsid w:val="044B1A93"/>
    <w:rsid w:val="044B2349"/>
    <w:rsid w:val="044C5928"/>
    <w:rsid w:val="04505CF3"/>
    <w:rsid w:val="04551185"/>
    <w:rsid w:val="04580C76"/>
    <w:rsid w:val="04582451"/>
    <w:rsid w:val="045C6B39"/>
    <w:rsid w:val="045E71B8"/>
    <w:rsid w:val="045F6D4A"/>
    <w:rsid w:val="04640BAD"/>
    <w:rsid w:val="04672D6A"/>
    <w:rsid w:val="046731FA"/>
    <w:rsid w:val="046777C0"/>
    <w:rsid w:val="04686230"/>
    <w:rsid w:val="04686990"/>
    <w:rsid w:val="04687AEC"/>
    <w:rsid w:val="04696242"/>
    <w:rsid w:val="046D6F9C"/>
    <w:rsid w:val="046D7603"/>
    <w:rsid w:val="04741BFB"/>
    <w:rsid w:val="047708C8"/>
    <w:rsid w:val="04783135"/>
    <w:rsid w:val="0478777E"/>
    <w:rsid w:val="04797232"/>
    <w:rsid w:val="047A1FC0"/>
    <w:rsid w:val="047A3655"/>
    <w:rsid w:val="047C071E"/>
    <w:rsid w:val="04820E3F"/>
    <w:rsid w:val="0482351B"/>
    <w:rsid w:val="04836C2A"/>
    <w:rsid w:val="04856F04"/>
    <w:rsid w:val="04870648"/>
    <w:rsid w:val="04873CA1"/>
    <w:rsid w:val="04880736"/>
    <w:rsid w:val="048871AC"/>
    <w:rsid w:val="048915B4"/>
    <w:rsid w:val="048A73E8"/>
    <w:rsid w:val="048D3BD0"/>
    <w:rsid w:val="048D3E26"/>
    <w:rsid w:val="048D7E6B"/>
    <w:rsid w:val="048E2277"/>
    <w:rsid w:val="048F0A2E"/>
    <w:rsid w:val="049420EA"/>
    <w:rsid w:val="049567EC"/>
    <w:rsid w:val="0498388D"/>
    <w:rsid w:val="0499063E"/>
    <w:rsid w:val="04995778"/>
    <w:rsid w:val="04997A30"/>
    <w:rsid w:val="049C5B8E"/>
    <w:rsid w:val="049C5C6B"/>
    <w:rsid w:val="049F5000"/>
    <w:rsid w:val="04A10660"/>
    <w:rsid w:val="04A155AB"/>
    <w:rsid w:val="04A45A8E"/>
    <w:rsid w:val="04AB1CC3"/>
    <w:rsid w:val="04AF38B0"/>
    <w:rsid w:val="04B17319"/>
    <w:rsid w:val="04B317D8"/>
    <w:rsid w:val="04BA3743"/>
    <w:rsid w:val="04BB3E21"/>
    <w:rsid w:val="04BD44D8"/>
    <w:rsid w:val="04C255C4"/>
    <w:rsid w:val="04C25AD3"/>
    <w:rsid w:val="04C30CA1"/>
    <w:rsid w:val="04C46980"/>
    <w:rsid w:val="04C7392C"/>
    <w:rsid w:val="04C824DC"/>
    <w:rsid w:val="04C841ED"/>
    <w:rsid w:val="04C874A7"/>
    <w:rsid w:val="04C90294"/>
    <w:rsid w:val="04CA3536"/>
    <w:rsid w:val="04CB3F50"/>
    <w:rsid w:val="04CB3FDB"/>
    <w:rsid w:val="04CF1138"/>
    <w:rsid w:val="04CF64E6"/>
    <w:rsid w:val="04DA45A9"/>
    <w:rsid w:val="04DA6E66"/>
    <w:rsid w:val="04DC05A5"/>
    <w:rsid w:val="04DC6390"/>
    <w:rsid w:val="04DD4E6D"/>
    <w:rsid w:val="04DF5616"/>
    <w:rsid w:val="04E039B5"/>
    <w:rsid w:val="04E06F33"/>
    <w:rsid w:val="04E20C9C"/>
    <w:rsid w:val="04E312BD"/>
    <w:rsid w:val="04E43446"/>
    <w:rsid w:val="04E43DD1"/>
    <w:rsid w:val="04E6692A"/>
    <w:rsid w:val="04E85A87"/>
    <w:rsid w:val="04EB7488"/>
    <w:rsid w:val="04F037EF"/>
    <w:rsid w:val="04F3222C"/>
    <w:rsid w:val="04F52EF9"/>
    <w:rsid w:val="04F66D89"/>
    <w:rsid w:val="04FA14BF"/>
    <w:rsid w:val="04FC29C9"/>
    <w:rsid w:val="04FE2539"/>
    <w:rsid w:val="0500033F"/>
    <w:rsid w:val="050230A7"/>
    <w:rsid w:val="05025C9E"/>
    <w:rsid w:val="05040E03"/>
    <w:rsid w:val="050A5751"/>
    <w:rsid w:val="050D58B2"/>
    <w:rsid w:val="050E52B0"/>
    <w:rsid w:val="050F1A38"/>
    <w:rsid w:val="051022C7"/>
    <w:rsid w:val="051145B8"/>
    <w:rsid w:val="05115A24"/>
    <w:rsid w:val="05132D47"/>
    <w:rsid w:val="05140238"/>
    <w:rsid w:val="051425BC"/>
    <w:rsid w:val="05153B96"/>
    <w:rsid w:val="051574BF"/>
    <w:rsid w:val="051625FB"/>
    <w:rsid w:val="05180485"/>
    <w:rsid w:val="051B6C61"/>
    <w:rsid w:val="051C520C"/>
    <w:rsid w:val="051D60F1"/>
    <w:rsid w:val="051F0195"/>
    <w:rsid w:val="052101B1"/>
    <w:rsid w:val="05253494"/>
    <w:rsid w:val="05253D29"/>
    <w:rsid w:val="052605AE"/>
    <w:rsid w:val="05281DCB"/>
    <w:rsid w:val="052A2F8A"/>
    <w:rsid w:val="052A3601"/>
    <w:rsid w:val="05323121"/>
    <w:rsid w:val="053252EC"/>
    <w:rsid w:val="05331BEC"/>
    <w:rsid w:val="05336F81"/>
    <w:rsid w:val="05394710"/>
    <w:rsid w:val="053F33DA"/>
    <w:rsid w:val="05402126"/>
    <w:rsid w:val="054066F5"/>
    <w:rsid w:val="05410C20"/>
    <w:rsid w:val="0542649B"/>
    <w:rsid w:val="054379E0"/>
    <w:rsid w:val="05491CC6"/>
    <w:rsid w:val="054B0F06"/>
    <w:rsid w:val="054F1C1E"/>
    <w:rsid w:val="05514B26"/>
    <w:rsid w:val="055168D3"/>
    <w:rsid w:val="05530BF9"/>
    <w:rsid w:val="05550C5C"/>
    <w:rsid w:val="05564189"/>
    <w:rsid w:val="05573AF8"/>
    <w:rsid w:val="055744DE"/>
    <w:rsid w:val="05586CAF"/>
    <w:rsid w:val="055962F4"/>
    <w:rsid w:val="055B3E62"/>
    <w:rsid w:val="055D3B8B"/>
    <w:rsid w:val="055D698C"/>
    <w:rsid w:val="055F53BF"/>
    <w:rsid w:val="05603E2F"/>
    <w:rsid w:val="05621546"/>
    <w:rsid w:val="05623B39"/>
    <w:rsid w:val="056263F8"/>
    <w:rsid w:val="05674094"/>
    <w:rsid w:val="05674B2B"/>
    <w:rsid w:val="05694A1A"/>
    <w:rsid w:val="056A263B"/>
    <w:rsid w:val="056B50D2"/>
    <w:rsid w:val="056C3442"/>
    <w:rsid w:val="056C7151"/>
    <w:rsid w:val="05701A95"/>
    <w:rsid w:val="05715DEC"/>
    <w:rsid w:val="05720337"/>
    <w:rsid w:val="05761739"/>
    <w:rsid w:val="05783129"/>
    <w:rsid w:val="05786C47"/>
    <w:rsid w:val="0579114B"/>
    <w:rsid w:val="057B7025"/>
    <w:rsid w:val="057B757B"/>
    <w:rsid w:val="057D299F"/>
    <w:rsid w:val="057D7849"/>
    <w:rsid w:val="05826DEE"/>
    <w:rsid w:val="05833812"/>
    <w:rsid w:val="058454F1"/>
    <w:rsid w:val="05866E58"/>
    <w:rsid w:val="0587182B"/>
    <w:rsid w:val="05896023"/>
    <w:rsid w:val="058B03C0"/>
    <w:rsid w:val="058C1957"/>
    <w:rsid w:val="058C43B1"/>
    <w:rsid w:val="058F10AD"/>
    <w:rsid w:val="05901559"/>
    <w:rsid w:val="05910E19"/>
    <w:rsid w:val="05915BC7"/>
    <w:rsid w:val="05920627"/>
    <w:rsid w:val="05923DCD"/>
    <w:rsid w:val="05977BE7"/>
    <w:rsid w:val="05987B5A"/>
    <w:rsid w:val="05996DFD"/>
    <w:rsid w:val="059A428B"/>
    <w:rsid w:val="059C713B"/>
    <w:rsid w:val="059C7F5F"/>
    <w:rsid w:val="059E78BD"/>
    <w:rsid w:val="059F20F3"/>
    <w:rsid w:val="05A11424"/>
    <w:rsid w:val="05A2353C"/>
    <w:rsid w:val="05A30600"/>
    <w:rsid w:val="05A73CC6"/>
    <w:rsid w:val="05A740B8"/>
    <w:rsid w:val="05A95A28"/>
    <w:rsid w:val="05AA0FBC"/>
    <w:rsid w:val="05AD0C19"/>
    <w:rsid w:val="05AD573F"/>
    <w:rsid w:val="05AE654B"/>
    <w:rsid w:val="05AF4E5F"/>
    <w:rsid w:val="05AF6E9E"/>
    <w:rsid w:val="05B11738"/>
    <w:rsid w:val="05B168F7"/>
    <w:rsid w:val="05B229EE"/>
    <w:rsid w:val="05B42280"/>
    <w:rsid w:val="05B4570A"/>
    <w:rsid w:val="05B62CAE"/>
    <w:rsid w:val="05B6420C"/>
    <w:rsid w:val="05B70877"/>
    <w:rsid w:val="05B736CF"/>
    <w:rsid w:val="05B74A0B"/>
    <w:rsid w:val="05B80F1D"/>
    <w:rsid w:val="05BC4823"/>
    <w:rsid w:val="05BD059B"/>
    <w:rsid w:val="05BD656F"/>
    <w:rsid w:val="05BF4081"/>
    <w:rsid w:val="05C12A23"/>
    <w:rsid w:val="05C156F2"/>
    <w:rsid w:val="05C379C0"/>
    <w:rsid w:val="05C70001"/>
    <w:rsid w:val="05C715FA"/>
    <w:rsid w:val="05C7444C"/>
    <w:rsid w:val="05C90824"/>
    <w:rsid w:val="05CA520E"/>
    <w:rsid w:val="05CB509D"/>
    <w:rsid w:val="05CD4A66"/>
    <w:rsid w:val="05CD6051"/>
    <w:rsid w:val="05CF0E5A"/>
    <w:rsid w:val="05CF5EC8"/>
    <w:rsid w:val="05D067AA"/>
    <w:rsid w:val="05D07653"/>
    <w:rsid w:val="05D47370"/>
    <w:rsid w:val="05D534C4"/>
    <w:rsid w:val="05D646FA"/>
    <w:rsid w:val="05D6783A"/>
    <w:rsid w:val="05D74A2F"/>
    <w:rsid w:val="05D827F1"/>
    <w:rsid w:val="05D9582F"/>
    <w:rsid w:val="05DB0E5D"/>
    <w:rsid w:val="05DF6FF2"/>
    <w:rsid w:val="05E10E9E"/>
    <w:rsid w:val="05E46ED1"/>
    <w:rsid w:val="05E81DC0"/>
    <w:rsid w:val="05EB51C4"/>
    <w:rsid w:val="05ED6880"/>
    <w:rsid w:val="05F0677F"/>
    <w:rsid w:val="05F160C0"/>
    <w:rsid w:val="05F20F93"/>
    <w:rsid w:val="05F350F3"/>
    <w:rsid w:val="05F55427"/>
    <w:rsid w:val="05F93EE1"/>
    <w:rsid w:val="05FB6D4C"/>
    <w:rsid w:val="05FF6C56"/>
    <w:rsid w:val="06002E69"/>
    <w:rsid w:val="06012847"/>
    <w:rsid w:val="06017261"/>
    <w:rsid w:val="060478F2"/>
    <w:rsid w:val="060577E1"/>
    <w:rsid w:val="06085E8B"/>
    <w:rsid w:val="060D21D0"/>
    <w:rsid w:val="060D4139"/>
    <w:rsid w:val="060E10B5"/>
    <w:rsid w:val="06106224"/>
    <w:rsid w:val="06132951"/>
    <w:rsid w:val="061505E2"/>
    <w:rsid w:val="06165D28"/>
    <w:rsid w:val="06172795"/>
    <w:rsid w:val="061A0E58"/>
    <w:rsid w:val="061A2D83"/>
    <w:rsid w:val="061A3A41"/>
    <w:rsid w:val="061C56FF"/>
    <w:rsid w:val="061F2121"/>
    <w:rsid w:val="06212B47"/>
    <w:rsid w:val="06242CD0"/>
    <w:rsid w:val="062A1A35"/>
    <w:rsid w:val="062D7ED3"/>
    <w:rsid w:val="06303B24"/>
    <w:rsid w:val="06321346"/>
    <w:rsid w:val="063634AB"/>
    <w:rsid w:val="06386C07"/>
    <w:rsid w:val="06390076"/>
    <w:rsid w:val="06390C48"/>
    <w:rsid w:val="063A2B4F"/>
    <w:rsid w:val="063B1217"/>
    <w:rsid w:val="063F53A3"/>
    <w:rsid w:val="0640134B"/>
    <w:rsid w:val="06414C29"/>
    <w:rsid w:val="0641548A"/>
    <w:rsid w:val="06416468"/>
    <w:rsid w:val="06463313"/>
    <w:rsid w:val="06474183"/>
    <w:rsid w:val="064C38CF"/>
    <w:rsid w:val="064C73AD"/>
    <w:rsid w:val="06507580"/>
    <w:rsid w:val="06511C6E"/>
    <w:rsid w:val="06564B2E"/>
    <w:rsid w:val="0656627B"/>
    <w:rsid w:val="06571F05"/>
    <w:rsid w:val="06581542"/>
    <w:rsid w:val="065947B4"/>
    <w:rsid w:val="065A4B17"/>
    <w:rsid w:val="065A57ED"/>
    <w:rsid w:val="065D66FD"/>
    <w:rsid w:val="066B1CDA"/>
    <w:rsid w:val="066C1893"/>
    <w:rsid w:val="066E315A"/>
    <w:rsid w:val="066E426E"/>
    <w:rsid w:val="06707210"/>
    <w:rsid w:val="06716B4B"/>
    <w:rsid w:val="067520FD"/>
    <w:rsid w:val="067557A7"/>
    <w:rsid w:val="067640ED"/>
    <w:rsid w:val="06773CA4"/>
    <w:rsid w:val="06774DB1"/>
    <w:rsid w:val="06781ED8"/>
    <w:rsid w:val="067B434D"/>
    <w:rsid w:val="067B695B"/>
    <w:rsid w:val="067D6144"/>
    <w:rsid w:val="067F55C0"/>
    <w:rsid w:val="06811CF7"/>
    <w:rsid w:val="06817E81"/>
    <w:rsid w:val="06843BA8"/>
    <w:rsid w:val="068462A1"/>
    <w:rsid w:val="06867972"/>
    <w:rsid w:val="06880049"/>
    <w:rsid w:val="06880CEC"/>
    <w:rsid w:val="068960FB"/>
    <w:rsid w:val="068A7887"/>
    <w:rsid w:val="068D45DD"/>
    <w:rsid w:val="068F3FC5"/>
    <w:rsid w:val="06901D1B"/>
    <w:rsid w:val="0690560D"/>
    <w:rsid w:val="069178CB"/>
    <w:rsid w:val="06944ECA"/>
    <w:rsid w:val="06956044"/>
    <w:rsid w:val="06960648"/>
    <w:rsid w:val="0697729B"/>
    <w:rsid w:val="06977E14"/>
    <w:rsid w:val="0699705A"/>
    <w:rsid w:val="069A0F0B"/>
    <w:rsid w:val="069C0CD3"/>
    <w:rsid w:val="069E36FE"/>
    <w:rsid w:val="06A04ADF"/>
    <w:rsid w:val="06A116D8"/>
    <w:rsid w:val="06A24266"/>
    <w:rsid w:val="06A5445A"/>
    <w:rsid w:val="06A80AEB"/>
    <w:rsid w:val="06AA4989"/>
    <w:rsid w:val="06B07279"/>
    <w:rsid w:val="06B07593"/>
    <w:rsid w:val="06B14CCA"/>
    <w:rsid w:val="06B14E9B"/>
    <w:rsid w:val="06B45D97"/>
    <w:rsid w:val="06B52C57"/>
    <w:rsid w:val="06B70D9A"/>
    <w:rsid w:val="06B91356"/>
    <w:rsid w:val="06BC34D5"/>
    <w:rsid w:val="06BD38B8"/>
    <w:rsid w:val="06C276AB"/>
    <w:rsid w:val="06C457BA"/>
    <w:rsid w:val="06C95DA9"/>
    <w:rsid w:val="06CC0ED2"/>
    <w:rsid w:val="06CC1484"/>
    <w:rsid w:val="06CC34B5"/>
    <w:rsid w:val="06CD7DF4"/>
    <w:rsid w:val="06CE48BB"/>
    <w:rsid w:val="06CE6B8A"/>
    <w:rsid w:val="06D349C0"/>
    <w:rsid w:val="06D63098"/>
    <w:rsid w:val="06D7493A"/>
    <w:rsid w:val="06DA4590"/>
    <w:rsid w:val="06DD3C25"/>
    <w:rsid w:val="06DD54E2"/>
    <w:rsid w:val="06DE148A"/>
    <w:rsid w:val="06DE5583"/>
    <w:rsid w:val="06DF5957"/>
    <w:rsid w:val="06E33956"/>
    <w:rsid w:val="06E552C2"/>
    <w:rsid w:val="06E67FF4"/>
    <w:rsid w:val="06E744F1"/>
    <w:rsid w:val="06EB0EEB"/>
    <w:rsid w:val="06EC19D6"/>
    <w:rsid w:val="06EE42BD"/>
    <w:rsid w:val="06EE611B"/>
    <w:rsid w:val="06EF30C4"/>
    <w:rsid w:val="06EF3634"/>
    <w:rsid w:val="06F03705"/>
    <w:rsid w:val="06F0651E"/>
    <w:rsid w:val="06F23289"/>
    <w:rsid w:val="06F276D2"/>
    <w:rsid w:val="06F401B4"/>
    <w:rsid w:val="06F4062A"/>
    <w:rsid w:val="06F40677"/>
    <w:rsid w:val="06F61686"/>
    <w:rsid w:val="06F63877"/>
    <w:rsid w:val="06F64A74"/>
    <w:rsid w:val="06F85F5C"/>
    <w:rsid w:val="06F960C0"/>
    <w:rsid w:val="0702018D"/>
    <w:rsid w:val="070205B8"/>
    <w:rsid w:val="07035C72"/>
    <w:rsid w:val="0704366F"/>
    <w:rsid w:val="07050942"/>
    <w:rsid w:val="070A339A"/>
    <w:rsid w:val="070D202D"/>
    <w:rsid w:val="07137906"/>
    <w:rsid w:val="07152D41"/>
    <w:rsid w:val="07154E96"/>
    <w:rsid w:val="0716094D"/>
    <w:rsid w:val="0719622F"/>
    <w:rsid w:val="071D11A0"/>
    <w:rsid w:val="071D6727"/>
    <w:rsid w:val="0722754B"/>
    <w:rsid w:val="07243418"/>
    <w:rsid w:val="072E0BA4"/>
    <w:rsid w:val="072F2FCB"/>
    <w:rsid w:val="07303DA9"/>
    <w:rsid w:val="07332FB9"/>
    <w:rsid w:val="073431BB"/>
    <w:rsid w:val="073540BD"/>
    <w:rsid w:val="07355047"/>
    <w:rsid w:val="07370CC6"/>
    <w:rsid w:val="07370D52"/>
    <w:rsid w:val="073719F4"/>
    <w:rsid w:val="07393B7C"/>
    <w:rsid w:val="073B4383"/>
    <w:rsid w:val="073D5CB3"/>
    <w:rsid w:val="073F480E"/>
    <w:rsid w:val="07413F20"/>
    <w:rsid w:val="07430FA3"/>
    <w:rsid w:val="07466409"/>
    <w:rsid w:val="07493CC3"/>
    <w:rsid w:val="074F1F79"/>
    <w:rsid w:val="07503E96"/>
    <w:rsid w:val="07505713"/>
    <w:rsid w:val="0751290E"/>
    <w:rsid w:val="07517240"/>
    <w:rsid w:val="0753003B"/>
    <w:rsid w:val="07541D89"/>
    <w:rsid w:val="07545D78"/>
    <w:rsid w:val="07581C70"/>
    <w:rsid w:val="07581EBB"/>
    <w:rsid w:val="075964FA"/>
    <w:rsid w:val="075A3168"/>
    <w:rsid w:val="075A51B8"/>
    <w:rsid w:val="075B1E6B"/>
    <w:rsid w:val="075D66A0"/>
    <w:rsid w:val="075E444C"/>
    <w:rsid w:val="075F3B11"/>
    <w:rsid w:val="075F53F3"/>
    <w:rsid w:val="076262F8"/>
    <w:rsid w:val="07632867"/>
    <w:rsid w:val="07657330"/>
    <w:rsid w:val="07671A52"/>
    <w:rsid w:val="076729EE"/>
    <w:rsid w:val="076B31CD"/>
    <w:rsid w:val="076D58B8"/>
    <w:rsid w:val="0771665D"/>
    <w:rsid w:val="07717A82"/>
    <w:rsid w:val="07722134"/>
    <w:rsid w:val="07736118"/>
    <w:rsid w:val="07740227"/>
    <w:rsid w:val="07742677"/>
    <w:rsid w:val="077B3960"/>
    <w:rsid w:val="077D6726"/>
    <w:rsid w:val="077F1EC2"/>
    <w:rsid w:val="0780388D"/>
    <w:rsid w:val="0780777D"/>
    <w:rsid w:val="07810B86"/>
    <w:rsid w:val="07825FA5"/>
    <w:rsid w:val="078C3AEE"/>
    <w:rsid w:val="078F40FB"/>
    <w:rsid w:val="07910998"/>
    <w:rsid w:val="07935778"/>
    <w:rsid w:val="07946DAF"/>
    <w:rsid w:val="07983685"/>
    <w:rsid w:val="07997161"/>
    <w:rsid w:val="079D1751"/>
    <w:rsid w:val="079E1A04"/>
    <w:rsid w:val="07A21CE7"/>
    <w:rsid w:val="07A3308B"/>
    <w:rsid w:val="07A33D5A"/>
    <w:rsid w:val="07A7487A"/>
    <w:rsid w:val="07A75E03"/>
    <w:rsid w:val="07A8765E"/>
    <w:rsid w:val="07AA3992"/>
    <w:rsid w:val="07AA747B"/>
    <w:rsid w:val="07AB31B2"/>
    <w:rsid w:val="07AE3E39"/>
    <w:rsid w:val="07AE4202"/>
    <w:rsid w:val="07B24D54"/>
    <w:rsid w:val="07B46D16"/>
    <w:rsid w:val="07B70A75"/>
    <w:rsid w:val="07B85B5B"/>
    <w:rsid w:val="07B87A20"/>
    <w:rsid w:val="07B910C9"/>
    <w:rsid w:val="07B976C5"/>
    <w:rsid w:val="07BA16D3"/>
    <w:rsid w:val="07BA2F65"/>
    <w:rsid w:val="07BA767B"/>
    <w:rsid w:val="07BC0415"/>
    <w:rsid w:val="07BE0A4D"/>
    <w:rsid w:val="07BE36CC"/>
    <w:rsid w:val="07C24DFB"/>
    <w:rsid w:val="07C454E4"/>
    <w:rsid w:val="07C71793"/>
    <w:rsid w:val="07C755D2"/>
    <w:rsid w:val="07C757CB"/>
    <w:rsid w:val="07C83155"/>
    <w:rsid w:val="07C95D96"/>
    <w:rsid w:val="07CE0072"/>
    <w:rsid w:val="07D15CD0"/>
    <w:rsid w:val="07D17A44"/>
    <w:rsid w:val="07D27087"/>
    <w:rsid w:val="07D36717"/>
    <w:rsid w:val="07D37BEA"/>
    <w:rsid w:val="07D53EB2"/>
    <w:rsid w:val="07DE7D0E"/>
    <w:rsid w:val="07E37D21"/>
    <w:rsid w:val="07E65968"/>
    <w:rsid w:val="07E91FD4"/>
    <w:rsid w:val="07E93004"/>
    <w:rsid w:val="07EB5034"/>
    <w:rsid w:val="07EE0D97"/>
    <w:rsid w:val="07F12BBD"/>
    <w:rsid w:val="07F3304B"/>
    <w:rsid w:val="07F56141"/>
    <w:rsid w:val="07F83B72"/>
    <w:rsid w:val="07F84FB9"/>
    <w:rsid w:val="07F90478"/>
    <w:rsid w:val="07FA56C5"/>
    <w:rsid w:val="080F3E19"/>
    <w:rsid w:val="081027BE"/>
    <w:rsid w:val="0811696A"/>
    <w:rsid w:val="08165435"/>
    <w:rsid w:val="081722C6"/>
    <w:rsid w:val="08173890"/>
    <w:rsid w:val="08195304"/>
    <w:rsid w:val="081C27AE"/>
    <w:rsid w:val="081E450D"/>
    <w:rsid w:val="081F50A9"/>
    <w:rsid w:val="082036F8"/>
    <w:rsid w:val="082205D6"/>
    <w:rsid w:val="08242A98"/>
    <w:rsid w:val="08260FDE"/>
    <w:rsid w:val="08295637"/>
    <w:rsid w:val="082A30BD"/>
    <w:rsid w:val="082A69D9"/>
    <w:rsid w:val="082E1A62"/>
    <w:rsid w:val="08311198"/>
    <w:rsid w:val="08326EB4"/>
    <w:rsid w:val="08334EDA"/>
    <w:rsid w:val="08341704"/>
    <w:rsid w:val="08344898"/>
    <w:rsid w:val="08345622"/>
    <w:rsid w:val="08381261"/>
    <w:rsid w:val="08394F62"/>
    <w:rsid w:val="083B6BB0"/>
    <w:rsid w:val="083C528F"/>
    <w:rsid w:val="083D26D2"/>
    <w:rsid w:val="083D4C48"/>
    <w:rsid w:val="083E3EAC"/>
    <w:rsid w:val="084123B8"/>
    <w:rsid w:val="084139D8"/>
    <w:rsid w:val="0844599C"/>
    <w:rsid w:val="08447469"/>
    <w:rsid w:val="084546E8"/>
    <w:rsid w:val="08472863"/>
    <w:rsid w:val="08475906"/>
    <w:rsid w:val="084854BE"/>
    <w:rsid w:val="08494C2E"/>
    <w:rsid w:val="084D0595"/>
    <w:rsid w:val="084E5FE7"/>
    <w:rsid w:val="08502C0E"/>
    <w:rsid w:val="085070B5"/>
    <w:rsid w:val="0851269E"/>
    <w:rsid w:val="0851421F"/>
    <w:rsid w:val="085613DC"/>
    <w:rsid w:val="08563C33"/>
    <w:rsid w:val="085726AA"/>
    <w:rsid w:val="085E45F5"/>
    <w:rsid w:val="085E7B65"/>
    <w:rsid w:val="085F024B"/>
    <w:rsid w:val="08601EB0"/>
    <w:rsid w:val="086048BB"/>
    <w:rsid w:val="08623FF3"/>
    <w:rsid w:val="0862573A"/>
    <w:rsid w:val="08625E87"/>
    <w:rsid w:val="086444BB"/>
    <w:rsid w:val="08644725"/>
    <w:rsid w:val="0864775B"/>
    <w:rsid w:val="08674499"/>
    <w:rsid w:val="08693B3C"/>
    <w:rsid w:val="086B0EF8"/>
    <w:rsid w:val="087308FE"/>
    <w:rsid w:val="08730B0B"/>
    <w:rsid w:val="08745E91"/>
    <w:rsid w:val="08771457"/>
    <w:rsid w:val="08775FDA"/>
    <w:rsid w:val="08780207"/>
    <w:rsid w:val="08794A4D"/>
    <w:rsid w:val="087A58D0"/>
    <w:rsid w:val="08821E71"/>
    <w:rsid w:val="08823ECB"/>
    <w:rsid w:val="08826A18"/>
    <w:rsid w:val="088314BC"/>
    <w:rsid w:val="08836056"/>
    <w:rsid w:val="088B59D3"/>
    <w:rsid w:val="088C6486"/>
    <w:rsid w:val="088D5DFC"/>
    <w:rsid w:val="088E2120"/>
    <w:rsid w:val="0890695F"/>
    <w:rsid w:val="08982B1B"/>
    <w:rsid w:val="08A330D1"/>
    <w:rsid w:val="08A46CC3"/>
    <w:rsid w:val="08A577B2"/>
    <w:rsid w:val="08A64EE5"/>
    <w:rsid w:val="08A732FE"/>
    <w:rsid w:val="08A851CA"/>
    <w:rsid w:val="08AA7644"/>
    <w:rsid w:val="08AB1EF4"/>
    <w:rsid w:val="08AB57B6"/>
    <w:rsid w:val="08AD08B4"/>
    <w:rsid w:val="08AE0695"/>
    <w:rsid w:val="08AE0A75"/>
    <w:rsid w:val="08B030B3"/>
    <w:rsid w:val="08B23BEE"/>
    <w:rsid w:val="08B3056F"/>
    <w:rsid w:val="08B74929"/>
    <w:rsid w:val="08B92F53"/>
    <w:rsid w:val="08BA60AA"/>
    <w:rsid w:val="08BD754E"/>
    <w:rsid w:val="08BF5B80"/>
    <w:rsid w:val="08BF666A"/>
    <w:rsid w:val="08C10E8F"/>
    <w:rsid w:val="08C52DF4"/>
    <w:rsid w:val="08C63737"/>
    <w:rsid w:val="08C746CE"/>
    <w:rsid w:val="08C924CF"/>
    <w:rsid w:val="08CD475D"/>
    <w:rsid w:val="08CE4773"/>
    <w:rsid w:val="08CF5A3A"/>
    <w:rsid w:val="08D0664F"/>
    <w:rsid w:val="08D31196"/>
    <w:rsid w:val="08D534CB"/>
    <w:rsid w:val="08D63E1D"/>
    <w:rsid w:val="08D821AE"/>
    <w:rsid w:val="08DC6525"/>
    <w:rsid w:val="08DF49DD"/>
    <w:rsid w:val="08E1620B"/>
    <w:rsid w:val="08E64DE7"/>
    <w:rsid w:val="08E80024"/>
    <w:rsid w:val="08EB24B2"/>
    <w:rsid w:val="08EF474C"/>
    <w:rsid w:val="08F31F16"/>
    <w:rsid w:val="08F52E7E"/>
    <w:rsid w:val="08F73222"/>
    <w:rsid w:val="08F73A80"/>
    <w:rsid w:val="08F81407"/>
    <w:rsid w:val="08FA2244"/>
    <w:rsid w:val="08FC1C1D"/>
    <w:rsid w:val="08FD0AB9"/>
    <w:rsid w:val="08FF6748"/>
    <w:rsid w:val="0900203B"/>
    <w:rsid w:val="09014669"/>
    <w:rsid w:val="09033AB4"/>
    <w:rsid w:val="09072DD8"/>
    <w:rsid w:val="09075A53"/>
    <w:rsid w:val="090810FF"/>
    <w:rsid w:val="090868C3"/>
    <w:rsid w:val="09091CC8"/>
    <w:rsid w:val="09092A06"/>
    <w:rsid w:val="090940C3"/>
    <w:rsid w:val="090C78F8"/>
    <w:rsid w:val="09121A7B"/>
    <w:rsid w:val="09133178"/>
    <w:rsid w:val="091465A6"/>
    <w:rsid w:val="0918021B"/>
    <w:rsid w:val="091822B9"/>
    <w:rsid w:val="09191611"/>
    <w:rsid w:val="091B52EB"/>
    <w:rsid w:val="091B6D8C"/>
    <w:rsid w:val="091C1160"/>
    <w:rsid w:val="091C4C2A"/>
    <w:rsid w:val="091F723C"/>
    <w:rsid w:val="092000C5"/>
    <w:rsid w:val="09202E82"/>
    <w:rsid w:val="092131DF"/>
    <w:rsid w:val="09214673"/>
    <w:rsid w:val="09220F30"/>
    <w:rsid w:val="0924160C"/>
    <w:rsid w:val="09244A54"/>
    <w:rsid w:val="092569DD"/>
    <w:rsid w:val="09280053"/>
    <w:rsid w:val="0929550B"/>
    <w:rsid w:val="092A05E6"/>
    <w:rsid w:val="092A6DC8"/>
    <w:rsid w:val="092B0AB9"/>
    <w:rsid w:val="092E04DC"/>
    <w:rsid w:val="092E4570"/>
    <w:rsid w:val="092E459A"/>
    <w:rsid w:val="09332371"/>
    <w:rsid w:val="0933722B"/>
    <w:rsid w:val="093467E7"/>
    <w:rsid w:val="0935566F"/>
    <w:rsid w:val="09367BCD"/>
    <w:rsid w:val="093806B9"/>
    <w:rsid w:val="09387AA5"/>
    <w:rsid w:val="0939227E"/>
    <w:rsid w:val="093B2F19"/>
    <w:rsid w:val="093B4FB4"/>
    <w:rsid w:val="093D275E"/>
    <w:rsid w:val="093D5C12"/>
    <w:rsid w:val="093E6330"/>
    <w:rsid w:val="0940061A"/>
    <w:rsid w:val="09410547"/>
    <w:rsid w:val="094252A2"/>
    <w:rsid w:val="09474C58"/>
    <w:rsid w:val="09475AC4"/>
    <w:rsid w:val="094E25C6"/>
    <w:rsid w:val="094F27A2"/>
    <w:rsid w:val="09522361"/>
    <w:rsid w:val="09584897"/>
    <w:rsid w:val="09594928"/>
    <w:rsid w:val="095A0957"/>
    <w:rsid w:val="095B297F"/>
    <w:rsid w:val="095B4C70"/>
    <w:rsid w:val="095C7235"/>
    <w:rsid w:val="095D5D3F"/>
    <w:rsid w:val="09617527"/>
    <w:rsid w:val="0963696F"/>
    <w:rsid w:val="09672499"/>
    <w:rsid w:val="09673A55"/>
    <w:rsid w:val="09697C8B"/>
    <w:rsid w:val="096A2645"/>
    <w:rsid w:val="096D4A5A"/>
    <w:rsid w:val="09713C6B"/>
    <w:rsid w:val="097317D8"/>
    <w:rsid w:val="09766093"/>
    <w:rsid w:val="097743DE"/>
    <w:rsid w:val="097A2762"/>
    <w:rsid w:val="097B5C15"/>
    <w:rsid w:val="097E0289"/>
    <w:rsid w:val="097E6CCF"/>
    <w:rsid w:val="09821A09"/>
    <w:rsid w:val="0983479A"/>
    <w:rsid w:val="09847C2A"/>
    <w:rsid w:val="09860C76"/>
    <w:rsid w:val="09867397"/>
    <w:rsid w:val="09891C09"/>
    <w:rsid w:val="09894ECC"/>
    <w:rsid w:val="098F21EB"/>
    <w:rsid w:val="09907A65"/>
    <w:rsid w:val="09914E30"/>
    <w:rsid w:val="09945BF3"/>
    <w:rsid w:val="0997217D"/>
    <w:rsid w:val="09974EB4"/>
    <w:rsid w:val="09991A90"/>
    <w:rsid w:val="099A689E"/>
    <w:rsid w:val="099B5C39"/>
    <w:rsid w:val="099D189C"/>
    <w:rsid w:val="099F7A46"/>
    <w:rsid w:val="09A10F88"/>
    <w:rsid w:val="09A22287"/>
    <w:rsid w:val="09A323B0"/>
    <w:rsid w:val="09A34704"/>
    <w:rsid w:val="09A44FD0"/>
    <w:rsid w:val="09A475EA"/>
    <w:rsid w:val="09A54D80"/>
    <w:rsid w:val="09A62BF3"/>
    <w:rsid w:val="09A733D3"/>
    <w:rsid w:val="09A75340"/>
    <w:rsid w:val="09A97498"/>
    <w:rsid w:val="09AA2B62"/>
    <w:rsid w:val="09AD6A37"/>
    <w:rsid w:val="09AF080B"/>
    <w:rsid w:val="09B3510F"/>
    <w:rsid w:val="09B46395"/>
    <w:rsid w:val="09B6166C"/>
    <w:rsid w:val="09B77810"/>
    <w:rsid w:val="09B83217"/>
    <w:rsid w:val="09B91AFD"/>
    <w:rsid w:val="09BA44F9"/>
    <w:rsid w:val="09BA66C0"/>
    <w:rsid w:val="09BA6DCF"/>
    <w:rsid w:val="09BB6A44"/>
    <w:rsid w:val="09BD7556"/>
    <w:rsid w:val="09BE0F04"/>
    <w:rsid w:val="09BE5E4F"/>
    <w:rsid w:val="09C032BC"/>
    <w:rsid w:val="09C10278"/>
    <w:rsid w:val="09C22E10"/>
    <w:rsid w:val="09C70029"/>
    <w:rsid w:val="09C82378"/>
    <w:rsid w:val="09C92F71"/>
    <w:rsid w:val="09C969E5"/>
    <w:rsid w:val="09CA0AEF"/>
    <w:rsid w:val="09CA13CA"/>
    <w:rsid w:val="09CA1B97"/>
    <w:rsid w:val="09CC269F"/>
    <w:rsid w:val="09CD2069"/>
    <w:rsid w:val="09CD4771"/>
    <w:rsid w:val="09D22ABE"/>
    <w:rsid w:val="09D267F0"/>
    <w:rsid w:val="09D3616D"/>
    <w:rsid w:val="09D619E4"/>
    <w:rsid w:val="09D759B6"/>
    <w:rsid w:val="09D86C73"/>
    <w:rsid w:val="09D94B15"/>
    <w:rsid w:val="09DA3337"/>
    <w:rsid w:val="09DA3D24"/>
    <w:rsid w:val="09DA737F"/>
    <w:rsid w:val="09DC4149"/>
    <w:rsid w:val="09DE332A"/>
    <w:rsid w:val="09DF7C45"/>
    <w:rsid w:val="09E25745"/>
    <w:rsid w:val="09E4126C"/>
    <w:rsid w:val="09E6096A"/>
    <w:rsid w:val="09E625AA"/>
    <w:rsid w:val="09E752F2"/>
    <w:rsid w:val="09E76175"/>
    <w:rsid w:val="09EC19F2"/>
    <w:rsid w:val="09F3255C"/>
    <w:rsid w:val="09F35C57"/>
    <w:rsid w:val="09F43B25"/>
    <w:rsid w:val="09F8395A"/>
    <w:rsid w:val="09F85A4A"/>
    <w:rsid w:val="09FB11BA"/>
    <w:rsid w:val="09FC3928"/>
    <w:rsid w:val="09FF2BA7"/>
    <w:rsid w:val="09FF6963"/>
    <w:rsid w:val="0A005334"/>
    <w:rsid w:val="0A01283C"/>
    <w:rsid w:val="0A027BC3"/>
    <w:rsid w:val="0A043AF3"/>
    <w:rsid w:val="0A0616FD"/>
    <w:rsid w:val="0A07191D"/>
    <w:rsid w:val="0A093297"/>
    <w:rsid w:val="0A0A418E"/>
    <w:rsid w:val="0A0B0AF3"/>
    <w:rsid w:val="0A0E3330"/>
    <w:rsid w:val="0A123828"/>
    <w:rsid w:val="0A134455"/>
    <w:rsid w:val="0A146286"/>
    <w:rsid w:val="0A152440"/>
    <w:rsid w:val="0A1768E5"/>
    <w:rsid w:val="0A1A21D0"/>
    <w:rsid w:val="0A1E64A1"/>
    <w:rsid w:val="0A1F45AF"/>
    <w:rsid w:val="0A224ACB"/>
    <w:rsid w:val="0A24583B"/>
    <w:rsid w:val="0A272FE7"/>
    <w:rsid w:val="0A2952F2"/>
    <w:rsid w:val="0A29537E"/>
    <w:rsid w:val="0A2B71AF"/>
    <w:rsid w:val="0A2D2D3B"/>
    <w:rsid w:val="0A2F55BB"/>
    <w:rsid w:val="0A37273A"/>
    <w:rsid w:val="0A3A5CB3"/>
    <w:rsid w:val="0A3C1D6B"/>
    <w:rsid w:val="0A3C5518"/>
    <w:rsid w:val="0A3E338E"/>
    <w:rsid w:val="0A3E3740"/>
    <w:rsid w:val="0A404778"/>
    <w:rsid w:val="0A424DB8"/>
    <w:rsid w:val="0A4354BF"/>
    <w:rsid w:val="0A465890"/>
    <w:rsid w:val="0A4917D9"/>
    <w:rsid w:val="0A4D37E5"/>
    <w:rsid w:val="0A4E4F68"/>
    <w:rsid w:val="0A500920"/>
    <w:rsid w:val="0A56445D"/>
    <w:rsid w:val="0A57272F"/>
    <w:rsid w:val="0A5728AE"/>
    <w:rsid w:val="0A593795"/>
    <w:rsid w:val="0A5C5D18"/>
    <w:rsid w:val="0A5D2CB0"/>
    <w:rsid w:val="0A5E4A1F"/>
    <w:rsid w:val="0A5F7EFF"/>
    <w:rsid w:val="0A644D95"/>
    <w:rsid w:val="0A665F92"/>
    <w:rsid w:val="0A69676D"/>
    <w:rsid w:val="0A697082"/>
    <w:rsid w:val="0A697C23"/>
    <w:rsid w:val="0A6C4D04"/>
    <w:rsid w:val="0A6C55CF"/>
    <w:rsid w:val="0A6D1FC0"/>
    <w:rsid w:val="0A6D5A3D"/>
    <w:rsid w:val="0A6E0D7E"/>
    <w:rsid w:val="0A6E1970"/>
    <w:rsid w:val="0A6F1557"/>
    <w:rsid w:val="0A6F229E"/>
    <w:rsid w:val="0A6F4806"/>
    <w:rsid w:val="0A727444"/>
    <w:rsid w:val="0A7A1773"/>
    <w:rsid w:val="0A7B6316"/>
    <w:rsid w:val="0A7D4FA5"/>
    <w:rsid w:val="0A7D7CEF"/>
    <w:rsid w:val="0A7F0374"/>
    <w:rsid w:val="0A8122D1"/>
    <w:rsid w:val="0A854DC8"/>
    <w:rsid w:val="0A880400"/>
    <w:rsid w:val="0A8A182E"/>
    <w:rsid w:val="0A8C0CD0"/>
    <w:rsid w:val="0A901B83"/>
    <w:rsid w:val="0A912A12"/>
    <w:rsid w:val="0A982433"/>
    <w:rsid w:val="0A985451"/>
    <w:rsid w:val="0A9F449E"/>
    <w:rsid w:val="0AA203AE"/>
    <w:rsid w:val="0AA356EC"/>
    <w:rsid w:val="0AA36DDB"/>
    <w:rsid w:val="0AAA2BF1"/>
    <w:rsid w:val="0AAA5E48"/>
    <w:rsid w:val="0AAA72F5"/>
    <w:rsid w:val="0AAC7DAE"/>
    <w:rsid w:val="0AAF01DE"/>
    <w:rsid w:val="0AAF0C10"/>
    <w:rsid w:val="0AB21C62"/>
    <w:rsid w:val="0AB26ED0"/>
    <w:rsid w:val="0AB30BD4"/>
    <w:rsid w:val="0AB330F8"/>
    <w:rsid w:val="0AB50425"/>
    <w:rsid w:val="0ABD5EF8"/>
    <w:rsid w:val="0ABE3A9B"/>
    <w:rsid w:val="0ABE490A"/>
    <w:rsid w:val="0ABF0396"/>
    <w:rsid w:val="0AC03EC5"/>
    <w:rsid w:val="0AC1700D"/>
    <w:rsid w:val="0AC27163"/>
    <w:rsid w:val="0AC33DFE"/>
    <w:rsid w:val="0AC36233"/>
    <w:rsid w:val="0AC51F7C"/>
    <w:rsid w:val="0AC87109"/>
    <w:rsid w:val="0ACC79DE"/>
    <w:rsid w:val="0ACD2A7E"/>
    <w:rsid w:val="0AD62B05"/>
    <w:rsid w:val="0AD65A8F"/>
    <w:rsid w:val="0AD81592"/>
    <w:rsid w:val="0AD8230B"/>
    <w:rsid w:val="0AD959FB"/>
    <w:rsid w:val="0ADB04E2"/>
    <w:rsid w:val="0ADB1CF8"/>
    <w:rsid w:val="0ADB56C4"/>
    <w:rsid w:val="0ADD3C93"/>
    <w:rsid w:val="0AE275AF"/>
    <w:rsid w:val="0AE32018"/>
    <w:rsid w:val="0AE352F4"/>
    <w:rsid w:val="0AE932E3"/>
    <w:rsid w:val="0AEA626D"/>
    <w:rsid w:val="0AF40A1D"/>
    <w:rsid w:val="0AF5393A"/>
    <w:rsid w:val="0AF644D8"/>
    <w:rsid w:val="0AF94CC6"/>
    <w:rsid w:val="0AFA044D"/>
    <w:rsid w:val="0AFB4E89"/>
    <w:rsid w:val="0AFC0127"/>
    <w:rsid w:val="0AFC38DD"/>
    <w:rsid w:val="0AFD709A"/>
    <w:rsid w:val="0AFE18F9"/>
    <w:rsid w:val="0B0008B8"/>
    <w:rsid w:val="0B0308CE"/>
    <w:rsid w:val="0B044D3D"/>
    <w:rsid w:val="0B061EB9"/>
    <w:rsid w:val="0B080129"/>
    <w:rsid w:val="0B0876BE"/>
    <w:rsid w:val="0B091992"/>
    <w:rsid w:val="0B0C0162"/>
    <w:rsid w:val="0B0C1B93"/>
    <w:rsid w:val="0B0E0E12"/>
    <w:rsid w:val="0B0E39F1"/>
    <w:rsid w:val="0B0F13DB"/>
    <w:rsid w:val="0B19261C"/>
    <w:rsid w:val="0B1A1708"/>
    <w:rsid w:val="0B1B052D"/>
    <w:rsid w:val="0B1B11D6"/>
    <w:rsid w:val="0B1B144A"/>
    <w:rsid w:val="0B1C19DD"/>
    <w:rsid w:val="0B1F635F"/>
    <w:rsid w:val="0B223BA7"/>
    <w:rsid w:val="0B23163E"/>
    <w:rsid w:val="0B25130A"/>
    <w:rsid w:val="0B2C2391"/>
    <w:rsid w:val="0B2E362A"/>
    <w:rsid w:val="0B2E3A9F"/>
    <w:rsid w:val="0B2E6283"/>
    <w:rsid w:val="0B3252E9"/>
    <w:rsid w:val="0B3364E3"/>
    <w:rsid w:val="0B357F11"/>
    <w:rsid w:val="0B361662"/>
    <w:rsid w:val="0B3652BD"/>
    <w:rsid w:val="0B38262E"/>
    <w:rsid w:val="0B383EDF"/>
    <w:rsid w:val="0B3A0B64"/>
    <w:rsid w:val="0B3A6433"/>
    <w:rsid w:val="0B3C2EA5"/>
    <w:rsid w:val="0B3F15DB"/>
    <w:rsid w:val="0B432F49"/>
    <w:rsid w:val="0B4356D5"/>
    <w:rsid w:val="0B45312D"/>
    <w:rsid w:val="0B464A03"/>
    <w:rsid w:val="0B476051"/>
    <w:rsid w:val="0B4D0282"/>
    <w:rsid w:val="0B4D0DDA"/>
    <w:rsid w:val="0B4F7406"/>
    <w:rsid w:val="0B507B73"/>
    <w:rsid w:val="0B526C7A"/>
    <w:rsid w:val="0B530A2B"/>
    <w:rsid w:val="0B555E71"/>
    <w:rsid w:val="0B570C7D"/>
    <w:rsid w:val="0B574F28"/>
    <w:rsid w:val="0B5A0E20"/>
    <w:rsid w:val="0B604755"/>
    <w:rsid w:val="0B625EA6"/>
    <w:rsid w:val="0B627CE2"/>
    <w:rsid w:val="0B6345EF"/>
    <w:rsid w:val="0B6536B9"/>
    <w:rsid w:val="0B654DDB"/>
    <w:rsid w:val="0B666E10"/>
    <w:rsid w:val="0B6811F2"/>
    <w:rsid w:val="0B690DD8"/>
    <w:rsid w:val="0B6B2C82"/>
    <w:rsid w:val="0B6B3F5C"/>
    <w:rsid w:val="0B6C2EE2"/>
    <w:rsid w:val="0B6C3D25"/>
    <w:rsid w:val="0B6D64CD"/>
    <w:rsid w:val="0B6E4EF9"/>
    <w:rsid w:val="0B6E66CD"/>
    <w:rsid w:val="0B6F784B"/>
    <w:rsid w:val="0B705763"/>
    <w:rsid w:val="0B712875"/>
    <w:rsid w:val="0B71799D"/>
    <w:rsid w:val="0B746670"/>
    <w:rsid w:val="0B75257A"/>
    <w:rsid w:val="0B760861"/>
    <w:rsid w:val="0B774E72"/>
    <w:rsid w:val="0B780C6D"/>
    <w:rsid w:val="0B786E8E"/>
    <w:rsid w:val="0B794487"/>
    <w:rsid w:val="0B7944BC"/>
    <w:rsid w:val="0B7A3D63"/>
    <w:rsid w:val="0B7B6BAE"/>
    <w:rsid w:val="0B7E530C"/>
    <w:rsid w:val="0B7F09BE"/>
    <w:rsid w:val="0B7F38E6"/>
    <w:rsid w:val="0B830EC4"/>
    <w:rsid w:val="0B85430F"/>
    <w:rsid w:val="0B87033B"/>
    <w:rsid w:val="0B893809"/>
    <w:rsid w:val="0B8B6B03"/>
    <w:rsid w:val="0B8F4273"/>
    <w:rsid w:val="0B8F4F5D"/>
    <w:rsid w:val="0B940475"/>
    <w:rsid w:val="0B95575D"/>
    <w:rsid w:val="0B957E4D"/>
    <w:rsid w:val="0B96344A"/>
    <w:rsid w:val="0B976104"/>
    <w:rsid w:val="0B980EAB"/>
    <w:rsid w:val="0B9821C0"/>
    <w:rsid w:val="0B9903B9"/>
    <w:rsid w:val="0B99305A"/>
    <w:rsid w:val="0B9D07B4"/>
    <w:rsid w:val="0B9D2064"/>
    <w:rsid w:val="0B9E0FD3"/>
    <w:rsid w:val="0BA022FD"/>
    <w:rsid w:val="0BA95A08"/>
    <w:rsid w:val="0BAA7610"/>
    <w:rsid w:val="0BAE0A80"/>
    <w:rsid w:val="0BB152B6"/>
    <w:rsid w:val="0BB23E68"/>
    <w:rsid w:val="0BB31DEA"/>
    <w:rsid w:val="0BB53362"/>
    <w:rsid w:val="0BB62AA6"/>
    <w:rsid w:val="0BB6548E"/>
    <w:rsid w:val="0BB9293E"/>
    <w:rsid w:val="0BBB0FE0"/>
    <w:rsid w:val="0BC057E5"/>
    <w:rsid w:val="0BC074D8"/>
    <w:rsid w:val="0BC53D26"/>
    <w:rsid w:val="0BC64926"/>
    <w:rsid w:val="0BC84738"/>
    <w:rsid w:val="0BCD3699"/>
    <w:rsid w:val="0BCE1291"/>
    <w:rsid w:val="0BCE4A5E"/>
    <w:rsid w:val="0BCF736E"/>
    <w:rsid w:val="0BD0213D"/>
    <w:rsid w:val="0BD20311"/>
    <w:rsid w:val="0BD42D4D"/>
    <w:rsid w:val="0BD566B9"/>
    <w:rsid w:val="0BD62100"/>
    <w:rsid w:val="0BD621E4"/>
    <w:rsid w:val="0BD6537E"/>
    <w:rsid w:val="0BD7517C"/>
    <w:rsid w:val="0BD84F46"/>
    <w:rsid w:val="0BD92A33"/>
    <w:rsid w:val="0BD9578C"/>
    <w:rsid w:val="0BDB7E27"/>
    <w:rsid w:val="0BDD5403"/>
    <w:rsid w:val="0BDD6D32"/>
    <w:rsid w:val="0BDE0006"/>
    <w:rsid w:val="0BDE6C99"/>
    <w:rsid w:val="0BDF41F2"/>
    <w:rsid w:val="0BE0204F"/>
    <w:rsid w:val="0BE1672F"/>
    <w:rsid w:val="0BE21744"/>
    <w:rsid w:val="0BE308C2"/>
    <w:rsid w:val="0BE427AE"/>
    <w:rsid w:val="0BE432A8"/>
    <w:rsid w:val="0BE4601A"/>
    <w:rsid w:val="0BE75BAD"/>
    <w:rsid w:val="0BEB27F4"/>
    <w:rsid w:val="0BEB4A2C"/>
    <w:rsid w:val="0BEB7F0F"/>
    <w:rsid w:val="0BEC08E9"/>
    <w:rsid w:val="0BEC5480"/>
    <w:rsid w:val="0BED1662"/>
    <w:rsid w:val="0BEF7CF0"/>
    <w:rsid w:val="0BF105CC"/>
    <w:rsid w:val="0BF42666"/>
    <w:rsid w:val="0BF43FE5"/>
    <w:rsid w:val="0BF63B33"/>
    <w:rsid w:val="0BF65B52"/>
    <w:rsid w:val="0BF72C70"/>
    <w:rsid w:val="0BF743C8"/>
    <w:rsid w:val="0BF80617"/>
    <w:rsid w:val="0BFB4036"/>
    <w:rsid w:val="0BFC3530"/>
    <w:rsid w:val="0C0046BB"/>
    <w:rsid w:val="0C01157E"/>
    <w:rsid w:val="0C04425C"/>
    <w:rsid w:val="0C0767A7"/>
    <w:rsid w:val="0C083468"/>
    <w:rsid w:val="0C096003"/>
    <w:rsid w:val="0C0D7FAF"/>
    <w:rsid w:val="0C0E7E67"/>
    <w:rsid w:val="0C0F2978"/>
    <w:rsid w:val="0C11657B"/>
    <w:rsid w:val="0C14222A"/>
    <w:rsid w:val="0C142C3E"/>
    <w:rsid w:val="0C14370A"/>
    <w:rsid w:val="0C164922"/>
    <w:rsid w:val="0C175442"/>
    <w:rsid w:val="0C1856B3"/>
    <w:rsid w:val="0C1A3457"/>
    <w:rsid w:val="0C1B079C"/>
    <w:rsid w:val="0C1C6E21"/>
    <w:rsid w:val="0C1D6D65"/>
    <w:rsid w:val="0C253F17"/>
    <w:rsid w:val="0C2E4035"/>
    <w:rsid w:val="0C3241C3"/>
    <w:rsid w:val="0C330DE3"/>
    <w:rsid w:val="0C3610E9"/>
    <w:rsid w:val="0C374179"/>
    <w:rsid w:val="0C3A2D16"/>
    <w:rsid w:val="0C3A625B"/>
    <w:rsid w:val="0C3D43C3"/>
    <w:rsid w:val="0C3F21A8"/>
    <w:rsid w:val="0C414D21"/>
    <w:rsid w:val="0C43239A"/>
    <w:rsid w:val="0C46628C"/>
    <w:rsid w:val="0C4727A7"/>
    <w:rsid w:val="0C4813DC"/>
    <w:rsid w:val="0C4831DE"/>
    <w:rsid w:val="0C4C04AD"/>
    <w:rsid w:val="0C4E5216"/>
    <w:rsid w:val="0C5162F6"/>
    <w:rsid w:val="0C560E9A"/>
    <w:rsid w:val="0C566062"/>
    <w:rsid w:val="0C5710C0"/>
    <w:rsid w:val="0C5722AE"/>
    <w:rsid w:val="0C59747C"/>
    <w:rsid w:val="0C5B1DB2"/>
    <w:rsid w:val="0C5E2234"/>
    <w:rsid w:val="0C66797B"/>
    <w:rsid w:val="0C67120D"/>
    <w:rsid w:val="0C69207C"/>
    <w:rsid w:val="0C6A4AB2"/>
    <w:rsid w:val="0C6B5383"/>
    <w:rsid w:val="0C6D5714"/>
    <w:rsid w:val="0C722A5C"/>
    <w:rsid w:val="0C723186"/>
    <w:rsid w:val="0C730D33"/>
    <w:rsid w:val="0C75384C"/>
    <w:rsid w:val="0C77462C"/>
    <w:rsid w:val="0C7A3234"/>
    <w:rsid w:val="0C7B00A3"/>
    <w:rsid w:val="0C7E5126"/>
    <w:rsid w:val="0C801DEB"/>
    <w:rsid w:val="0C814CDB"/>
    <w:rsid w:val="0C816B55"/>
    <w:rsid w:val="0C824055"/>
    <w:rsid w:val="0C857752"/>
    <w:rsid w:val="0C8903A7"/>
    <w:rsid w:val="0C893647"/>
    <w:rsid w:val="0C8A2D27"/>
    <w:rsid w:val="0C8C0814"/>
    <w:rsid w:val="0C8E5DFE"/>
    <w:rsid w:val="0C8F3306"/>
    <w:rsid w:val="0C906402"/>
    <w:rsid w:val="0C936DB0"/>
    <w:rsid w:val="0C941282"/>
    <w:rsid w:val="0C9524D4"/>
    <w:rsid w:val="0C954B93"/>
    <w:rsid w:val="0C961BEB"/>
    <w:rsid w:val="0C9748A3"/>
    <w:rsid w:val="0C9A0B59"/>
    <w:rsid w:val="0C9A7345"/>
    <w:rsid w:val="0C9E1F73"/>
    <w:rsid w:val="0CA34EAC"/>
    <w:rsid w:val="0CA62198"/>
    <w:rsid w:val="0CA73F1C"/>
    <w:rsid w:val="0CA750B6"/>
    <w:rsid w:val="0CAB49B5"/>
    <w:rsid w:val="0CAB746B"/>
    <w:rsid w:val="0CAC0518"/>
    <w:rsid w:val="0CAE38E3"/>
    <w:rsid w:val="0CB54E3E"/>
    <w:rsid w:val="0CB551D4"/>
    <w:rsid w:val="0CB61068"/>
    <w:rsid w:val="0CB675A0"/>
    <w:rsid w:val="0CB90CB7"/>
    <w:rsid w:val="0CB93097"/>
    <w:rsid w:val="0CBA4C39"/>
    <w:rsid w:val="0CC41FFF"/>
    <w:rsid w:val="0CC436F5"/>
    <w:rsid w:val="0CC730F4"/>
    <w:rsid w:val="0CCF27BA"/>
    <w:rsid w:val="0CD004B8"/>
    <w:rsid w:val="0CD47213"/>
    <w:rsid w:val="0CD52F7A"/>
    <w:rsid w:val="0CD67617"/>
    <w:rsid w:val="0CD95084"/>
    <w:rsid w:val="0CDA5907"/>
    <w:rsid w:val="0CE61F3A"/>
    <w:rsid w:val="0CE71E08"/>
    <w:rsid w:val="0CE95344"/>
    <w:rsid w:val="0CE9734A"/>
    <w:rsid w:val="0CEE3486"/>
    <w:rsid w:val="0CF01DF2"/>
    <w:rsid w:val="0CF316CF"/>
    <w:rsid w:val="0CF446E1"/>
    <w:rsid w:val="0CF57824"/>
    <w:rsid w:val="0CF57E59"/>
    <w:rsid w:val="0CFA4739"/>
    <w:rsid w:val="0CFA7AE6"/>
    <w:rsid w:val="0CFB3685"/>
    <w:rsid w:val="0CFC0A7C"/>
    <w:rsid w:val="0CFE24E5"/>
    <w:rsid w:val="0CFE5CC5"/>
    <w:rsid w:val="0CFF01EB"/>
    <w:rsid w:val="0D033E1B"/>
    <w:rsid w:val="0D034E53"/>
    <w:rsid w:val="0D046622"/>
    <w:rsid w:val="0D063F04"/>
    <w:rsid w:val="0D075DDE"/>
    <w:rsid w:val="0D0B1840"/>
    <w:rsid w:val="0D126236"/>
    <w:rsid w:val="0D131000"/>
    <w:rsid w:val="0D151353"/>
    <w:rsid w:val="0D181253"/>
    <w:rsid w:val="0D19385B"/>
    <w:rsid w:val="0D1C34DA"/>
    <w:rsid w:val="0D1D32A2"/>
    <w:rsid w:val="0D1F5E7A"/>
    <w:rsid w:val="0D220F6A"/>
    <w:rsid w:val="0D273D95"/>
    <w:rsid w:val="0D273E92"/>
    <w:rsid w:val="0D2A66E4"/>
    <w:rsid w:val="0D2A69C4"/>
    <w:rsid w:val="0D2A70F6"/>
    <w:rsid w:val="0D2B1241"/>
    <w:rsid w:val="0D2C3376"/>
    <w:rsid w:val="0D2F1533"/>
    <w:rsid w:val="0D303B4C"/>
    <w:rsid w:val="0D3301CA"/>
    <w:rsid w:val="0D35286E"/>
    <w:rsid w:val="0D376A8F"/>
    <w:rsid w:val="0D3872D0"/>
    <w:rsid w:val="0D387C66"/>
    <w:rsid w:val="0D387DF4"/>
    <w:rsid w:val="0D3966BB"/>
    <w:rsid w:val="0D3A453D"/>
    <w:rsid w:val="0D3E1DB4"/>
    <w:rsid w:val="0D3F2B2C"/>
    <w:rsid w:val="0D3F4752"/>
    <w:rsid w:val="0D41233F"/>
    <w:rsid w:val="0D42752E"/>
    <w:rsid w:val="0D436684"/>
    <w:rsid w:val="0D437682"/>
    <w:rsid w:val="0D4A54DB"/>
    <w:rsid w:val="0D4D4624"/>
    <w:rsid w:val="0D52294D"/>
    <w:rsid w:val="0D5500DC"/>
    <w:rsid w:val="0D563EA8"/>
    <w:rsid w:val="0D581C05"/>
    <w:rsid w:val="0D597F25"/>
    <w:rsid w:val="0D5C4AF6"/>
    <w:rsid w:val="0D5D6DB6"/>
    <w:rsid w:val="0D5E7221"/>
    <w:rsid w:val="0D5F2263"/>
    <w:rsid w:val="0D5F7CD8"/>
    <w:rsid w:val="0D656B44"/>
    <w:rsid w:val="0D691A9F"/>
    <w:rsid w:val="0D696B6A"/>
    <w:rsid w:val="0D6A1D9C"/>
    <w:rsid w:val="0D6A6715"/>
    <w:rsid w:val="0D6E7ED0"/>
    <w:rsid w:val="0D731A61"/>
    <w:rsid w:val="0D7504E4"/>
    <w:rsid w:val="0D754370"/>
    <w:rsid w:val="0D774FDF"/>
    <w:rsid w:val="0D780EEC"/>
    <w:rsid w:val="0D7A07A1"/>
    <w:rsid w:val="0D7B6B0F"/>
    <w:rsid w:val="0D7C0F8A"/>
    <w:rsid w:val="0D7C7EF7"/>
    <w:rsid w:val="0D811096"/>
    <w:rsid w:val="0D813043"/>
    <w:rsid w:val="0D814B6B"/>
    <w:rsid w:val="0D824F4C"/>
    <w:rsid w:val="0D8257F2"/>
    <w:rsid w:val="0D852CF9"/>
    <w:rsid w:val="0D861DB8"/>
    <w:rsid w:val="0D8942CC"/>
    <w:rsid w:val="0D8A0EF5"/>
    <w:rsid w:val="0D8D24A3"/>
    <w:rsid w:val="0D8E70F9"/>
    <w:rsid w:val="0D902C86"/>
    <w:rsid w:val="0D920198"/>
    <w:rsid w:val="0D936404"/>
    <w:rsid w:val="0D9641ED"/>
    <w:rsid w:val="0D980B80"/>
    <w:rsid w:val="0D986531"/>
    <w:rsid w:val="0D990481"/>
    <w:rsid w:val="0D9B3AA9"/>
    <w:rsid w:val="0D9D11F5"/>
    <w:rsid w:val="0D9E79D6"/>
    <w:rsid w:val="0DA111D2"/>
    <w:rsid w:val="0DA26D3A"/>
    <w:rsid w:val="0DA419F1"/>
    <w:rsid w:val="0DA41F90"/>
    <w:rsid w:val="0DA43813"/>
    <w:rsid w:val="0DA51378"/>
    <w:rsid w:val="0DA51C79"/>
    <w:rsid w:val="0DA66DE9"/>
    <w:rsid w:val="0DA81FB8"/>
    <w:rsid w:val="0DAA2F2B"/>
    <w:rsid w:val="0DAC0409"/>
    <w:rsid w:val="0DAE07AD"/>
    <w:rsid w:val="0DB12B77"/>
    <w:rsid w:val="0DB17962"/>
    <w:rsid w:val="0DB23D93"/>
    <w:rsid w:val="0DB462A7"/>
    <w:rsid w:val="0DB46714"/>
    <w:rsid w:val="0DB5736E"/>
    <w:rsid w:val="0DB72524"/>
    <w:rsid w:val="0DB733BC"/>
    <w:rsid w:val="0DB830AD"/>
    <w:rsid w:val="0DBB3FC5"/>
    <w:rsid w:val="0DBC2218"/>
    <w:rsid w:val="0DBC5121"/>
    <w:rsid w:val="0DC05287"/>
    <w:rsid w:val="0DC24F9D"/>
    <w:rsid w:val="0DC4318F"/>
    <w:rsid w:val="0DC46948"/>
    <w:rsid w:val="0DC50BA8"/>
    <w:rsid w:val="0DC55ACE"/>
    <w:rsid w:val="0DC82C6D"/>
    <w:rsid w:val="0DC91A7C"/>
    <w:rsid w:val="0DC946B4"/>
    <w:rsid w:val="0DCE6B3D"/>
    <w:rsid w:val="0DCF1A99"/>
    <w:rsid w:val="0DD05298"/>
    <w:rsid w:val="0DD4107B"/>
    <w:rsid w:val="0DD42E86"/>
    <w:rsid w:val="0DD81034"/>
    <w:rsid w:val="0DD97EC4"/>
    <w:rsid w:val="0DDC7A13"/>
    <w:rsid w:val="0DE064BB"/>
    <w:rsid w:val="0DE12985"/>
    <w:rsid w:val="0DE44DC8"/>
    <w:rsid w:val="0DE46584"/>
    <w:rsid w:val="0DEA161E"/>
    <w:rsid w:val="0DEE0638"/>
    <w:rsid w:val="0DEE321D"/>
    <w:rsid w:val="0DF22A57"/>
    <w:rsid w:val="0DF3045A"/>
    <w:rsid w:val="0DF43829"/>
    <w:rsid w:val="0DF476D4"/>
    <w:rsid w:val="0DF5314A"/>
    <w:rsid w:val="0DF705E7"/>
    <w:rsid w:val="0DFF05FE"/>
    <w:rsid w:val="0E000498"/>
    <w:rsid w:val="0E005208"/>
    <w:rsid w:val="0E011B08"/>
    <w:rsid w:val="0E047D52"/>
    <w:rsid w:val="0E0539CC"/>
    <w:rsid w:val="0E062921"/>
    <w:rsid w:val="0E065336"/>
    <w:rsid w:val="0E066A3D"/>
    <w:rsid w:val="0E072569"/>
    <w:rsid w:val="0E072A0C"/>
    <w:rsid w:val="0E073A7F"/>
    <w:rsid w:val="0E084B26"/>
    <w:rsid w:val="0E0952F1"/>
    <w:rsid w:val="0E0A0929"/>
    <w:rsid w:val="0E0A5C87"/>
    <w:rsid w:val="0E0B30A4"/>
    <w:rsid w:val="0E0E7CC9"/>
    <w:rsid w:val="0E0F1E3C"/>
    <w:rsid w:val="0E0F3EF6"/>
    <w:rsid w:val="0E0F7BD0"/>
    <w:rsid w:val="0E105A65"/>
    <w:rsid w:val="0E112BC5"/>
    <w:rsid w:val="0E150D53"/>
    <w:rsid w:val="0E1706CD"/>
    <w:rsid w:val="0E181038"/>
    <w:rsid w:val="0E1A5D2B"/>
    <w:rsid w:val="0E1A7769"/>
    <w:rsid w:val="0E1B5BA6"/>
    <w:rsid w:val="0E1F50D3"/>
    <w:rsid w:val="0E210A31"/>
    <w:rsid w:val="0E254E34"/>
    <w:rsid w:val="0E256BC9"/>
    <w:rsid w:val="0E272D70"/>
    <w:rsid w:val="0E280F53"/>
    <w:rsid w:val="0E2850C8"/>
    <w:rsid w:val="0E29003F"/>
    <w:rsid w:val="0E2A1F43"/>
    <w:rsid w:val="0E2A2094"/>
    <w:rsid w:val="0E2B303B"/>
    <w:rsid w:val="0E2C5EE5"/>
    <w:rsid w:val="0E2D656A"/>
    <w:rsid w:val="0E2F15D4"/>
    <w:rsid w:val="0E31493F"/>
    <w:rsid w:val="0E325D0F"/>
    <w:rsid w:val="0E336658"/>
    <w:rsid w:val="0E337368"/>
    <w:rsid w:val="0E3410DB"/>
    <w:rsid w:val="0E345436"/>
    <w:rsid w:val="0E357686"/>
    <w:rsid w:val="0E371FDC"/>
    <w:rsid w:val="0E3857F4"/>
    <w:rsid w:val="0E394A98"/>
    <w:rsid w:val="0E3B6EB7"/>
    <w:rsid w:val="0E3B7CE2"/>
    <w:rsid w:val="0E3C52D2"/>
    <w:rsid w:val="0E3C550F"/>
    <w:rsid w:val="0E3C739F"/>
    <w:rsid w:val="0E407A15"/>
    <w:rsid w:val="0E4130B7"/>
    <w:rsid w:val="0E414873"/>
    <w:rsid w:val="0E417B1F"/>
    <w:rsid w:val="0E4276A5"/>
    <w:rsid w:val="0E4642F3"/>
    <w:rsid w:val="0E476CEB"/>
    <w:rsid w:val="0E495439"/>
    <w:rsid w:val="0E495FBB"/>
    <w:rsid w:val="0E4A611D"/>
    <w:rsid w:val="0E4B2334"/>
    <w:rsid w:val="0E4B6205"/>
    <w:rsid w:val="0E512114"/>
    <w:rsid w:val="0E512288"/>
    <w:rsid w:val="0E556E7E"/>
    <w:rsid w:val="0E566DEE"/>
    <w:rsid w:val="0E5A6A49"/>
    <w:rsid w:val="0E5B6EEE"/>
    <w:rsid w:val="0E5C33A6"/>
    <w:rsid w:val="0E5E536F"/>
    <w:rsid w:val="0E5F4600"/>
    <w:rsid w:val="0E6016A7"/>
    <w:rsid w:val="0E621A4E"/>
    <w:rsid w:val="0E632A96"/>
    <w:rsid w:val="0E65666B"/>
    <w:rsid w:val="0E672418"/>
    <w:rsid w:val="0E67512C"/>
    <w:rsid w:val="0E6C1682"/>
    <w:rsid w:val="0E6C3E09"/>
    <w:rsid w:val="0E6D1D6A"/>
    <w:rsid w:val="0E6D1E23"/>
    <w:rsid w:val="0E717D65"/>
    <w:rsid w:val="0E720529"/>
    <w:rsid w:val="0E726AF1"/>
    <w:rsid w:val="0E73559D"/>
    <w:rsid w:val="0E745967"/>
    <w:rsid w:val="0E755664"/>
    <w:rsid w:val="0E7561C4"/>
    <w:rsid w:val="0E777ADA"/>
    <w:rsid w:val="0E7C7288"/>
    <w:rsid w:val="0E7E3030"/>
    <w:rsid w:val="0E7E77CF"/>
    <w:rsid w:val="0E8002DA"/>
    <w:rsid w:val="0E8237EF"/>
    <w:rsid w:val="0E82393E"/>
    <w:rsid w:val="0E825CB2"/>
    <w:rsid w:val="0E8477F9"/>
    <w:rsid w:val="0E8545F2"/>
    <w:rsid w:val="0E86322E"/>
    <w:rsid w:val="0E863395"/>
    <w:rsid w:val="0E8666F6"/>
    <w:rsid w:val="0E887158"/>
    <w:rsid w:val="0E8D2096"/>
    <w:rsid w:val="0E8E0FBD"/>
    <w:rsid w:val="0E8E3E34"/>
    <w:rsid w:val="0E91218B"/>
    <w:rsid w:val="0E922C88"/>
    <w:rsid w:val="0E936939"/>
    <w:rsid w:val="0E946F1D"/>
    <w:rsid w:val="0E983A5E"/>
    <w:rsid w:val="0E9D4EEC"/>
    <w:rsid w:val="0E9E0AE6"/>
    <w:rsid w:val="0EA030A5"/>
    <w:rsid w:val="0EA41D84"/>
    <w:rsid w:val="0EA527D5"/>
    <w:rsid w:val="0EA837F9"/>
    <w:rsid w:val="0EA85F37"/>
    <w:rsid w:val="0EA923ED"/>
    <w:rsid w:val="0EAA5459"/>
    <w:rsid w:val="0EAB3DF0"/>
    <w:rsid w:val="0EB073B8"/>
    <w:rsid w:val="0EB10DA8"/>
    <w:rsid w:val="0EB14D22"/>
    <w:rsid w:val="0EB91FDB"/>
    <w:rsid w:val="0EB9505D"/>
    <w:rsid w:val="0EB97F66"/>
    <w:rsid w:val="0EBC23F8"/>
    <w:rsid w:val="0EBC558B"/>
    <w:rsid w:val="0EBD49D2"/>
    <w:rsid w:val="0EC269AF"/>
    <w:rsid w:val="0EC319AB"/>
    <w:rsid w:val="0EC35604"/>
    <w:rsid w:val="0EC438F8"/>
    <w:rsid w:val="0EC54CAA"/>
    <w:rsid w:val="0EC721FD"/>
    <w:rsid w:val="0EC746A8"/>
    <w:rsid w:val="0EC75A91"/>
    <w:rsid w:val="0EC92438"/>
    <w:rsid w:val="0EC97BD5"/>
    <w:rsid w:val="0ECA2750"/>
    <w:rsid w:val="0ECD41D8"/>
    <w:rsid w:val="0ECF4E5F"/>
    <w:rsid w:val="0ED11248"/>
    <w:rsid w:val="0ED30FFD"/>
    <w:rsid w:val="0ED31CDE"/>
    <w:rsid w:val="0ED37279"/>
    <w:rsid w:val="0ED9091F"/>
    <w:rsid w:val="0EDB1BEB"/>
    <w:rsid w:val="0EE67EDB"/>
    <w:rsid w:val="0EE722DA"/>
    <w:rsid w:val="0EE864AC"/>
    <w:rsid w:val="0EEB1ADE"/>
    <w:rsid w:val="0EEC4A4A"/>
    <w:rsid w:val="0EF004DF"/>
    <w:rsid w:val="0EF06A2D"/>
    <w:rsid w:val="0EF35A92"/>
    <w:rsid w:val="0EF56768"/>
    <w:rsid w:val="0EF81ED0"/>
    <w:rsid w:val="0EF930A1"/>
    <w:rsid w:val="0EF9437D"/>
    <w:rsid w:val="0EFC4A9A"/>
    <w:rsid w:val="0EFD41C0"/>
    <w:rsid w:val="0EFD510A"/>
    <w:rsid w:val="0F000A7E"/>
    <w:rsid w:val="0F04064E"/>
    <w:rsid w:val="0F052CCE"/>
    <w:rsid w:val="0F0575D1"/>
    <w:rsid w:val="0F060045"/>
    <w:rsid w:val="0F06607E"/>
    <w:rsid w:val="0F084B72"/>
    <w:rsid w:val="0F0A5274"/>
    <w:rsid w:val="0F0B1191"/>
    <w:rsid w:val="0F0E1C28"/>
    <w:rsid w:val="0F0E277C"/>
    <w:rsid w:val="0F120BC1"/>
    <w:rsid w:val="0F1267A8"/>
    <w:rsid w:val="0F146D7C"/>
    <w:rsid w:val="0F157ECC"/>
    <w:rsid w:val="0F1670E3"/>
    <w:rsid w:val="0F176600"/>
    <w:rsid w:val="0F190B9E"/>
    <w:rsid w:val="0F194262"/>
    <w:rsid w:val="0F1A47DB"/>
    <w:rsid w:val="0F1A5A26"/>
    <w:rsid w:val="0F1B2FC6"/>
    <w:rsid w:val="0F1D6DD7"/>
    <w:rsid w:val="0F202B78"/>
    <w:rsid w:val="0F2332CE"/>
    <w:rsid w:val="0F243DD6"/>
    <w:rsid w:val="0F256825"/>
    <w:rsid w:val="0F270642"/>
    <w:rsid w:val="0F2A69C6"/>
    <w:rsid w:val="0F2E0416"/>
    <w:rsid w:val="0F2E0D1B"/>
    <w:rsid w:val="0F2E33B2"/>
    <w:rsid w:val="0F305983"/>
    <w:rsid w:val="0F31203E"/>
    <w:rsid w:val="0F3263D2"/>
    <w:rsid w:val="0F350BCA"/>
    <w:rsid w:val="0F3A2122"/>
    <w:rsid w:val="0F3A51CB"/>
    <w:rsid w:val="0F3A63D3"/>
    <w:rsid w:val="0F3B7683"/>
    <w:rsid w:val="0F3C474C"/>
    <w:rsid w:val="0F3D6556"/>
    <w:rsid w:val="0F4611A9"/>
    <w:rsid w:val="0F48100B"/>
    <w:rsid w:val="0F4B5F49"/>
    <w:rsid w:val="0F4D0F8C"/>
    <w:rsid w:val="0F4E4BDD"/>
    <w:rsid w:val="0F502EAD"/>
    <w:rsid w:val="0F506BEC"/>
    <w:rsid w:val="0F515F2C"/>
    <w:rsid w:val="0F5409E5"/>
    <w:rsid w:val="0F554A9E"/>
    <w:rsid w:val="0F5B2E43"/>
    <w:rsid w:val="0F5C247F"/>
    <w:rsid w:val="0F5D7C0D"/>
    <w:rsid w:val="0F5F1E23"/>
    <w:rsid w:val="0F646523"/>
    <w:rsid w:val="0F654CCB"/>
    <w:rsid w:val="0F661EC9"/>
    <w:rsid w:val="0F662CA5"/>
    <w:rsid w:val="0F6742AF"/>
    <w:rsid w:val="0F677414"/>
    <w:rsid w:val="0F6926C1"/>
    <w:rsid w:val="0F6A08D7"/>
    <w:rsid w:val="0F6D519C"/>
    <w:rsid w:val="0F6F63EB"/>
    <w:rsid w:val="0F6F77A1"/>
    <w:rsid w:val="0F705356"/>
    <w:rsid w:val="0F7215F7"/>
    <w:rsid w:val="0F732280"/>
    <w:rsid w:val="0F7426DE"/>
    <w:rsid w:val="0F743DC3"/>
    <w:rsid w:val="0F744FE7"/>
    <w:rsid w:val="0F750A33"/>
    <w:rsid w:val="0F7520EC"/>
    <w:rsid w:val="0F7525DF"/>
    <w:rsid w:val="0F76155F"/>
    <w:rsid w:val="0F763DA9"/>
    <w:rsid w:val="0F7D26D7"/>
    <w:rsid w:val="0F7E6FC2"/>
    <w:rsid w:val="0F831A20"/>
    <w:rsid w:val="0F8414D1"/>
    <w:rsid w:val="0F86196B"/>
    <w:rsid w:val="0F870E3D"/>
    <w:rsid w:val="0F875F00"/>
    <w:rsid w:val="0F881C54"/>
    <w:rsid w:val="0F8B60D2"/>
    <w:rsid w:val="0F8C6D2E"/>
    <w:rsid w:val="0F8D66CD"/>
    <w:rsid w:val="0F8E2959"/>
    <w:rsid w:val="0F8F5574"/>
    <w:rsid w:val="0F9170B1"/>
    <w:rsid w:val="0F9172C6"/>
    <w:rsid w:val="0F923F40"/>
    <w:rsid w:val="0F9405C6"/>
    <w:rsid w:val="0F963E70"/>
    <w:rsid w:val="0F9849F5"/>
    <w:rsid w:val="0F9F69BF"/>
    <w:rsid w:val="0FA101F2"/>
    <w:rsid w:val="0FA16234"/>
    <w:rsid w:val="0FA425E7"/>
    <w:rsid w:val="0FA44E77"/>
    <w:rsid w:val="0FA573D0"/>
    <w:rsid w:val="0FA72E7E"/>
    <w:rsid w:val="0FA87501"/>
    <w:rsid w:val="0FA8778C"/>
    <w:rsid w:val="0FA87FA0"/>
    <w:rsid w:val="0FAF158F"/>
    <w:rsid w:val="0FB05A5C"/>
    <w:rsid w:val="0FB241DB"/>
    <w:rsid w:val="0FB26CE5"/>
    <w:rsid w:val="0FB34975"/>
    <w:rsid w:val="0FB92FA7"/>
    <w:rsid w:val="0FB9638B"/>
    <w:rsid w:val="0FBA4FC5"/>
    <w:rsid w:val="0FBC3149"/>
    <w:rsid w:val="0FBC5E1D"/>
    <w:rsid w:val="0FBF2ED2"/>
    <w:rsid w:val="0FC04AF3"/>
    <w:rsid w:val="0FC0633A"/>
    <w:rsid w:val="0FC4257A"/>
    <w:rsid w:val="0FC84DA8"/>
    <w:rsid w:val="0FC91A26"/>
    <w:rsid w:val="0FCA0835"/>
    <w:rsid w:val="0FCC6C56"/>
    <w:rsid w:val="0FCE0621"/>
    <w:rsid w:val="0FD23A53"/>
    <w:rsid w:val="0FD738A5"/>
    <w:rsid w:val="0FDA613B"/>
    <w:rsid w:val="0FDB352B"/>
    <w:rsid w:val="0FDC4380"/>
    <w:rsid w:val="0FDD213A"/>
    <w:rsid w:val="0FE11B92"/>
    <w:rsid w:val="0FE34533"/>
    <w:rsid w:val="0FE95335"/>
    <w:rsid w:val="0FEA382A"/>
    <w:rsid w:val="0FEA6CE4"/>
    <w:rsid w:val="0FEB1A9C"/>
    <w:rsid w:val="0FEB24C0"/>
    <w:rsid w:val="0FEB4C3E"/>
    <w:rsid w:val="0FEE2736"/>
    <w:rsid w:val="0FF108E7"/>
    <w:rsid w:val="0FF17409"/>
    <w:rsid w:val="0FF25FCC"/>
    <w:rsid w:val="0FF33DBE"/>
    <w:rsid w:val="0FF46F65"/>
    <w:rsid w:val="0FF5394F"/>
    <w:rsid w:val="0FF55FD4"/>
    <w:rsid w:val="0FF67613"/>
    <w:rsid w:val="0FF813BC"/>
    <w:rsid w:val="0FFB1D4E"/>
    <w:rsid w:val="0FFB3A94"/>
    <w:rsid w:val="0FFD0528"/>
    <w:rsid w:val="0FFD2D45"/>
    <w:rsid w:val="0FFE6D91"/>
    <w:rsid w:val="0FFF3520"/>
    <w:rsid w:val="10000483"/>
    <w:rsid w:val="10000D36"/>
    <w:rsid w:val="10004B89"/>
    <w:rsid w:val="10081B67"/>
    <w:rsid w:val="10125E5C"/>
    <w:rsid w:val="1013573D"/>
    <w:rsid w:val="10141EE7"/>
    <w:rsid w:val="10196EC7"/>
    <w:rsid w:val="101C1265"/>
    <w:rsid w:val="101F72FE"/>
    <w:rsid w:val="10215FFF"/>
    <w:rsid w:val="102170E2"/>
    <w:rsid w:val="1021753E"/>
    <w:rsid w:val="102331B9"/>
    <w:rsid w:val="10234BBC"/>
    <w:rsid w:val="10240E56"/>
    <w:rsid w:val="10276A57"/>
    <w:rsid w:val="102A36C5"/>
    <w:rsid w:val="102A7A18"/>
    <w:rsid w:val="1031275F"/>
    <w:rsid w:val="10316173"/>
    <w:rsid w:val="10381376"/>
    <w:rsid w:val="103935D5"/>
    <w:rsid w:val="10394575"/>
    <w:rsid w:val="103955A4"/>
    <w:rsid w:val="103969C6"/>
    <w:rsid w:val="103E0C87"/>
    <w:rsid w:val="103F4D28"/>
    <w:rsid w:val="10434F09"/>
    <w:rsid w:val="10460331"/>
    <w:rsid w:val="104835B1"/>
    <w:rsid w:val="104903A5"/>
    <w:rsid w:val="104B701F"/>
    <w:rsid w:val="104D0EB0"/>
    <w:rsid w:val="104D159B"/>
    <w:rsid w:val="104F71C8"/>
    <w:rsid w:val="105246B9"/>
    <w:rsid w:val="10533F22"/>
    <w:rsid w:val="10571044"/>
    <w:rsid w:val="10571656"/>
    <w:rsid w:val="105753DE"/>
    <w:rsid w:val="10582FD8"/>
    <w:rsid w:val="10585DD4"/>
    <w:rsid w:val="10592ADD"/>
    <w:rsid w:val="105A56EA"/>
    <w:rsid w:val="105E1DBE"/>
    <w:rsid w:val="106139F1"/>
    <w:rsid w:val="10627D1A"/>
    <w:rsid w:val="10630B31"/>
    <w:rsid w:val="106433B9"/>
    <w:rsid w:val="106458A7"/>
    <w:rsid w:val="10664D86"/>
    <w:rsid w:val="10672B93"/>
    <w:rsid w:val="10680E8B"/>
    <w:rsid w:val="1069746E"/>
    <w:rsid w:val="106A71BD"/>
    <w:rsid w:val="106B64B2"/>
    <w:rsid w:val="106E5EAB"/>
    <w:rsid w:val="1070419B"/>
    <w:rsid w:val="107142A4"/>
    <w:rsid w:val="107146BD"/>
    <w:rsid w:val="107414FF"/>
    <w:rsid w:val="10763BF0"/>
    <w:rsid w:val="107723C1"/>
    <w:rsid w:val="107764A8"/>
    <w:rsid w:val="10787F9D"/>
    <w:rsid w:val="107D78B1"/>
    <w:rsid w:val="107E0F68"/>
    <w:rsid w:val="108009FB"/>
    <w:rsid w:val="108129FA"/>
    <w:rsid w:val="10812B0E"/>
    <w:rsid w:val="10813F9F"/>
    <w:rsid w:val="1082699E"/>
    <w:rsid w:val="10843F48"/>
    <w:rsid w:val="10855084"/>
    <w:rsid w:val="10877B28"/>
    <w:rsid w:val="10890893"/>
    <w:rsid w:val="108C7E07"/>
    <w:rsid w:val="108E0801"/>
    <w:rsid w:val="108F26B3"/>
    <w:rsid w:val="108F4968"/>
    <w:rsid w:val="10904C55"/>
    <w:rsid w:val="10923F5F"/>
    <w:rsid w:val="10952CF2"/>
    <w:rsid w:val="1097632E"/>
    <w:rsid w:val="10987027"/>
    <w:rsid w:val="109906A0"/>
    <w:rsid w:val="109B3839"/>
    <w:rsid w:val="109C01EE"/>
    <w:rsid w:val="109C77B2"/>
    <w:rsid w:val="109D4D78"/>
    <w:rsid w:val="109E3FE8"/>
    <w:rsid w:val="109F6DDB"/>
    <w:rsid w:val="10A2401A"/>
    <w:rsid w:val="10A257FE"/>
    <w:rsid w:val="10A44BF0"/>
    <w:rsid w:val="10A651C7"/>
    <w:rsid w:val="10A65D19"/>
    <w:rsid w:val="10A668B6"/>
    <w:rsid w:val="10A73F68"/>
    <w:rsid w:val="10A8287C"/>
    <w:rsid w:val="10A862F3"/>
    <w:rsid w:val="10A96BBD"/>
    <w:rsid w:val="10AA0AC6"/>
    <w:rsid w:val="10AA699C"/>
    <w:rsid w:val="10AB0607"/>
    <w:rsid w:val="10AC3D68"/>
    <w:rsid w:val="10AF05FA"/>
    <w:rsid w:val="10AF465A"/>
    <w:rsid w:val="10AF7E27"/>
    <w:rsid w:val="10B37BDA"/>
    <w:rsid w:val="10B61952"/>
    <w:rsid w:val="10B62A4D"/>
    <w:rsid w:val="10B66961"/>
    <w:rsid w:val="10B76A31"/>
    <w:rsid w:val="10BA3192"/>
    <w:rsid w:val="10BA4A4B"/>
    <w:rsid w:val="10BA6B92"/>
    <w:rsid w:val="10BB62C0"/>
    <w:rsid w:val="10C4571A"/>
    <w:rsid w:val="10C723BB"/>
    <w:rsid w:val="10C83232"/>
    <w:rsid w:val="10CA00BA"/>
    <w:rsid w:val="10CA5316"/>
    <w:rsid w:val="10CA794D"/>
    <w:rsid w:val="10CD125B"/>
    <w:rsid w:val="10CD651F"/>
    <w:rsid w:val="10D409EF"/>
    <w:rsid w:val="10D41810"/>
    <w:rsid w:val="10D43D3A"/>
    <w:rsid w:val="10D544EB"/>
    <w:rsid w:val="10D57D14"/>
    <w:rsid w:val="10DA1445"/>
    <w:rsid w:val="10DD1B50"/>
    <w:rsid w:val="10DF1AC8"/>
    <w:rsid w:val="10E21FF6"/>
    <w:rsid w:val="10E322C3"/>
    <w:rsid w:val="10E43B23"/>
    <w:rsid w:val="10E662B0"/>
    <w:rsid w:val="10E749A7"/>
    <w:rsid w:val="10E80D11"/>
    <w:rsid w:val="10E864D0"/>
    <w:rsid w:val="10EA6063"/>
    <w:rsid w:val="10EB1CD2"/>
    <w:rsid w:val="10EC0092"/>
    <w:rsid w:val="10ED0CFE"/>
    <w:rsid w:val="10EE30B9"/>
    <w:rsid w:val="10F042A3"/>
    <w:rsid w:val="10F17E7C"/>
    <w:rsid w:val="10F52170"/>
    <w:rsid w:val="10F53356"/>
    <w:rsid w:val="10F730DC"/>
    <w:rsid w:val="10F8274D"/>
    <w:rsid w:val="10FD356D"/>
    <w:rsid w:val="11023075"/>
    <w:rsid w:val="11026FC8"/>
    <w:rsid w:val="11073081"/>
    <w:rsid w:val="110934A8"/>
    <w:rsid w:val="110A0AC3"/>
    <w:rsid w:val="110C7AE4"/>
    <w:rsid w:val="110D4C9A"/>
    <w:rsid w:val="11103E4A"/>
    <w:rsid w:val="11116713"/>
    <w:rsid w:val="11161DE4"/>
    <w:rsid w:val="11170BEE"/>
    <w:rsid w:val="1118543F"/>
    <w:rsid w:val="111A4119"/>
    <w:rsid w:val="111A7F8A"/>
    <w:rsid w:val="111C4346"/>
    <w:rsid w:val="112015B7"/>
    <w:rsid w:val="112117FD"/>
    <w:rsid w:val="11215AE4"/>
    <w:rsid w:val="1123152F"/>
    <w:rsid w:val="112405F1"/>
    <w:rsid w:val="11241867"/>
    <w:rsid w:val="1126642B"/>
    <w:rsid w:val="11277561"/>
    <w:rsid w:val="11285803"/>
    <w:rsid w:val="112B5CB2"/>
    <w:rsid w:val="112F2622"/>
    <w:rsid w:val="112F2F00"/>
    <w:rsid w:val="11303671"/>
    <w:rsid w:val="113070C2"/>
    <w:rsid w:val="11333D8A"/>
    <w:rsid w:val="1134416D"/>
    <w:rsid w:val="113A4787"/>
    <w:rsid w:val="113B2EEE"/>
    <w:rsid w:val="113D0F6E"/>
    <w:rsid w:val="113D597B"/>
    <w:rsid w:val="113E0F2D"/>
    <w:rsid w:val="113E2A60"/>
    <w:rsid w:val="113F7C5E"/>
    <w:rsid w:val="114055E1"/>
    <w:rsid w:val="1141162E"/>
    <w:rsid w:val="11415AE1"/>
    <w:rsid w:val="1141665B"/>
    <w:rsid w:val="114517C6"/>
    <w:rsid w:val="11486E6E"/>
    <w:rsid w:val="11490446"/>
    <w:rsid w:val="114D24F2"/>
    <w:rsid w:val="114D660B"/>
    <w:rsid w:val="1150455F"/>
    <w:rsid w:val="115337D5"/>
    <w:rsid w:val="1158488D"/>
    <w:rsid w:val="115A6F15"/>
    <w:rsid w:val="115F409E"/>
    <w:rsid w:val="115F7D7C"/>
    <w:rsid w:val="116024DF"/>
    <w:rsid w:val="11624542"/>
    <w:rsid w:val="1165188E"/>
    <w:rsid w:val="116874C9"/>
    <w:rsid w:val="116B3067"/>
    <w:rsid w:val="116F28BA"/>
    <w:rsid w:val="11703D47"/>
    <w:rsid w:val="11706210"/>
    <w:rsid w:val="1171379D"/>
    <w:rsid w:val="11724882"/>
    <w:rsid w:val="11726AE4"/>
    <w:rsid w:val="11752EAC"/>
    <w:rsid w:val="11761D18"/>
    <w:rsid w:val="11774F49"/>
    <w:rsid w:val="11796102"/>
    <w:rsid w:val="117A0D14"/>
    <w:rsid w:val="117B2131"/>
    <w:rsid w:val="117D1342"/>
    <w:rsid w:val="117D6E21"/>
    <w:rsid w:val="11815EE4"/>
    <w:rsid w:val="1183165E"/>
    <w:rsid w:val="11866BEC"/>
    <w:rsid w:val="118761EF"/>
    <w:rsid w:val="1189558E"/>
    <w:rsid w:val="118E7A13"/>
    <w:rsid w:val="118F27BE"/>
    <w:rsid w:val="119012E4"/>
    <w:rsid w:val="11930479"/>
    <w:rsid w:val="11930A17"/>
    <w:rsid w:val="119538EF"/>
    <w:rsid w:val="11962895"/>
    <w:rsid w:val="11964D63"/>
    <w:rsid w:val="11974400"/>
    <w:rsid w:val="1199538F"/>
    <w:rsid w:val="11997B75"/>
    <w:rsid w:val="119B51D2"/>
    <w:rsid w:val="119C03F9"/>
    <w:rsid w:val="11A01D3E"/>
    <w:rsid w:val="11A15665"/>
    <w:rsid w:val="11A1569D"/>
    <w:rsid w:val="11A2726A"/>
    <w:rsid w:val="11A318AF"/>
    <w:rsid w:val="11A457B9"/>
    <w:rsid w:val="11A53AC7"/>
    <w:rsid w:val="11A706EB"/>
    <w:rsid w:val="11A7672F"/>
    <w:rsid w:val="11A77FCB"/>
    <w:rsid w:val="11A845EF"/>
    <w:rsid w:val="11A86BB8"/>
    <w:rsid w:val="11A87D23"/>
    <w:rsid w:val="11AA5CC8"/>
    <w:rsid w:val="11AB1FE9"/>
    <w:rsid w:val="11AB488D"/>
    <w:rsid w:val="11AD7123"/>
    <w:rsid w:val="11B06214"/>
    <w:rsid w:val="11B10A93"/>
    <w:rsid w:val="11B10D28"/>
    <w:rsid w:val="11B2100B"/>
    <w:rsid w:val="11B45E2F"/>
    <w:rsid w:val="11B53539"/>
    <w:rsid w:val="11B5783E"/>
    <w:rsid w:val="11B65105"/>
    <w:rsid w:val="11B77A2C"/>
    <w:rsid w:val="11B8322D"/>
    <w:rsid w:val="11B92CE2"/>
    <w:rsid w:val="11BC2A60"/>
    <w:rsid w:val="11BC7E97"/>
    <w:rsid w:val="11BD1927"/>
    <w:rsid w:val="11BD77D7"/>
    <w:rsid w:val="11BF53F6"/>
    <w:rsid w:val="11C230F3"/>
    <w:rsid w:val="11C35B5D"/>
    <w:rsid w:val="11C56D59"/>
    <w:rsid w:val="11C6190B"/>
    <w:rsid w:val="11C6316F"/>
    <w:rsid w:val="11C764BA"/>
    <w:rsid w:val="11C76ADB"/>
    <w:rsid w:val="11C86CA6"/>
    <w:rsid w:val="11CD184C"/>
    <w:rsid w:val="11CF33F8"/>
    <w:rsid w:val="11D05E00"/>
    <w:rsid w:val="11D06F8E"/>
    <w:rsid w:val="11D75301"/>
    <w:rsid w:val="11DA6D8B"/>
    <w:rsid w:val="11E25980"/>
    <w:rsid w:val="11E3264B"/>
    <w:rsid w:val="11E73467"/>
    <w:rsid w:val="11E87351"/>
    <w:rsid w:val="11ED0286"/>
    <w:rsid w:val="11EE31D1"/>
    <w:rsid w:val="11EF7C8D"/>
    <w:rsid w:val="11F02F28"/>
    <w:rsid w:val="11F325B0"/>
    <w:rsid w:val="11F614F2"/>
    <w:rsid w:val="11F856A7"/>
    <w:rsid w:val="11F961BF"/>
    <w:rsid w:val="11FA0B12"/>
    <w:rsid w:val="11FB5F94"/>
    <w:rsid w:val="11FC536A"/>
    <w:rsid w:val="11FD1102"/>
    <w:rsid w:val="120023B2"/>
    <w:rsid w:val="12003940"/>
    <w:rsid w:val="1201191D"/>
    <w:rsid w:val="12017413"/>
    <w:rsid w:val="12027026"/>
    <w:rsid w:val="12050BE4"/>
    <w:rsid w:val="12065DB3"/>
    <w:rsid w:val="120A5072"/>
    <w:rsid w:val="120A621D"/>
    <w:rsid w:val="120C44F2"/>
    <w:rsid w:val="120C6DD9"/>
    <w:rsid w:val="120D07BC"/>
    <w:rsid w:val="120F75DC"/>
    <w:rsid w:val="121032D5"/>
    <w:rsid w:val="12107031"/>
    <w:rsid w:val="12134ED4"/>
    <w:rsid w:val="12142D33"/>
    <w:rsid w:val="12147EBA"/>
    <w:rsid w:val="12187DF8"/>
    <w:rsid w:val="1219041D"/>
    <w:rsid w:val="121A5551"/>
    <w:rsid w:val="121C2079"/>
    <w:rsid w:val="121C30E8"/>
    <w:rsid w:val="121F1248"/>
    <w:rsid w:val="122506BC"/>
    <w:rsid w:val="122521EB"/>
    <w:rsid w:val="122632A2"/>
    <w:rsid w:val="12264FBE"/>
    <w:rsid w:val="12267FBE"/>
    <w:rsid w:val="12272CC8"/>
    <w:rsid w:val="12273727"/>
    <w:rsid w:val="122872D4"/>
    <w:rsid w:val="1229059E"/>
    <w:rsid w:val="122A340A"/>
    <w:rsid w:val="122C3665"/>
    <w:rsid w:val="122C7B9C"/>
    <w:rsid w:val="122D67EC"/>
    <w:rsid w:val="122D78E7"/>
    <w:rsid w:val="12341026"/>
    <w:rsid w:val="12341228"/>
    <w:rsid w:val="12367BC6"/>
    <w:rsid w:val="123A1302"/>
    <w:rsid w:val="123B1F34"/>
    <w:rsid w:val="123B76CE"/>
    <w:rsid w:val="123B7FAA"/>
    <w:rsid w:val="123C4A25"/>
    <w:rsid w:val="123E4C07"/>
    <w:rsid w:val="123F7F31"/>
    <w:rsid w:val="12411F83"/>
    <w:rsid w:val="124200C7"/>
    <w:rsid w:val="124412D5"/>
    <w:rsid w:val="12443A8C"/>
    <w:rsid w:val="12444A60"/>
    <w:rsid w:val="12454B12"/>
    <w:rsid w:val="12460E35"/>
    <w:rsid w:val="124643F5"/>
    <w:rsid w:val="12484198"/>
    <w:rsid w:val="12495D46"/>
    <w:rsid w:val="124A48AB"/>
    <w:rsid w:val="124B7B8C"/>
    <w:rsid w:val="124E676D"/>
    <w:rsid w:val="124F4B17"/>
    <w:rsid w:val="124F4D1D"/>
    <w:rsid w:val="12595162"/>
    <w:rsid w:val="125B796D"/>
    <w:rsid w:val="125F052A"/>
    <w:rsid w:val="12601C0B"/>
    <w:rsid w:val="126048FA"/>
    <w:rsid w:val="126076CA"/>
    <w:rsid w:val="126445C0"/>
    <w:rsid w:val="1264673B"/>
    <w:rsid w:val="126931CA"/>
    <w:rsid w:val="12693528"/>
    <w:rsid w:val="126B23EA"/>
    <w:rsid w:val="126F51D1"/>
    <w:rsid w:val="127220DA"/>
    <w:rsid w:val="1274172C"/>
    <w:rsid w:val="12761208"/>
    <w:rsid w:val="127915F1"/>
    <w:rsid w:val="127A7203"/>
    <w:rsid w:val="127B2103"/>
    <w:rsid w:val="1281231E"/>
    <w:rsid w:val="128170A7"/>
    <w:rsid w:val="128251BE"/>
    <w:rsid w:val="12826D7E"/>
    <w:rsid w:val="128365B7"/>
    <w:rsid w:val="12861A04"/>
    <w:rsid w:val="12862E84"/>
    <w:rsid w:val="12893055"/>
    <w:rsid w:val="12894D46"/>
    <w:rsid w:val="128A4CE9"/>
    <w:rsid w:val="128B1FF9"/>
    <w:rsid w:val="128C2CB2"/>
    <w:rsid w:val="128C4924"/>
    <w:rsid w:val="12920554"/>
    <w:rsid w:val="12921AE4"/>
    <w:rsid w:val="12950A32"/>
    <w:rsid w:val="12964BE5"/>
    <w:rsid w:val="129923DF"/>
    <w:rsid w:val="129A4377"/>
    <w:rsid w:val="129B036A"/>
    <w:rsid w:val="129D2218"/>
    <w:rsid w:val="12A30736"/>
    <w:rsid w:val="12A51A89"/>
    <w:rsid w:val="12A67B7D"/>
    <w:rsid w:val="12A83FDB"/>
    <w:rsid w:val="12AA08EF"/>
    <w:rsid w:val="12AB2D42"/>
    <w:rsid w:val="12AB4376"/>
    <w:rsid w:val="12AD2D6B"/>
    <w:rsid w:val="12AD301A"/>
    <w:rsid w:val="12AE04E8"/>
    <w:rsid w:val="12AF204A"/>
    <w:rsid w:val="12B0249C"/>
    <w:rsid w:val="12B120C0"/>
    <w:rsid w:val="12B361A1"/>
    <w:rsid w:val="12B47863"/>
    <w:rsid w:val="12B75420"/>
    <w:rsid w:val="12B85BF3"/>
    <w:rsid w:val="12BA446A"/>
    <w:rsid w:val="12BC7EE2"/>
    <w:rsid w:val="12C1193E"/>
    <w:rsid w:val="12C23356"/>
    <w:rsid w:val="12C72B38"/>
    <w:rsid w:val="12C7486E"/>
    <w:rsid w:val="12CA096B"/>
    <w:rsid w:val="12CB07FC"/>
    <w:rsid w:val="12D0101E"/>
    <w:rsid w:val="12D515F7"/>
    <w:rsid w:val="12D947D8"/>
    <w:rsid w:val="12DB617E"/>
    <w:rsid w:val="12DC3446"/>
    <w:rsid w:val="12DF225F"/>
    <w:rsid w:val="12DF5D56"/>
    <w:rsid w:val="12E123BE"/>
    <w:rsid w:val="12E24D9A"/>
    <w:rsid w:val="12E30A47"/>
    <w:rsid w:val="12E74B98"/>
    <w:rsid w:val="12EA759A"/>
    <w:rsid w:val="12EC470E"/>
    <w:rsid w:val="12EF516E"/>
    <w:rsid w:val="12F14615"/>
    <w:rsid w:val="12F2491C"/>
    <w:rsid w:val="12F34F2E"/>
    <w:rsid w:val="12F5314D"/>
    <w:rsid w:val="12F575F1"/>
    <w:rsid w:val="12F70833"/>
    <w:rsid w:val="12F75440"/>
    <w:rsid w:val="12F86136"/>
    <w:rsid w:val="12F91CF8"/>
    <w:rsid w:val="12F9667A"/>
    <w:rsid w:val="12FA4008"/>
    <w:rsid w:val="12FA5D16"/>
    <w:rsid w:val="12FC2B77"/>
    <w:rsid w:val="12FD5899"/>
    <w:rsid w:val="12FF7E96"/>
    <w:rsid w:val="130066B9"/>
    <w:rsid w:val="13016EA3"/>
    <w:rsid w:val="130302AF"/>
    <w:rsid w:val="1303653A"/>
    <w:rsid w:val="130525A4"/>
    <w:rsid w:val="13066A19"/>
    <w:rsid w:val="130D3E9E"/>
    <w:rsid w:val="130D46BC"/>
    <w:rsid w:val="130D4B3B"/>
    <w:rsid w:val="130F50B9"/>
    <w:rsid w:val="13101291"/>
    <w:rsid w:val="131131A7"/>
    <w:rsid w:val="13113C8E"/>
    <w:rsid w:val="13117A21"/>
    <w:rsid w:val="131274DD"/>
    <w:rsid w:val="13135223"/>
    <w:rsid w:val="13146CA5"/>
    <w:rsid w:val="13152322"/>
    <w:rsid w:val="131D4843"/>
    <w:rsid w:val="132247DF"/>
    <w:rsid w:val="13225E02"/>
    <w:rsid w:val="1324507C"/>
    <w:rsid w:val="13262D39"/>
    <w:rsid w:val="132771B9"/>
    <w:rsid w:val="132C75CF"/>
    <w:rsid w:val="132D16A3"/>
    <w:rsid w:val="132F23BA"/>
    <w:rsid w:val="132F56DE"/>
    <w:rsid w:val="133152AA"/>
    <w:rsid w:val="133279EF"/>
    <w:rsid w:val="13375E06"/>
    <w:rsid w:val="133847D5"/>
    <w:rsid w:val="133926E4"/>
    <w:rsid w:val="133A51A0"/>
    <w:rsid w:val="133C3BD5"/>
    <w:rsid w:val="133E0008"/>
    <w:rsid w:val="134011E2"/>
    <w:rsid w:val="13420E03"/>
    <w:rsid w:val="134353D8"/>
    <w:rsid w:val="13450CD3"/>
    <w:rsid w:val="13463ED1"/>
    <w:rsid w:val="13480FF2"/>
    <w:rsid w:val="134840EF"/>
    <w:rsid w:val="134A732A"/>
    <w:rsid w:val="134B581B"/>
    <w:rsid w:val="134F7247"/>
    <w:rsid w:val="13517BD6"/>
    <w:rsid w:val="13533D90"/>
    <w:rsid w:val="13534AC8"/>
    <w:rsid w:val="1355467E"/>
    <w:rsid w:val="135B2E8F"/>
    <w:rsid w:val="135B7B0D"/>
    <w:rsid w:val="135C725D"/>
    <w:rsid w:val="135D01C9"/>
    <w:rsid w:val="13620758"/>
    <w:rsid w:val="1364488C"/>
    <w:rsid w:val="136458FA"/>
    <w:rsid w:val="1368723A"/>
    <w:rsid w:val="136C10F0"/>
    <w:rsid w:val="136D48DF"/>
    <w:rsid w:val="136E7917"/>
    <w:rsid w:val="136F219F"/>
    <w:rsid w:val="136F3ADB"/>
    <w:rsid w:val="136F6CAD"/>
    <w:rsid w:val="1370263C"/>
    <w:rsid w:val="13713E2C"/>
    <w:rsid w:val="137651EB"/>
    <w:rsid w:val="137705C6"/>
    <w:rsid w:val="137805E5"/>
    <w:rsid w:val="13791DD3"/>
    <w:rsid w:val="137D35C1"/>
    <w:rsid w:val="13801DD2"/>
    <w:rsid w:val="138117D5"/>
    <w:rsid w:val="1381270B"/>
    <w:rsid w:val="13813A81"/>
    <w:rsid w:val="13836284"/>
    <w:rsid w:val="13852484"/>
    <w:rsid w:val="1386664A"/>
    <w:rsid w:val="138A129A"/>
    <w:rsid w:val="138B60DD"/>
    <w:rsid w:val="138C759E"/>
    <w:rsid w:val="13930CEE"/>
    <w:rsid w:val="139352BD"/>
    <w:rsid w:val="139646BC"/>
    <w:rsid w:val="139952C6"/>
    <w:rsid w:val="139A2876"/>
    <w:rsid w:val="139A2C6D"/>
    <w:rsid w:val="13A03C68"/>
    <w:rsid w:val="13A4012F"/>
    <w:rsid w:val="13A42834"/>
    <w:rsid w:val="13A77AFC"/>
    <w:rsid w:val="13AA59BE"/>
    <w:rsid w:val="13AC06DC"/>
    <w:rsid w:val="13AC60B0"/>
    <w:rsid w:val="13AD4645"/>
    <w:rsid w:val="13AE648A"/>
    <w:rsid w:val="13AF053D"/>
    <w:rsid w:val="13AF1648"/>
    <w:rsid w:val="13B00F93"/>
    <w:rsid w:val="13B11F3A"/>
    <w:rsid w:val="13B46733"/>
    <w:rsid w:val="13B47154"/>
    <w:rsid w:val="13B51584"/>
    <w:rsid w:val="13B63DA8"/>
    <w:rsid w:val="13B72754"/>
    <w:rsid w:val="13B8636E"/>
    <w:rsid w:val="13B96FBD"/>
    <w:rsid w:val="13BB1844"/>
    <w:rsid w:val="13BD156D"/>
    <w:rsid w:val="13C532C5"/>
    <w:rsid w:val="13C77DC1"/>
    <w:rsid w:val="13C81D0F"/>
    <w:rsid w:val="13C87190"/>
    <w:rsid w:val="13C97699"/>
    <w:rsid w:val="13CC6717"/>
    <w:rsid w:val="13D30258"/>
    <w:rsid w:val="13D7628C"/>
    <w:rsid w:val="13D8185F"/>
    <w:rsid w:val="13D83B8D"/>
    <w:rsid w:val="13D9672E"/>
    <w:rsid w:val="13DA29C5"/>
    <w:rsid w:val="13DA41DE"/>
    <w:rsid w:val="13DB0E75"/>
    <w:rsid w:val="13DC68EC"/>
    <w:rsid w:val="13DD4EF1"/>
    <w:rsid w:val="13E15D94"/>
    <w:rsid w:val="13E23A11"/>
    <w:rsid w:val="13E33153"/>
    <w:rsid w:val="13E35300"/>
    <w:rsid w:val="13E45879"/>
    <w:rsid w:val="13E53EF0"/>
    <w:rsid w:val="13E66493"/>
    <w:rsid w:val="13E70207"/>
    <w:rsid w:val="13EE4373"/>
    <w:rsid w:val="13EF3AC1"/>
    <w:rsid w:val="13F03766"/>
    <w:rsid w:val="13F72D41"/>
    <w:rsid w:val="13F74015"/>
    <w:rsid w:val="13F927CE"/>
    <w:rsid w:val="14011907"/>
    <w:rsid w:val="1402759F"/>
    <w:rsid w:val="14036B4C"/>
    <w:rsid w:val="14053456"/>
    <w:rsid w:val="14070844"/>
    <w:rsid w:val="14092F3D"/>
    <w:rsid w:val="140A6A0E"/>
    <w:rsid w:val="14101538"/>
    <w:rsid w:val="14115E5F"/>
    <w:rsid w:val="1414071A"/>
    <w:rsid w:val="14146E3A"/>
    <w:rsid w:val="1417192A"/>
    <w:rsid w:val="14171972"/>
    <w:rsid w:val="14172C5A"/>
    <w:rsid w:val="14174896"/>
    <w:rsid w:val="141B73FD"/>
    <w:rsid w:val="141C5DC6"/>
    <w:rsid w:val="141E7B40"/>
    <w:rsid w:val="14202CAC"/>
    <w:rsid w:val="14207E7A"/>
    <w:rsid w:val="142133E2"/>
    <w:rsid w:val="14222BA8"/>
    <w:rsid w:val="14280FAB"/>
    <w:rsid w:val="142B1981"/>
    <w:rsid w:val="142C5DBA"/>
    <w:rsid w:val="142C6965"/>
    <w:rsid w:val="1430404A"/>
    <w:rsid w:val="14304615"/>
    <w:rsid w:val="143202C6"/>
    <w:rsid w:val="14346A5F"/>
    <w:rsid w:val="14370575"/>
    <w:rsid w:val="14376670"/>
    <w:rsid w:val="14380D59"/>
    <w:rsid w:val="143A597D"/>
    <w:rsid w:val="143C363A"/>
    <w:rsid w:val="143D0647"/>
    <w:rsid w:val="143D0D48"/>
    <w:rsid w:val="143D5DA6"/>
    <w:rsid w:val="143E1946"/>
    <w:rsid w:val="144118B8"/>
    <w:rsid w:val="14414BE6"/>
    <w:rsid w:val="14414C75"/>
    <w:rsid w:val="14417879"/>
    <w:rsid w:val="14423631"/>
    <w:rsid w:val="144401F6"/>
    <w:rsid w:val="14483D9C"/>
    <w:rsid w:val="144962E5"/>
    <w:rsid w:val="14497C8D"/>
    <w:rsid w:val="144C5168"/>
    <w:rsid w:val="144F3A26"/>
    <w:rsid w:val="14527DC0"/>
    <w:rsid w:val="14532D99"/>
    <w:rsid w:val="14547A8A"/>
    <w:rsid w:val="14555D6C"/>
    <w:rsid w:val="145B3830"/>
    <w:rsid w:val="145B690D"/>
    <w:rsid w:val="145D139A"/>
    <w:rsid w:val="145D230B"/>
    <w:rsid w:val="145F00C7"/>
    <w:rsid w:val="1461718B"/>
    <w:rsid w:val="14644ED7"/>
    <w:rsid w:val="146565B9"/>
    <w:rsid w:val="14673AE4"/>
    <w:rsid w:val="14694369"/>
    <w:rsid w:val="146A072F"/>
    <w:rsid w:val="146A6D05"/>
    <w:rsid w:val="146B0CDC"/>
    <w:rsid w:val="146F0502"/>
    <w:rsid w:val="146F6C6A"/>
    <w:rsid w:val="14737483"/>
    <w:rsid w:val="14750E36"/>
    <w:rsid w:val="147653E3"/>
    <w:rsid w:val="147904AF"/>
    <w:rsid w:val="147B3989"/>
    <w:rsid w:val="147C10BF"/>
    <w:rsid w:val="147C7696"/>
    <w:rsid w:val="14830062"/>
    <w:rsid w:val="1483621E"/>
    <w:rsid w:val="14877F1E"/>
    <w:rsid w:val="14884EAB"/>
    <w:rsid w:val="1489186F"/>
    <w:rsid w:val="148E054D"/>
    <w:rsid w:val="148E588D"/>
    <w:rsid w:val="14910013"/>
    <w:rsid w:val="1491526D"/>
    <w:rsid w:val="14921227"/>
    <w:rsid w:val="149426A0"/>
    <w:rsid w:val="1496114F"/>
    <w:rsid w:val="149637B4"/>
    <w:rsid w:val="1498302C"/>
    <w:rsid w:val="149837D2"/>
    <w:rsid w:val="149E2CBA"/>
    <w:rsid w:val="149E7CE3"/>
    <w:rsid w:val="14A270CA"/>
    <w:rsid w:val="14A44FE9"/>
    <w:rsid w:val="14A45F73"/>
    <w:rsid w:val="14A60EF1"/>
    <w:rsid w:val="14A65087"/>
    <w:rsid w:val="14A77E02"/>
    <w:rsid w:val="14A81C40"/>
    <w:rsid w:val="14A82B77"/>
    <w:rsid w:val="14AC1D8F"/>
    <w:rsid w:val="14AC7784"/>
    <w:rsid w:val="14AD6F9E"/>
    <w:rsid w:val="14AF7872"/>
    <w:rsid w:val="14B411DC"/>
    <w:rsid w:val="14B43E6B"/>
    <w:rsid w:val="14B64AB3"/>
    <w:rsid w:val="14B653FD"/>
    <w:rsid w:val="14B918F2"/>
    <w:rsid w:val="14B91B79"/>
    <w:rsid w:val="14BB10D7"/>
    <w:rsid w:val="14BC4287"/>
    <w:rsid w:val="14BC498D"/>
    <w:rsid w:val="14BC7B90"/>
    <w:rsid w:val="14C135EA"/>
    <w:rsid w:val="14C356B8"/>
    <w:rsid w:val="14C44DAB"/>
    <w:rsid w:val="14C5554E"/>
    <w:rsid w:val="14CA64D0"/>
    <w:rsid w:val="14CD5835"/>
    <w:rsid w:val="14CE1020"/>
    <w:rsid w:val="14CE24D2"/>
    <w:rsid w:val="14D0384F"/>
    <w:rsid w:val="14D25D49"/>
    <w:rsid w:val="14D32811"/>
    <w:rsid w:val="14D44A39"/>
    <w:rsid w:val="14D54C33"/>
    <w:rsid w:val="14D76AF4"/>
    <w:rsid w:val="14D82624"/>
    <w:rsid w:val="14D8281A"/>
    <w:rsid w:val="14DA427F"/>
    <w:rsid w:val="14DD229C"/>
    <w:rsid w:val="14DF0E57"/>
    <w:rsid w:val="14E53013"/>
    <w:rsid w:val="14E573C0"/>
    <w:rsid w:val="14E60D5E"/>
    <w:rsid w:val="14E76F8B"/>
    <w:rsid w:val="14E8295F"/>
    <w:rsid w:val="14E82BC1"/>
    <w:rsid w:val="14EC2312"/>
    <w:rsid w:val="14EE547D"/>
    <w:rsid w:val="14EE6E91"/>
    <w:rsid w:val="14F15355"/>
    <w:rsid w:val="14F16F72"/>
    <w:rsid w:val="14F628BA"/>
    <w:rsid w:val="14F77DE9"/>
    <w:rsid w:val="14F874D5"/>
    <w:rsid w:val="14F91865"/>
    <w:rsid w:val="15010A52"/>
    <w:rsid w:val="15020591"/>
    <w:rsid w:val="15020DEA"/>
    <w:rsid w:val="150324C8"/>
    <w:rsid w:val="15047ED6"/>
    <w:rsid w:val="15050645"/>
    <w:rsid w:val="15063493"/>
    <w:rsid w:val="1508118E"/>
    <w:rsid w:val="150845DC"/>
    <w:rsid w:val="150A2607"/>
    <w:rsid w:val="150A5138"/>
    <w:rsid w:val="15106C08"/>
    <w:rsid w:val="15135243"/>
    <w:rsid w:val="151352EE"/>
    <w:rsid w:val="15146F25"/>
    <w:rsid w:val="15167216"/>
    <w:rsid w:val="15185137"/>
    <w:rsid w:val="15186FCD"/>
    <w:rsid w:val="151A53CB"/>
    <w:rsid w:val="151C5DC6"/>
    <w:rsid w:val="151D490F"/>
    <w:rsid w:val="151D5DED"/>
    <w:rsid w:val="151D7246"/>
    <w:rsid w:val="151F42C3"/>
    <w:rsid w:val="151F71C1"/>
    <w:rsid w:val="15214454"/>
    <w:rsid w:val="15225738"/>
    <w:rsid w:val="1525310A"/>
    <w:rsid w:val="15264002"/>
    <w:rsid w:val="15284087"/>
    <w:rsid w:val="15287032"/>
    <w:rsid w:val="15293421"/>
    <w:rsid w:val="152B0938"/>
    <w:rsid w:val="152B3440"/>
    <w:rsid w:val="1531042F"/>
    <w:rsid w:val="153220B8"/>
    <w:rsid w:val="15327742"/>
    <w:rsid w:val="153323FC"/>
    <w:rsid w:val="15373541"/>
    <w:rsid w:val="153A440B"/>
    <w:rsid w:val="153B1C1D"/>
    <w:rsid w:val="153E1DDF"/>
    <w:rsid w:val="154125B7"/>
    <w:rsid w:val="154638D7"/>
    <w:rsid w:val="154D017E"/>
    <w:rsid w:val="154F770C"/>
    <w:rsid w:val="155043AA"/>
    <w:rsid w:val="1550561A"/>
    <w:rsid w:val="1553049C"/>
    <w:rsid w:val="15545567"/>
    <w:rsid w:val="155625A2"/>
    <w:rsid w:val="15567369"/>
    <w:rsid w:val="15567A15"/>
    <w:rsid w:val="15573C7E"/>
    <w:rsid w:val="15592661"/>
    <w:rsid w:val="155942A9"/>
    <w:rsid w:val="155A4038"/>
    <w:rsid w:val="155A6015"/>
    <w:rsid w:val="155B2294"/>
    <w:rsid w:val="156330ED"/>
    <w:rsid w:val="15664F72"/>
    <w:rsid w:val="15692859"/>
    <w:rsid w:val="156A7687"/>
    <w:rsid w:val="15700C6F"/>
    <w:rsid w:val="157077F1"/>
    <w:rsid w:val="15712C0F"/>
    <w:rsid w:val="15742BEB"/>
    <w:rsid w:val="157B557E"/>
    <w:rsid w:val="157C5154"/>
    <w:rsid w:val="15804558"/>
    <w:rsid w:val="1581008F"/>
    <w:rsid w:val="15810186"/>
    <w:rsid w:val="15840559"/>
    <w:rsid w:val="15842C1E"/>
    <w:rsid w:val="15850D8D"/>
    <w:rsid w:val="15862362"/>
    <w:rsid w:val="158630C9"/>
    <w:rsid w:val="158713F8"/>
    <w:rsid w:val="15877743"/>
    <w:rsid w:val="15886AE9"/>
    <w:rsid w:val="158925E4"/>
    <w:rsid w:val="1589657A"/>
    <w:rsid w:val="158A1972"/>
    <w:rsid w:val="158E29B5"/>
    <w:rsid w:val="159370C6"/>
    <w:rsid w:val="15954CF8"/>
    <w:rsid w:val="159755CE"/>
    <w:rsid w:val="1598045E"/>
    <w:rsid w:val="159B1895"/>
    <w:rsid w:val="159B5595"/>
    <w:rsid w:val="159D65C1"/>
    <w:rsid w:val="15A334D3"/>
    <w:rsid w:val="15A41F40"/>
    <w:rsid w:val="15A50338"/>
    <w:rsid w:val="15A60036"/>
    <w:rsid w:val="15A769D4"/>
    <w:rsid w:val="15AF780B"/>
    <w:rsid w:val="15B2225B"/>
    <w:rsid w:val="15B24BB0"/>
    <w:rsid w:val="15B47E59"/>
    <w:rsid w:val="15B54368"/>
    <w:rsid w:val="15B60013"/>
    <w:rsid w:val="15B6205C"/>
    <w:rsid w:val="15B74659"/>
    <w:rsid w:val="15B855E4"/>
    <w:rsid w:val="15BA21D9"/>
    <w:rsid w:val="15BA6F5C"/>
    <w:rsid w:val="15BC44EC"/>
    <w:rsid w:val="15BD3E3C"/>
    <w:rsid w:val="15BE28E1"/>
    <w:rsid w:val="15C027F6"/>
    <w:rsid w:val="15C452DD"/>
    <w:rsid w:val="15C95A36"/>
    <w:rsid w:val="15CA4E64"/>
    <w:rsid w:val="15CB356D"/>
    <w:rsid w:val="15CC437E"/>
    <w:rsid w:val="15CC45DC"/>
    <w:rsid w:val="15D01A0B"/>
    <w:rsid w:val="15D05131"/>
    <w:rsid w:val="15D05902"/>
    <w:rsid w:val="15D31D22"/>
    <w:rsid w:val="15D3217E"/>
    <w:rsid w:val="15D541B6"/>
    <w:rsid w:val="15D63B76"/>
    <w:rsid w:val="15D81871"/>
    <w:rsid w:val="15DA4049"/>
    <w:rsid w:val="15DB6F77"/>
    <w:rsid w:val="15DC1AB2"/>
    <w:rsid w:val="15DE6397"/>
    <w:rsid w:val="15DE63AA"/>
    <w:rsid w:val="15DF55E1"/>
    <w:rsid w:val="15E032C6"/>
    <w:rsid w:val="15E042F6"/>
    <w:rsid w:val="15E3618D"/>
    <w:rsid w:val="15EC3668"/>
    <w:rsid w:val="15EE3866"/>
    <w:rsid w:val="15F12E98"/>
    <w:rsid w:val="15F12F55"/>
    <w:rsid w:val="15F13F41"/>
    <w:rsid w:val="15F27AA0"/>
    <w:rsid w:val="15F778F6"/>
    <w:rsid w:val="15F80211"/>
    <w:rsid w:val="15FE20A1"/>
    <w:rsid w:val="16011E3D"/>
    <w:rsid w:val="16056208"/>
    <w:rsid w:val="16096781"/>
    <w:rsid w:val="160E3070"/>
    <w:rsid w:val="160E6CBD"/>
    <w:rsid w:val="16104A4C"/>
    <w:rsid w:val="1613092E"/>
    <w:rsid w:val="16144156"/>
    <w:rsid w:val="16150E50"/>
    <w:rsid w:val="16164587"/>
    <w:rsid w:val="161B21E9"/>
    <w:rsid w:val="161F0048"/>
    <w:rsid w:val="162041BD"/>
    <w:rsid w:val="162308E0"/>
    <w:rsid w:val="16245154"/>
    <w:rsid w:val="1625518F"/>
    <w:rsid w:val="16256B54"/>
    <w:rsid w:val="16267319"/>
    <w:rsid w:val="16284B99"/>
    <w:rsid w:val="162B0D6E"/>
    <w:rsid w:val="162B2482"/>
    <w:rsid w:val="162B6C26"/>
    <w:rsid w:val="162E1C6E"/>
    <w:rsid w:val="162F6305"/>
    <w:rsid w:val="163603DA"/>
    <w:rsid w:val="163716FE"/>
    <w:rsid w:val="16375BF1"/>
    <w:rsid w:val="163F5C45"/>
    <w:rsid w:val="16455A40"/>
    <w:rsid w:val="164D1244"/>
    <w:rsid w:val="16506CEC"/>
    <w:rsid w:val="16543B8D"/>
    <w:rsid w:val="1655347C"/>
    <w:rsid w:val="165A57FB"/>
    <w:rsid w:val="165B4EBC"/>
    <w:rsid w:val="165C04E7"/>
    <w:rsid w:val="165D325D"/>
    <w:rsid w:val="165E471E"/>
    <w:rsid w:val="165F5B4A"/>
    <w:rsid w:val="165F6EFF"/>
    <w:rsid w:val="16600619"/>
    <w:rsid w:val="16611917"/>
    <w:rsid w:val="16613D0F"/>
    <w:rsid w:val="16614967"/>
    <w:rsid w:val="166574D9"/>
    <w:rsid w:val="16663BCA"/>
    <w:rsid w:val="16673140"/>
    <w:rsid w:val="16697763"/>
    <w:rsid w:val="1669786C"/>
    <w:rsid w:val="166A6A16"/>
    <w:rsid w:val="166B4918"/>
    <w:rsid w:val="166C45D9"/>
    <w:rsid w:val="166E0353"/>
    <w:rsid w:val="166E43E7"/>
    <w:rsid w:val="166E5C78"/>
    <w:rsid w:val="1671353E"/>
    <w:rsid w:val="16720650"/>
    <w:rsid w:val="167309E4"/>
    <w:rsid w:val="167312D9"/>
    <w:rsid w:val="16734B57"/>
    <w:rsid w:val="16744797"/>
    <w:rsid w:val="16752114"/>
    <w:rsid w:val="16761E08"/>
    <w:rsid w:val="16763161"/>
    <w:rsid w:val="16776F0F"/>
    <w:rsid w:val="167A042D"/>
    <w:rsid w:val="167A7778"/>
    <w:rsid w:val="167C34BC"/>
    <w:rsid w:val="167D7405"/>
    <w:rsid w:val="167F34B8"/>
    <w:rsid w:val="167F3B49"/>
    <w:rsid w:val="1682246A"/>
    <w:rsid w:val="168245F9"/>
    <w:rsid w:val="16841785"/>
    <w:rsid w:val="16877E71"/>
    <w:rsid w:val="1688501A"/>
    <w:rsid w:val="168B0B60"/>
    <w:rsid w:val="168C1FD1"/>
    <w:rsid w:val="168F4323"/>
    <w:rsid w:val="168F72AB"/>
    <w:rsid w:val="16915416"/>
    <w:rsid w:val="169559D8"/>
    <w:rsid w:val="16957E8B"/>
    <w:rsid w:val="16967B0E"/>
    <w:rsid w:val="169B4370"/>
    <w:rsid w:val="169C3FC5"/>
    <w:rsid w:val="169D1A26"/>
    <w:rsid w:val="16A2372C"/>
    <w:rsid w:val="16A56377"/>
    <w:rsid w:val="16A75D15"/>
    <w:rsid w:val="16A96204"/>
    <w:rsid w:val="16AA0C83"/>
    <w:rsid w:val="16AB4652"/>
    <w:rsid w:val="16AC4A52"/>
    <w:rsid w:val="16B330CE"/>
    <w:rsid w:val="16B463E3"/>
    <w:rsid w:val="16B62842"/>
    <w:rsid w:val="16B65913"/>
    <w:rsid w:val="16B94D79"/>
    <w:rsid w:val="16BA1A29"/>
    <w:rsid w:val="16BB0CE8"/>
    <w:rsid w:val="16BB1EEB"/>
    <w:rsid w:val="16BB2495"/>
    <w:rsid w:val="16BD49FB"/>
    <w:rsid w:val="16BE25D7"/>
    <w:rsid w:val="16BE5840"/>
    <w:rsid w:val="16C066BB"/>
    <w:rsid w:val="16C252DF"/>
    <w:rsid w:val="16C26686"/>
    <w:rsid w:val="16C8581C"/>
    <w:rsid w:val="16C92CAA"/>
    <w:rsid w:val="16C9567B"/>
    <w:rsid w:val="16CB657C"/>
    <w:rsid w:val="16D10914"/>
    <w:rsid w:val="16D210BC"/>
    <w:rsid w:val="16D41933"/>
    <w:rsid w:val="16D46821"/>
    <w:rsid w:val="16D85870"/>
    <w:rsid w:val="16D87DAC"/>
    <w:rsid w:val="16D921F1"/>
    <w:rsid w:val="16D927F3"/>
    <w:rsid w:val="16DE3230"/>
    <w:rsid w:val="16E02CC8"/>
    <w:rsid w:val="16E10277"/>
    <w:rsid w:val="16E27739"/>
    <w:rsid w:val="16E3580A"/>
    <w:rsid w:val="16E50C76"/>
    <w:rsid w:val="16E5750D"/>
    <w:rsid w:val="16E61D36"/>
    <w:rsid w:val="16E74A37"/>
    <w:rsid w:val="16E91121"/>
    <w:rsid w:val="16EA14DF"/>
    <w:rsid w:val="16EB4D6A"/>
    <w:rsid w:val="16F00AF0"/>
    <w:rsid w:val="16F07DA0"/>
    <w:rsid w:val="16F1727F"/>
    <w:rsid w:val="16F438D7"/>
    <w:rsid w:val="16F5689E"/>
    <w:rsid w:val="16F61C98"/>
    <w:rsid w:val="16F66301"/>
    <w:rsid w:val="16F76772"/>
    <w:rsid w:val="16FB5A9E"/>
    <w:rsid w:val="16FC0673"/>
    <w:rsid w:val="16FC1A41"/>
    <w:rsid w:val="16FD722A"/>
    <w:rsid w:val="170352C2"/>
    <w:rsid w:val="17036801"/>
    <w:rsid w:val="170478CB"/>
    <w:rsid w:val="17051D3C"/>
    <w:rsid w:val="17090A5D"/>
    <w:rsid w:val="170F4C86"/>
    <w:rsid w:val="17120851"/>
    <w:rsid w:val="171701E7"/>
    <w:rsid w:val="171A64D2"/>
    <w:rsid w:val="171B2AA8"/>
    <w:rsid w:val="171D4DB0"/>
    <w:rsid w:val="171E3D86"/>
    <w:rsid w:val="171E55C4"/>
    <w:rsid w:val="172245C1"/>
    <w:rsid w:val="172260FB"/>
    <w:rsid w:val="17232A91"/>
    <w:rsid w:val="17234F15"/>
    <w:rsid w:val="172653F2"/>
    <w:rsid w:val="172910DA"/>
    <w:rsid w:val="172B19EA"/>
    <w:rsid w:val="172B53E2"/>
    <w:rsid w:val="172C4007"/>
    <w:rsid w:val="172D1CC8"/>
    <w:rsid w:val="172D729D"/>
    <w:rsid w:val="172E25ED"/>
    <w:rsid w:val="173147A2"/>
    <w:rsid w:val="17316695"/>
    <w:rsid w:val="17341DAD"/>
    <w:rsid w:val="173532A7"/>
    <w:rsid w:val="1735646E"/>
    <w:rsid w:val="1736078B"/>
    <w:rsid w:val="17377821"/>
    <w:rsid w:val="173A0913"/>
    <w:rsid w:val="173B2113"/>
    <w:rsid w:val="173C0CCE"/>
    <w:rsid w:val="173C24D1"/>
    <w:rsid w:val="173F2ECB"/>
    <w:rsid w:val="17410C22"/>
    <w:rsid w:val="17445787"/>
    <w:rsid w:val="17477ED3"/>
    <w:rsid w:val="17495C5D"/>
    <w:rsid w:val="174A72EF"/>
    <w:rsid w:val="174C0A8C"/>
    <w:rsid w:val="174C1D4D"/>
    <w:rsid w:val="174D0D2B"/>
    <w:rsid w:val="174E3CFC"/>
    <w:rsid w:val="174E62E8"/>
    <w:rsid w:val="17503276"/>
    <w:rsid w:val="17515B4A"/>
    <w:rsid w:val="175365E4"/>
    <w:rsid w:val="1755519F"/>
    <w:rsid w:val="175629C9"/>
    <w:rsid w:val="1758392E"/>
    <w:rsid w:val="175A63CC"/>
    <w:rsid w:val="176000AD"/>
    <w:rsid w:val="1761136F"/>
    <w:rsid w:val="176365C7"/>
    <w:rsid w:val="17683B48"/>
    <w:rsid w:val="17703475"/>
    <w:rsid w:val="17715A15"/>
    <w:rsid w:val="177208BE"/>
    <w:rsid w:val="17746ED8"/>
    <w:rsid w:val="177649C3"/>
    <w:rsid w:val="17767B79"/>
    <w:rsid w:val="177F5829"/>
    <w:rsid w:val="178077F9"/>
    <w:rsid w:val="17815241"/>
    <w:rsid w:val="178166EF"/>
    <w:rsid w:val="17836964"/>
    <w:rsid w:val="17844D7F"/>
    <w:rsid w:val="17850EC1"/>
    <w:rsid w:val="17851877"/>
    <w:rsid w:val="1785753C"/>
    <w:rsid w:val="178E37A2"/>
    <w:rsid w:val="178E7E62"/>
    <w:rsid w:val="178F3A15"/>
    <w:rsid w:val="17900684"/>
    <w:rsid w:val="17911D74"/>
    <w:rsid w:val="17914945"/>
    <w:rsid w:val="1791696A"/>
    <w:rsid w:val="179402CE"/>
    <w:rsid w:val="17940FC0"/>
    <w:rsid w:val="17953719"/>
    <w:rsid w:val="1796692B"/>
    <w:rsid w:val="17975FB6"/>
    <w:rsid w:val="1799011E"/>
    <w:rsid w:val="179B1ED7"/>
    <w:rsid w:val="179B21AC"/>
    <w:rsid w:val="179B2640"/>
    <w:rsid w:val="179B535D"/>
    <w:rsid w:val="179E16FB"/>
    <w:rsid w:val="179F2E6B"/>
    <w:rsid w:val="179F329E"/>
    <w:rsid w:val="17A44B27"/>
    <w:rsid w:val="17A52EEF"/>
    <w:rsid w:val="17A70860"/>
    <w:rsid w:val="17A74503"/>
    <w:rsid w:val="17A76539"/>
    <w:rsid w:val="17AB05CD"/>
    <w:rsid w:val="17AE12E1"/>
    <w:rsid w:val="17AF1DB7"/>
    <w:rsid w:val="17B10B33"/>
    <w:rsid w:val="17B34B8D"/>
    <w:rsid w:val="17B36E2A"/>
    <w:rsid w:val="17B415F5"/>
    <w:rsid w:val="17B51594"/>
    <w:rsid w:val="17B5449F"/>
    <w:rsid w:val="17B6106D"/>
    <w:rsid w:val="17B97347"/>
    <w:rsid w:val="17BA02E9"/>
    <w:rsid w:val="17BA24B2"/>
    <w:rsid w:val="17BA7C79"/>
    <w:rsid w:val="17BD53F3"/>
    <w:rsid w:val="17BE233F"/>
    <w:rsid w:val="17C21B34"/>
    <w:rsid w:val="17C26482"/>
    <w:rsid w:val="17C30723"/>
    <w:rsid w:val="17C32371"/>
    <w:rsid w:val="17C416BC"/>
    <w:rsid w:val="17C62E73"/>
    <w:rsid w:val="17C656A1"/>
    <w:rsid w:val="17C95D21"/>
    <w:rsid w:val="17CB46D5"/>
    <w:rsid w:val="17CE5DF3"/>
    <w:rsid w:val="17D10F53"/>
    <w:rsid w:val="17D16505"/>
    <w:rsid w:val="17D213E8"/>
    <w:rsid w:val="17D27B57"/>
    <w:rsid w:val="17D40A81"/>
    <w:rsid w:val="17D72092"/>
    <w:rsid w:val="17D759AB"/>
    <w:rsid w:val="17D83A80"/>
    <w:rsid w:val="17D84F4C"/>
    <w:rsid w:val="17DB6711"/>
    <w:rsid w:val="17DD481D"/>
    <w:rsid w:val="17DE1A5A"/>
    <w:rsid w:val="17E06D90"/>
    <w:rsid w:val="17E524AC"/>
    <w:rsid w:val="17EA0B15"/>
    <w:rsid w:val="17EA654F"/>
    <w:rsid w:val="17EB0B14"/>
    <w:rsid w:val="17EC2330"/>
    <w:rsid w:val="17EC6B35"/>
    <w:rsid w:val="17F170EA"/>
    <w:rsid w:val="17F24AA6"/>
    <w:rsid w:val="17F41264"/>
    <w:rsid w:val="17F561FF"/>
    <w:rsid w:val="17F8321C"/>
    <w:rsid w:val="17FB78E5"/>
    <w:rsid w:val="180169E8"/>
    <w:rsid w:val="18073E7A"/>
    <w:rsid w:val="180B4772"/>
    <w:rsid w:val="180C5DDD"/>
    <w:rsid w:val="180D6538"/>
    <w:rsid w:val="180E3BF7"/>
    <w:rsid w:val="181204A0"/>
    <w:rsid w:val="18136745"/>
    <w:rsid w:val="1813777E"/>
    <w:rsid w:val="18177AC1"/>
    <w:rsid w:val="181807F3"/>
    <w:rsid w:val="18191AB3"/>
    <w:rsid w:val="181D4C21"/>
    <w:rsid w:val="181E1E0D"/>
    <w:rsid w:val="181F18E3"/>
    <w:rsid w:val="181F5CA2"/>
    <w:rsid w:val="18200EE1"/>
    <w:rsid w:val="18201CF6"/>
    <w:rsid w:val="18213C07"/>
    <w:rsid w:val="18220050"/>
    <w:rsid w:val="18274232"/>
    <w:rsid w:val="18276B3B"/>
    <w:rsid w:val="18286B2E"/>
    <w:rsid w:val="182E2703"/>
    <w:rsid w:val="182E416C"/>
    <w:rsid w:val="18307745"/>
    <w:rsid w:val="1833355B"/>
    <w:rsid w:val="183463AC"/>
    <w:rsid w:val="18362B5A"/>
    <w:rsid w:val="183652F9"/>
    <w:rsid w:val="183B51D3"/>
    <w:rsid w:val="183C5A69"/>
    <w:rsid w:val="184379EF"/>
    <w:rsid w:val="18455AB6"/>
    <w:rsid w:val="18464730"/>
    <w:rsid w:val="18465ABF"/>
    <w:rsid w:val="18485BA4"/>
    <w:rsid w:val="184C359E"/>
    <w:rsid w:val="184F743F"/>
    <w:rsid w:val="18505FA4"/>
    <w:rsid w:val="185203F0"/>
    <w:rsid w:val="18532514"/>
    <w:rsid w:val="18534F2E"/>
    <w:rsid w:val="18554083"/>
    <w:rsid w:val="18555F02"/>
    <w:rsid w:val="185674F2"/>
    <w:rsid w:val="185B4238"/>
    <w:rsid w:val="185C1847"/>
    <w:rsid w:val="185D6658"/>
    <w:rsid w:val="18603E1E"/>
    <w:rsid w:val="1863307A"/>
    <w:rsid w:val="186336D8"/>
    <w:rsid w:val="18636974"/>
    <w:rsid w:val="18642475"/>
    <w:rsid w:val="18643C05"/>
    <w:rsid w:val="186C0F4D"/>
    <w:rsid w:val="186C6F6F"/>
    <w:rsid w:val="186F08F3"/>
    <w:rsid w:val="186F563B"/>
    <w:rsid w:val="186F74D2"/>
    <w:rsid w:val="18702C4F"/>
    <w:rsid w:val="18706A05"/>
    <w:rsid w:val="1873524A"/>
    <w:rsid w:val="18750EC8"/>
    <w:rsid w:val="18765EBC"/>
    <w:rsid w:val="18773319"/>
    <w:rsid w:val="1878165D"/>
    <w:rsid w:val="18787AA6"/>
    <w:rsid w:val="187B3AC1"/>
    <w:rsid w:val="187B7BBC"/>
    <w:rsid w:val="187C7038"/>
    <w:rsid w:val="187F2B90"/>
    <w:rsid w:val="18807710"/>
    <w:rsid w:val="18815022"/>
    <w:rsid w:val="18831B11"/>
    <w:rsid w:val="188651FA"/>
    <w:rsid w:val="18874D37"/>
    <w:rsid w:val="188A28D8"/>
    <w:rsid w:val="188A5D08"/>
    <w:rsid w:val="188C1F9B"/>
    <w:rsid w:val="188D3907"/>
    <w:rsid w:val="188F014C"/>
    <w:rsid w:val="188F0856"/>
    <w:rsid w:val="188F65C3"/>
    <w:rsid w:val="188F66F7"/>
    <w:rsid w:val="1891041F"/>
    <w:rsid w:val="18922ABF"/>
    <w:rsid w:val="189443B0"/>
    <w:rsid w:val="18984325"/>
    <w:rsid w:val="189930A0"/>
    <w:rsid w:val="18993880"/>
    <w:rsid w:val="189938DB"/>
    <w:rsid w:val="189B52D9"/>
    <w:rsid w:val="189D4F08"/>
    <w:rsid w:val="18A3046E"/>
    <w:rsid w:val="18A31E3B"/>
    <w:rsid w:val="18A91A8F"/>
    <w:rsid w:val="18AB1047"/>
    <w:rsid w:val="18AD232A"/>
    <w:rsid w:val="18AF0406"/>
    <w:rsid w:val="18AF0BBF"/>
    <w:rsid w:val="18B066DF"/>
    <w:rsid w:val="18B12109"/>
    <w:rsid w:val="18B1275E"/>
    <w:rsid w:val="18B12EB9"/>
    <w:rsid w:val="18B3799F"/>
    <w:rsid w:val="18B53CA2"/>
    <w:rsid w:val="18B86A0E"/>
    <w:rsid w:val="18BA02B8"/>
    <w:rsid w:val="18BA1E5C"/>
    <w:rsid w:val="18BA6BD2"/>
    <w:rsid w:val="18BD2C47"/>
    <w:rsid w:val="18BE4349"/>
    <w:rsid w:val="18C06191"/>
    <w:rsid w:val="18C259B6"/>
    <w:rsid w:val="18C26569"/>
    <w:rsid w:val="18C34C8E"/>
    <w:rsid w:val="18C41297"/>
    <w:rsid w:val="18C5553D"/>
    <w:rsid w:val="18C707AA"/>
    <w:rsid w:val="18C87486"/>
    <w:rsid w:val="18C90644"/>
    <w:rsid w:val="18CE0C30"/>
    <w:rsid w:val="18D55F50"/>
    <w:rsid w:val="18D57BBB"/>
    <w:rsid w:val="18D71871"/>
    <w:rsid w:val="18DB4537"/>
    <w:rsid w:val="18DD3CDA"/>
    <w:rsid w:val="18DD6178"/>
    <w:rsid w:val="18DE5D44"/>
    <w:rsid w:val="18E60E2C"/>
    <w:rsid w:val="18E60EB4"/>
    <w:rsid w:val="18E73C96"/>
    <w:rsid w:val="18EC1571"/>
    <w:rsid w:val="18EC295A"/>
    <w:rsid w:val="18EC34C5"/>
    <w:rsid w:val="18EE576F"/>
    <w:rsid w:val="18EF75AC"/>
    <w:rsid w:val="18F03D12"/>
    <w:rsid w:val="18F7451B"/>
    <w:rsid w:val="18F864F4"/>
    <w:rsid w:val="18F8667E"/>
    <w:rsid w:val="18FA4D57"/>
    <w:rsid w:val="18FE2163"/>
    <w:rsid w:val="18FF355D"/>
    <w:rsid w:val="19010FC1"/>
    <w:rsid w:val="190252E9"/>
    <w:rsid w:val="19053122"/>
    <w:rsid w:val="19053182"/>
    <w:rsid w:val="19082E06"/>
    <w:rsid w:val="19086B34"/>
    <w:rsid w:val="190A4781"/>
    <w:rsid w:val="190A62F8"/>
    <w:rsid w:val="190B21B6"/>
    <w:rsid w:val="190D5E64"/>
    <w:rsid w:val="190F3D65"/>
    <w:rsid w:val="19142A1A"/>
    <w:rsid w:val="19142D5F"/>
    <w:rsid w:val="19153F3F"/>
    <w:rsid w:val="19154E2D"/>
    <w:rsid w:val="191607D0"/>
    <w:rsid w:val="19165B6B"/>
    <w:rsid w:val="19172846"/>
    <w:rsid w:val="19190477"/>
    <w:rsid w:val="191E1CCC"/>
    <w:rsid w:val="192064C0"/>
    <w:rsid w:val="1922530C"/>
    <w:rsid w:val="1925472C"/>
    <w:rsid w:val="192624F9"/>
    <w:rsid w:val="192735CB"/>
    <w:rsid w:val="19273747"/>
    <w:rsid w:val="19276A8B"/>
    <w:rsid w:val="192817D1"/>
    <w:rsid w:val="1929728D"/>
    <w:rsid w:val="192A33B6"/>
    <w:rsid w:val="192B4EBE"/>
    <w:rsid w:val="192C582C"/>
    <w:rsid w:val="192D79AD"/>
    <w:rsid w:val="192F4489"/>
    <w:rsid w:val="19310533"/>
    <w:rsid w:val="19321ACF"/>
    <w:rsid w:val="19351D41"/>
    <w:rsid w:val="19365251"/>
    <w:rsid w:val="19372767"/>
    <w:rsid w:val="19391992"/>
    <w:rsid w:val="193A16B0"/>
    <w:rsid w:val="19404862"/>
    <w:rsid w:val="19431542"/>
    <w:rsid w:val="194409CA"/>
    <w:rsid w:val="194426B3"/>
    <w:rsid w:val="1946013B"/>
    <w:rsid w:val="19466C4E"/>
    <w:rsid w:val="194779CD"/>
    <w:rsid w:val="19497C14"/>
    <w:rsid w:val="194B5F84"/>
    <w:rsid w:val="19530124"/>
    <w:rsid w:val="1953253C"/>
    <w:rsid w:val="195336F3"/>
    <w:rsid w:val="19533907"/>
    <w:rsid w:val="19535B04"/>
    <w:rsid w:val="195379DB"/>
    <w:rsid w:val="19540796"/>
    <w:rsid w:val="195573E1"/>
    <w:rsid w:val="195832CB"/>
    <w:rsid w:val="19593D19"/>
    <w:rsid w:val="195B5D62"/>
    <w:rsid w:val="195F0CA1"/>
    <w:rsid w:val="195F5E3A"/>
    <w:rsid w:val="195F6430"/>
    <w:rsid w:val="19626F28"/>
    <w:rsid w:val="19641098"/>
    <w:rsid w:val="19655691"/>
    <w:rsid w:val="1968017F"/>
    <w:rsid w:val="19697BEE"/>
    <w:rsid w:val="196A308E"/>
    <w:rsid w:val="196C328F"/>
    <w:rsid w:val="196F0E4B"/>
    <w:rsid w:val="1972040E"/>
    <w:rsid w:val="197252D6"/>
    <w:rsid w:val="197341DD"/>
    <w:rsid w:val="19737C6A"/>
    <w:rsid w:val="19764CEA"/>
    <w:rsid w:val="197A0559"/>
    <w:rsid w:val="197B42CF"/>
    <w:rsid w:val="19802F70"/>
    <w:rsid w:val="19807B19"/>
    <w:rsid w:val="198143D7"/>
    <w:rsid w:val="19832F5E"/>
    <w:rsid w:val="1985259C"/>
    <w:rsid w:val="198A17CF"/>
    <w:rsid w:val="198D11F9"/>
    <w:rsid w:val="199007C3"/>
    <w:rsid w:val="199113BD"/>
    <w:rsid w:val="1992448B"/>
    <w:rsid w:val="19934A2C"/>
    <w:rsid w:val="199558FA"/>
    <w:rsid w:val="19963C8D"/>
    <w:rsid w:val="19987F6F"/>
    <w:rsid w:val="19991217"/>
    <w:rsid w:val="199B7B7E"/>
    <w:rsid w:val="199E214F"/>
    <w:rsid w:val="19A06591"/>
    <w:rsid w:val="19A2104F"/>
    <w:rsid w:val="19A36986"/>
    <w:rsid w:val="19A463CC"/>
    <w:rsid w:val="19A521E4"/>
    <w:rsid w:val="19A622C5"/>
    <w:rsid w:val="19A62E3D"/>
    <w:rsid w:val="19A91B9E"/>
    <w:rsid w:val="19A94E12"/>
    <w:rsid w:val="19AB1FDD"/>
    <w:rsid w:val="19AE2047"/>
    <w:rsid w:val="19AE6AFA"/>
    <w:rsid w:val="19B328FB"/>
    <w:rsid w:val="19B55714"/>
    <w:rsid w:val="19B620F6"/>
    <w:rsid w:val="19B77D71"/>
    <w:rsid w:val="19B96F4C"/>
    <w:rsid w:val="19BA31D7"/>
    <w:rsid w:val="19BF75A1"/>
    <w:rsid w:val="19C02BFB"/>
    <w:rsid w:val="19C0540E"/>
    <w:rsid w:val="19D03BBD"/>
    <w:rsid w:val="19D2144F"/>
    <w:rsid w:val="19D24228"/>
    <w:rsid w:val="19D56E21"/>
    <w:rsid w:val="19DD2998"/>
    <w:rsid w:val="19DD78EA"/>
    <w:rsid w:val="19DE265D"/>
    <w:rsid w:val="19DE45E6"/>
    <w:rsid w:val="19DF0289"/>
    <w:rsid w:val="19DF5375"/>
    <w:rsid w:val="19E365C4"/>
    <w:rsid w:val="19E50A3C"/>
    <w:rsid w:val="19E70223"/>
    <w:rsid w:val="19E71ACD"/>
    <w:rsid w:val="19E74AE7"/>
    <w:rsid w:val="19F10A82"/>
    <w:rsid w:val="19F22F5A"/>
    <w:rsid w:val="19F3150E"/>
    <w:rsid w:val="19F31F5B"/>
    <w:rsid w:val="19F65EE2"/>
    <w:rsid w:val="19F76BA5"/>
    <w:rsid w:val="19F77E1E"/>
    <w:rsid w:val="19F77F33"/>
    <w:rsid w:val="19F8380D"/>
    <w:rsid w:val="19FA7E66"/>
    <w:rsid w:val="19FB1246"/>
    <w:rsid w:val="19FB2021"/>
    <w:rsid w:val="19FC64FF"/>
    <w:rsid w:val="19FC6C3C"/>
    <w:rsid w:val="19FD27EA"/>
    <w:rsid w:val="19FE313C"/>
    <w:rsid w:val="1A013A36"/>
    <w:rsid w:val="1A031970"/>
    <w:rsid w:val="1A0A77E4"/>
    <w:rsid w:val="1A0C3D1D"/>
    <w:rsid w:val="1A1448AE"/>
    <w:rsid w:val="1A1843D0"/>
    <w:rsid w:val="1A1D658C"/>
    <w:rsid w:val="1A1E43DD"/>
    <w:rsid w:val="1A1F3179"/>
    <w:rsid w:val="1A2021D8"/>
    <w:rsid w:val="1A211A88"/>
    <w:rsid w:val="1A246053"/>
    <w:rsid w:val="1A256D85"/>
    <w:rsid w:val="1A2812C5"/>
    <w:rsid w:val="1A2828BD"/>
    <w:rsid w:val="1A2955F5"/>
    <w:rsid w:val="1A295EDD"/>
    <w:rsid w:val="1A2B2CE7"/>
    <w:rsid w:val="1A2C4DA1"/>
    <w:rsid w:val="1A2D2ADC"/>
    <w:rsid w:val="1A30206E"/>
    <w:rsid w:val="1A304A0B"/>
    <w:rsid w:val="1A304EF4"/>
    <w:rsid w:val="1A3123BA"/>
    <w:rsid w:val="1A3342C7"/>
    <w:rsid w:val="1A341731"/>
    <w:rsid w:val="1A3639C2"/>
    <w:rsid w:val="1A374E68"/>
    <w:rsid w:val="1A386ECF"/>
    <w:rsid w:val="1A391A1A"/>
    <w:rsid w:val="1A39382A"/>
    <w:rsid w:val="1A3C13AB"/>
    <w:rsid w:val="1A3C230F"/>
    <w:rsid w:val="1A3D70B2"/>
    <w:rsid w:val="1A3E6D2A"/>
    <w:rsid w:val="1A3F55CD"/>
    <w:rsid w:val="1A427A3B"/>
    <w:rsid w:val="1A433356"/>
    <w:rsid w:val="1A453C89"/>
    <w:rsid w:val="1A4657BC"/>
    <w:rsid w:val="1A475229"/>
    <w:rsid w:val="1A477361"/>
    <w:rsid w:val="1A487856"/>
    <w:rsid w:val="1A4A4DB5"/>
    <w:rsid w:val="1A4B42E1"/>
    <w:rsid w:val="1A4F66BF"/>
    <w:rsid w:val="1A510E18"/>
    <w:rsid w:val="1A51188D"/>
    <w:rsid w:val="1A52358F"/>
    <w:rsid w:val="1A537804"/>
    <w:rsid w:val="1A550F8E"/>
    <w:rsid w:val="1A562452"/>
    <w:rsid w:val="1A571687"/>
    <w:rsid w:val="1A5A239D"/>
    <w:rsid w:val="1A5B3F87"/>
    <w:rsid w:val="1A5C7A96"/>
    <w:rsid w:val="1A5D7098"/>
    <w:rsid w:val="1A5D7BF1"/>
    <w:rsid w:val="1A5E3FB0"/>
    <w:rsid w:val="1A6113DF"/>
    <w:rsid w:val="1A611699"/>
    <w:rsid w:val="1A6164C1"/>
    <w:rsid w:val="1A654FC1"/>
    <w:rsid w:val="1A657159"/>
    <w:rsid w:val="1A67523F"/>
    <w:rsid w:val="1A677169"/>
    <w:rsid w:val="1A682086"/>
    <w:rsid w:val="1A691E33"/>
    <w:rsid w:val="1A6A02AC"/>
    <w:rsid w:val="1A6B0D16"/>
    <w:rsid w:val="1A6C6946"/>
    <w:rsid w:val="1A6D6852"/>
    <w:rsid w:val="1A6F45D1"/>
    <w:rsid w:val="1A7418A1"/>
    <w:rsid w:val="1A74225D"/>
    <w:rsid w:val="1A771EA6"/>
    <w:rsid w:val="1A77398C"/>
    <w:rsid w:val="1A773CE0"/>
    <w:rsid w:val="1A79695E"/>
    <w:rsid w:val="1A7B0455"/>
    <w:rsid w:val="1A7B051C"/>
    <w:rsid w:val="1A7B6CF2"/>
    <w:rsid w:val="1A7B76E1"/>
    <w:rsid w:val="1A7D4A36"/>
    <w:rsid w:val="1A7E12C0"/>
    <w:rsid w:val="1A804920"/>
    <w:rsid w:val="1A831072"/>
    <w:rsid w:val="1A83181D"/>
    <w:rsid w:val="1A835D54"/>
    <w:rsid w:val="1A867B34"/>
    <w:rsid w:val="1A8A5B9C"/>
    <w:rsid w:val="1A8B2092"/>
    <w:rsid w:val="1A8B5229"/>
    <w:rsid w:val="1A8C605B"/>
    <w:rsid w:val="1A8F50A0"/>
    <w:rsid w:val="1A8F690B"/>
    <w:rsid w:val="1A91136D"/>
    <w:rsid w:val="1A926C41"/>
    <w:rsid w:val="1A943CB3"/>
    <w:rsid w:val="1A9501AB"/>
    <w:rsid w:val="1A9645DA"/>
    <w:rsid w:val="1A9672C3"/>
    <w:rsid w:val="1A997B32"/>
    <w:rsid w:val="1A9A261E"/>
    <w:rsid w:val="1A9A3BEE"/>
    <w:rsid w:val="1A9B5152"/>
    <w:rsid w:val="1A9C5BD5"/>
    <w:rsid w:val="1A9E0C5D"/>
    <w:rsid w:val="1A9E1F51"/>
    <w:rsid w:val="1A9E2774"/>
    <w:rsid w:val="1A9E296F"/>
    <w:rsid w:val="1AA038E5"/>
    <w:rsid w:val="1AA21138"/>
    <w:rsid w:val="1AA314F7"/>
    <w:rsid w:val="1AA46744"/>
    <w:rsid w:val="1AA502E0"/>
    <w:rsid w:val="1AA56011"/>
    <w:rsid w:val="1AA57DF3"/>
    <w:rsid w:val="1AAA0375"/>
    <w:rsid w:val="1AAB07C3"/>
    <w:rsid w:val="1AAC6EB6"/>
    <w:rsid w:val="1AAC7C0F"/>
    <w:rsid w:val="1AB36BFD"/>
    <w:rsid w:val="1AB45931"/>
    <w:rsid w:val="1AB563D8"/>
    <w:rsid w:val="1AB60903"/>
    <w:rsid w:val="1AB650DA"/>
    <w:rsid w:val="1AB65F5B"/>
    <w:rsid w:val="1AB75FB2"/>
    <w:rsid w:val="1AB90513"/>
    <w:rsid w:val="1AB9359B"/>
    <w:rsid w:val="1ABA707F"/>
    <w:rsid w:val="1ABF0331"/>
    <w:rsid w:val="1ABF0F90"/>
    <w:rsid w:val="1AC31C3F"/>
    <w:rsid w:val="1AC33420"/>
    <w:rsid w:val="1AC662C1"/>
    <w:rsid w:val="1AC853ED"/>
    <w:rsid w:val="1ACA1D7C"/>
    <w:rsid w:val="1AD51A80"/>
    <w:rsid w:val="1AD80393"/>
    <w:rsid w:val="1AD8150D"/>
    <w:rsid w:val="1AD9480E"/>
    <w:rsid w:val="1ADA7942"/>
    <w:rsid w:val="1AE033A6"/>
    <w:rsid w:val="1AE073E5"/>
    <w:rsid w:val="1AE51CF5"/>
    <w:rsid w:val="1AE9192B"/>
    <w:rsid w:val="1AEF4EA8"/>
    <w:rsid w:val="1AF02567"/>
    <w:rsid w:val="1AF40D88"/>
    <w:rsid w:val="1AF87BE6"/>
    <w:rsid w:val="1AFB7FD6"/>
    <w:rsid w:val="1AFD072B"/>
    <w:rsid w:val="1AFE7084"/>
    <w:rsid w:val="1B011C54"/>
    <w:rsid w:val="1B0147B5"/>
    <w:rsid w:val="1B030E04"/>
    <w:rsid w:val="1B053E0E"/>
    <w:rsid w:val="1B06419F"/>
    <w:rsid w:val="1B065623"/>
    <w:rsid w:val="1B0856ED"/>
    <w:rsid w:val="1B093E5E"/>
    <w:rsid w:val="1B095907"/>
    <w:rsid w:val="1B0D6E6F"/>
    <w:rsid w:val="1B0F1104"/>
    <w:rsid w:val="1B0F1E3D"/>
    <w:rsid w:val="1B106580"/>
    <w:rsid w:val="1B114C92"/>
    <w:rsid w:val="1B12209F"/>
    <w:rsid w:val="1B1472D8"/>
    <w:rsid w:val="1B15173A"/>
    <w:rsid w:val="1B167774"/>
    <w:rsid w:val="1B1876B0"/>
    <w:rsid w:val="1B193B0B"/>
    <w:rsid w:val="1B1B4E0B"/>
    <w:rsid w:val="1B1E5CBD"/>
    <w:rsid w:val="1B1F45A6"/>
    <w:rsid w:val="1B205C6D"/>
    <w:rsid w:val="1B2465EB"/>
    <w:rsid w:val="1B271738"/>
    <w:rsid w:val="1B286903"/>
    <w:rsid w:val="1B2E1A70"/>
    <w:rsid w:val="1B2E3239"/>
    <w:rsid w:val="1B302C26"/>
    <w:rsid w:val="1B3312AC"/>
    <w:rsid w:val="1B34265A"/>
    <w:rsid w:val="1B3567C3"/>
    <w:rsid w:val="1B3661F7"/>
    <w:rsid w:val="1B384F1D"/>
    <w:rsid w:val="1B3921EA"/>
    <w:rsid w:val="1B3B348F"/>
    <w:rsid w:val="1B410132"/>
    <w:rsid w:val="1B4441A0"/>
    <w:rsid w:val="1B4479C3"/>
    <w:rsid w:val="1B452D0B"/>
    <w:rsid w:val="1B457A9D"/>
    <w:rsid w:val="1B495CFA"/>
    <w:rsid w:val="1B4A7CC2"/>
    <w:rsid w:val="1B4D688C"/>
    <w:rsid w:val="1B554180"/>
    <w:rsid w:val="1B5707EC"/>
    <w:rsid w:val="1B5709A1"/>
    <w:rsid w:val="1B5759EF"/>
    <w:rsid w:val="1B5B5541"/>
    <w:rsid w:val="1B5C074F"/>
    <w:rsid w:val="1B5D4E55"/>
    <w:rsid w:val="1B5F4657"/>
    <w:rsid w:val="1B65761C"/>
    <w:rsid w:val="1B6711D8"/>
    <w:rsid w:val="1B69748E"/>
    <w:rsid w:val="1B7451E8"/>
    <w:rsid w:val="1B76363E"/>
    <w:rsid w:val="1B776746"/>
    <w:rsid w:val="1B794F62"/>
    <w:rsid w:val="1B7B07A2"/>
    <w:rsid w:val="1B7B7B05"/>
    <w:rsid w:val="1B7D40D4"/>
    <w:rsid w:val="1B7F1229"/>
    <w:rsid w:val="1B806BFD"/>
    <w:rsid w:val="1B812AF4"/>
    <w:rsid w:val="1B8169F2"/>
    <w:rsid w:val="1B8237DF"/>
    <w:rsid w:val="1B840190"/>
    <w:rsid w:val="1B841DBF"/>
    <w:rsid w:val="1B846655"/>
    <w:rsid w:val="1B850E5A"/>
    <w:rsid w:val="1B870CBF"/>
    <w:rsid w:val="1B8D65CA"/>
    <w:rsid w:val="1B900479"/>
    <w:rsid w:val="1B921158"/>
    <w:rsid w:val="1B9226AE"/>
    <w:rsid w:val="1B934D31"/>
    <w:rsid w:val="1B950A35"/>
    <w:rsid w:val="1B974601"/>
    <w:rsid w:val="1B981AE6"/>
    <w:rsid w:val="1B983E7C"/>
    <w:rsid w:val="1B9B0B36"/>
    <w:rsid w:val="1B9B3BD7"/>
    <w:rsid w:val="1B9C06E9"/>
    <w:rsid w:val="1B9C12C7"/>
    <w:rsid w:val="1B9C47A5"/>
    <w:rsid w:val="1BA126C2"/>
    <w:rsid w:val="1BA32CD6"/>
    <w:rsid w:val="1BA40284"/>
    <w:rsid w:val="1BA55446"/>
    <w:rsid w:val="1BA959FE"/>
    <w:rsid w:val="1BAC6EEE"/>
    <w:rsid w:val="1BAD316D"/>
    <w:rsid w:val="1BAE0E7C"/>
    <w:rsid w:val="1BAE20E1"/>
    <w:rsid w:val="1BAE2F26"/>
    <w:rsid w:val="1BAF00C6"/>
    <w:rsid w:val="1BB07DBB"/>
    <w:rsid w:val="1BB1036C"/>
    <w:rsid w:val="1BB21CE5"/>
    <w:rsid w:val="1BB36FCC"/>
    <w:rsid w:val="1BB3716C"/>
    <w:rsid w:val="1BB4069F"/>
    <w:rsid w:val="1BB60470"/>
    <w:rsid w:val="1BB75B44"/>
    <w:rsid w:val="1BBB4A61"/>
    <w:rsid w:val="1BBB4F7A"/>
    <w:rsid w:val="1BC05BDB"/>
    <w:rsid w:val="1BC34275"/>
    <w:rsid w:val="1BC44002"/>
    <w:rsid w:val="1BC44514"/>
    <w:rsid w:val="1BC6654F"/>
    <w:rsid w:val="1BC80905"/>
    <w:rsid w:val="1BC9052B"/>
    <w:rsid w:val="1BCA17BD"/>
    <w:rsid w:val="1BCA5E5F"/>
    <w:rsid w:val="1BCF27D7"/>
    <w:rsid w:val="1BD02D9D"/>
    <w:rsid w:val="1BD04790"/>
    <w:rsid w:val="1BD50CD1"/>
    <w:rsid w:val="1BD66F41"/>
    <w:rsid w:val="1BD84E62"/>
    <w:rsid w:val="1BDB2544"/>
    <w:rsid w:val="1BDD2CDC"/>
    <w:rsid w:val="1BDD6A4A"/>
    <w:rsid w:val="1BE04522"/>
    <w:rsid w:val="1BE21631"/>
    <w:rsid w:val="1BE245B5"/>
    <w:rsid w:val="1BE527B4"/>
    <w:rsid w:val="1BE52A8B"/>
    <w:rsid w:val="1BE717FC"/>
    <w:rsid w:val="1BEA10BF"/>
    <w:rsid w:val="1BEA623F"/>
    <w:rsid w:val="1BEC7061"/>
    <w:rsid w:val="1BEF7584"/>
    <w:rsid w:val="1BF062B0"/>
    <w:rsid w:val="1BF1269F"/>
    <w:rsid w:val="1BF360BF"/>
    <w:rsid w:val="1BF74824"/>
    <w:rsid w:val="1BF95EB8"/>
    <w:rsid w:val="1BFA5D1B"/>
    <w:rsid w:val="1BFB2E49"/>
    <w:rsid w:val="1BFB53B9"/>
    <w:rsid w:val="1BFD664C"/>
    <w:rsid w:val="1BFF257C"/>
    <w:rsid w:val="1C0141E5"/>
    <w:rsid w:val="1C03698C"/>
    <w:rsid w:val="1C0506BF"/>
    <w:rsid w:val="1C050E8C"/>
    <w:rsid w:val="1C064589"/>
    <w:rsid w:val="1C074347"/>
    <w:rsid w:val="1C07486D"/>
    <w:rsid w:val="1C0840DF"/>
    <w:rsid w:val="1C085A04"/>
    <w:rsid w:val="1C095378"/>
    <w:rsid w:val="1C0B1703"/>
    <w:rsid w:val="1C101D6E"/>
    <w:rsid w:val="1C1043DB"/>
    <w:rsid w:val="1C134932"/>
    <w:rsid w:val="1C155B34"/>
    <w:rsid w:val="1C155D95"/>
    <w:rsid w:val="1C1576E1"/>
    <w:rsid w:val="1C176DA5"/>
    <w:rsid w:val="1C177495"/>
    <w:rsid w:val="1C196115"/>
    <w:rsid w:val="1C1D0D52"/>
    <w:rsid w:val="1C1D2C2B"/>
    <w:rsid w:val="1C1E34D5"/>
    <w:rsid w:val="1C1F045D"/>
    <w:rsid w:val="1C204CB9"/>
    <w:rsid w:val="1C21441D"/>
    <w:rsid w:val="1C2203FB"/>
    <w:rsid w:val="1C2338A9"/>
    <w:rsid w:val="1C247C85"/>
    <w:rsid w:val="1C266FCE"/>
    <w:rsid w:val="1C270D2E"/>
    <w:rsid w:val="1C281637"/>
    <w:rsid w:val="1C296FB0"/>
    <w:rsid w:val="1C2B1E7F"/>
    <w:rsid w:val="1C2E09FB"/>
    <w:rsid w:val="1C330440"/>
    <w:rsid w:val="1C340B05"/>
    <w:rsid w:val="1C395BA1"/>
    <w:rsid w:val="1C3A1D73"/>
    <w:rsid w:val="1C3A4AD8"/>
    <w:rsid w:val="1C3C1100"/>
    <w:rsid w:val="1C3F2C1C"/>
    <w:rsid w:val="1C3F303F"/>
    <w:rsid w:val="1C42224E"/>
    <w:rsid w:val="1C424530"/>
    <w:rsid w:val="1C4254E9"/>
    <w:rsid w:val="1C481526"/>
    <w:rsid w:val="1C490B34"/>
    <w:rsid w:val="1C4A477F"/>
    <w:rsid w:val="1C4B6A58"/>
    <w:rsid w:val="1C4C1EC9"/>
    <w:rsid w:val="1C4E74F4"/>
    <w:rsid w:val="1C4F7F16"/>
    <w:rsid w:val="1C52659B"/>
    <w:rsid w:val="1C5471D7"/>
    <w:rsid w:val="1C551954"/>
    <w:rsid w:val="1C5700DA"/>
    <w:rsid w:val="1C583310"/>
    <w:rsid w:val="1C605D2D"/>
    <w:rsid w:val="1C615264"/>
    <w:rsid w:val="1C62007D"/>
    <w:rsid w:val="1C632DB4"/>
    <w:rsid w:val="1C676394"/>
    <w:rsid w:val="1C683EC7"/>
    <w:rsid w:val="1C6962EA"/>
    <w:rsid w:val="1C6A40FA"/>
    <w:rsid w:val="1C6A7273"/>
    <w:rsid w:val="1C6B1A12"/>
    <w:rsid w:val="1C6B43ED"/>
    <w:rsid w:val="1C7259FF"/>
    <w:rsid w:val="1C754E52"/>
    <w:rsid w:val="1C7750C0"/>
    <w:rsid w:val="1C782333"/>
    <w:rsid w:val="1C7C7578"/>
    <w:rsid w:val="1C7D1BCF"/>
    <w:rsid w:val="1C7D7CA1"/>
    <w:rsid w:val="1C7F65FE"/>
    <w:rsid w:val="1C8104AF"/>
    <w:rsid w:val="1C8114E5"/>
    <w:rsid w:val="1C831EE7"/>
    <w:rsid w:val="1C843F56"/>
    <w:rsid w:val="1C856E4B"/>
    <w:rsid w:val="1C872C2B"/>
    <w:rsid w:val="1C8765EA"/>
    <w:rsid w:val="1C886803"/>
    <w:rsid w:val="1C8923ED"/>
    <w:rsid w:val="1C8D6781"/>
    <w:rsid w:val="1C8E3652"/>
    <w:rsid w:val="1C8F6559"/>
    <w:rsid w:val="1C9267F7"/>
    <w:rsid w:val="1C9379DA"/>
    <w:rsid w:val="1C947775"/>
    <w:rsid w:val="1C9632CF"/>
    <w:rsid w:val="1C970164"/>
    <w:rsid w:val="1C974ABD"/>
    <w:rsid w:val="1C9945EE"/>
    <w:rsid w:val="1C9A4A87"/>
    <w:rsid w:val="1CA04460"/>
    <w:rsid w:val="1CA468DF"/>
    <w:rsid w:val="1CA65296"/>
    <w:rsid w:val="1CA97F89"/>
    <w:rsid w:val="1CAF1B50"/>
    <w:rsid w:val="1CAF309A"/>
    <w:rsid w:val="1CB2076E"/>
    <w:rsid w:val="1CB21EEB"/>
    <w:rsid w:val="1CB408FF"/>
    <w:rsid w:val="1CB81FFC"/>
    <w:rsid w:val="1CBB4AC0"/>
    <w:rsid w:val="1CBE684D"/>
    <w:rsid w:val="1CC04AF6"/>
    <w:rsid w:val="1CC237B7"/>
    <w:rsid w:val="1CC60958"/>
    <w:rsid w:val="1CC633C7"/>
    <w:rsid w:val="1CC64D01"/>
    <w:rsid w:val="1CCF7401"/>
    <w:rsid w:val="1CD04FD3"/>
    <w:rsid w:val="1CD4782D"/>
    <w:rsid w:val="1CDC25AD"/>
    <w:rsid w:val="1CDD5179"/>
    <w:rsid w:val="1CDE098A"/>
    <w:rsid w:val="1CDE2ECA"/>
    <w:rsid w:val="1CE10990"/>
    <w:rsid w:val="1CE6114E"/>
    <w:rsid w:val="1CE75F43"/>
    <w:rsid w:val="1CE94DEF"/>
    <w:rsid w:val="1CEA752F"/>
    <w:rsid w:val="1CED16F8"/>
    <w:rsid w:val="1CF023B2"/>
    <w:rsid w:val="1CF11477"/>
    <w:rsid w:val="1CF115B6"/>
    <w:rsid w:val="1CF429C7"/>
    <w:rsid w:val="1CF45EC8"/>
    <w:rsid w:val="1CF56ADF"/>
    <w:rsid w:val="1CF96EA3"/>
    <w:rsid w:val="1CFB0A68"/>
    <w:rsid w:val="1CFC134B"/>
    <w:rsid w:val="1CFE30D0"/>
    <w:rsid w:val="1D016EA9"/>
    <w:rsid w:val="1D055267"/>
    <w:rsid w:val="1D06487C"/>
    <w:rsid w:val="1D065403"/>
    <w:rsid w:val="1D0667E2"/>
    <w:rsid w:val="1D070296"/>
    <w:rsid w:val="1D082868"/>
    <w:rsid w:val="1D084581"/>
    <w:rsid w:val="1D086905"/>
    <w:rsid w:val="1D087D1A"/>
    <w:rsid w:val="1D091236"/>
    <w:rsid w:val="1D121431"/>
    <w:rsid w:val="1D137273"/>
    <w:rsid w:val="1D1409B1"/>
    <w:rsid w:val="1D147C13"/>
    <w:rsid w:val="1D1528BB"/>
    <w:rsid w:val="1D1860CF"/>
    <w:rsid w:val="1D194245"/>
    <w:rsid w:val="1D1A4E16"/>
    <w:rsid w:val="1D1B0253"/>
    <w:rsid w:val="1D1B2741"/>
    <w:rsid w:val="1D1E14FE"/>
    <w:rsid w:val="1D201A9D"/>
    <w:rsid w:val="1D253556"/>
    <w:rsid w:val="1D260745"/>
    <w:rsid w:val="1D27036A"/>
    <w:rsid w:val="1D2D1242"/>
    <w:rsid w:val="1D2E4263"/>
    <w:rsid w:val="1D2F532B"/>
    <w:rsid w:val="1D367119"/>
    <w:rsid w:val="1D381174"/>
    <w:rsid w:val="1D417D41"/>
    <w:rsid w:val="1D434742"/>
    <w:rsid w:val="1D46026C"/>
    <w:rsid w:val="1D487C0C"/>
    <w:rsid w:val="1D4A660F"/>
    <w:rsid w:val="1D503F3B"/>
    <w:rsid w:val="1D50504F"/>
    <w:rsid w:val="1D5315AB"/>
    <w:rsid w:val="1D554EEF"/>
    <w:rsid w:val="1D5A0546"/>
    <w:rsid w:val="1D5B75F4"/>
    <w:rsid w:val="1D5D40CE"/>
    <w:rsid w:val="1D5E09D5"/>
    <w:rsid w:val="1D5F36DB"/>
    <w:rsid w:val="1D5F42F5"/>
    <w:rsid w:val="1D617B99"/>
    <w:rsid w:val="1D6361B5"/>
    <w:rsid w:val="1D63751B"/>
    <w:rsid w:val="1D642C5A"/>
    <w:rsid w:val="1D65071F"/>
    <w:rsid w:val="1D65544A"/>
    <w:rsid w:val="1D657ED1"/>
    <w:rsid w:val="1D6848FD"/>
    <w:rsid w:val="1D69749E"/>
    <w:rsid w:val="1D6F4F0A"/>
    <w:rsid w:val="1D713190"/>
    <w:rsid w:val="1D743AD2"/>
    <w:rsid w:val="1D751359"/>
    <w:rsid w:val="1D7666E0"/>
    <w:rsid w:val="1D767E35"/>
    <w:rsid w:val="1D781BE8"/>
    <w:rsid w:val="1D7B52AE"/>
    <w:rsid w:val="1D7D4C95"/>
    <w:rsid w:val="1D807FD3"/>
    <w:rsid w:val="1D826D7C"/>
    <w:rsid w:val="1D841308"/>
    <w:rsid w:val="1D857225"/>
    <w:rsid w:val="1D8B7A89"/>
    <w:rsid w:val="1D8C1FDB"/>
    <w:rsid w:val="1D8C3503"/>
    <w:rsid w:val="1D900200"/>
    <w:rsid w:val="1D911439"/>
    <w:rsid w:val="1D916EE7"/>
    <w:rsid w:val="1D932AB8"/>
    <w:rsid w:val="1D971C9D"/>
    <w:rsid w:val="1D986E3B"/>
    <w:rsid w:val="1D995E71"/>
    <w:rsid w:val="1D9A708B"/>
    <w:rsid w:val="1D9A7DBD"/>
    <w:rsid w:val="1D9B70DD"/>
    <w:rsid w:val="1D9E50D2"/>
    <w:rsid w:val="1D9F12FC"/>
    <w:rsid w:val="1DA11728"/>
    <w:rsid w:val="1DA1212C"/>
    <w:rsid w:val="1DA20004"/>
    <w:rsid w:val="1DA52185"/>
    <w:rsid w:val="1DA8598E"/>
    <w:rsid w:val="1DA903F1"/>
    <w:rsid w:val="1DAB5479"/>
    <w:rsid w:val="1DAE3EBB"/>
    <w:rsid w:val="1DB15AE6"/>
    <w:rsid w:val="1DB257A4"/>
    <w:rsid w:val="1DB26218"/>
    <w:rsid w:val="1DB34DC1"/>
    <w:rsid w:val="1DB35CDA"/>
    <w:rsid w:val="1DB5203C"/>
    <w:rsid w:val="1DB77976"/>
    <w:rsid w:val="1DB82789"/>
    <w:rsid w:val="1DBA0042"/>
    <w:rsid w:val="1DBC4FFA"/>
    <w:rsid w:val="1DBE17F8"/>
    <w:rsid w:val="1DC11C41"/>
    <w:rsid w:val="1DC55E28"/>
    <w:rsid w:val="1DC77140"/>
    <w:rsid w:val="1DC853CD"/>
    <w:rsid w:val="1DCA5EF3"/>
    <w:rsid w:val="1DCB5706"/>
    <w:rsid w:val="1DCC1697"/>
    <w:rsid w:val="1DD00072"/>
    <w:rsid w:val="1DD04679"/>
    <w:rsid w:val="1DD05D09"/>
    <w:rsid w:val="1DD06697"/>
    <w:rsid w:val="1DD25B0D"/>
    <w:rsid w:val="1DD31E9D"/>
    <w:rsid w:val="1DD404EF"/>
    <w:rsid w:val="1DD56BB8"/>
    <w:rsid w:val="1DD862B3"/>
    <w:rsid w:val="1DDA4BEB"/>
    <w:rsid w:val="1DDB3148"/>
    <w:rsid w:val="1DDC2311"/>
    <w:rsid w:val="1DDC40C5"/>
    <w:rsid w:val="1DE26163"/>
    <w:rsid w:val="1DE27C86"/>
    <w:rsid w:val="1DE34F6E"/>
    <w:rsid w:val="1DE61F3C"/>
    <w:rsid w:val="1DEA52A1"/>
    <w:rsid w:val="1DEC5DEA"/>
    <w:rsid w:val="1DEE11C5"/>
    <w:rsid w:val="1DEE1562"/>
    <w:rsid w:val="1DEE4FED"/>
    <w:rsid w:val="1DF0096C"/>
    <w:rsid w:val="1DF25C92"/>
    <w:rsid w:val="1DF33ED7"/>
    <w:rsid w:val="1DF4205A"/>
    <w:rsid w:val="1DF84918"/>
    <w:rsid w:val="1DFA4B20"/>
    <w:rsid w:val="1DFA50C4"/>
    <w:rsid w:val="1DFA6EFB"/>
    <w:rsid w:val="1DFC4F74"/>
    <w:rsid w:val="1DFC72C8"/>
    <w:rsid w:val="1DFE299C"/>
    <w:rsid w:val="1E001492"/>
    <w:rsid w:val="1E002C70"/>
    <w:rsid w:val="1E030938"/>
    <w:rsid w:val="1E037C35"/>
    <w:rsid w:val="1E041D77"/>
    <w:rsid w:val="1E0B585F"/>
    <w:rsid w:val="1E0C2A93"/>
    <w:rsid w:val="1E0C698C"/>
    <w:rsid w:val="1E0C7C75"/>
    <w:rsid w:val="1E0D0C1E"/>
    <w:rsid w:val="1E1A1B17"/>
    <w:rsid w:val="1E1E2127"/>
    <w:rsid w:val="1E1E34D4"/>
    <w:rsid w:val="1E2011F8"/>
    <w:rsid w:val="1E210AC8"/>
    <w:rsid w:val="1E221E20"/>
    <w:rsid w:val="1E223D79"/>
    <w:rsid w:val="1E236F0C"/>
    <w:rsid w:val="1E241ECE"/>
    <w:rsid w:val="1E247967"/>
    <w:rsid w:val="1E26367D"/>
    <w:rsid w:val="1E267C83"/>
    <w:rsid w:val="1E2848CB"/>
    <w:rsid w:val="1E2A48AD"/>
    <w:rsid w:val="1E2B05B8"/>
    <w:rsid w:val="1E2D7040"/>
    <w:rsid w:val="1E2D74FF"/>
    <w:rsid w:val="1E2E390A"/>
    <w:rsid w:val="1E302F5B"/>
    <w:rsid w:val="1E3350BA"/>
    <w:rsid w:val="1E340BA3"/>
    <w:rsid w:val="1E3462D7"/>
    <w:rsid w:val="1E367EDD"/>
    <w:rsid w:val="1E382EE4"/>
    <w:rsid w:val="1E3B7EF0"/>
    <w:rsid w:val="1E3D0AEF"/>
    <w:rsid w:val="1E3E245A"/>
    <w:rsid w:val="1E3F06E2"/>
    <w:rsid w:val="1E3F34AE"/>
    <w:rsid w:val="1E41159A"/>
    <w:rsid w:val="1E41530D"/>
    <w:rsid w:val="1E430EF3"/>
    <w:rsid w:val="1E441DF3"/>
    <w:rsid w:val="1E452225"/>
    <w:rsid w:val="1E467F2F"/>
    <w:rsid w:val="1E491BDD"/>
    <w:rsid w:val="1E493F2D"/>
    <w:rsid w:val="1E4A5880"/>
    <w:rsid w:val="1E4D1F57"/>
    <w:rsid w:val="1E51709F"/>
    <w:rsid w:val="1E522DD7"/>
    <w:rsid w:val="1E53327B"/>
    <w:rsid w:val="1E5337A8"/>
    <w:rsid w:val="1E534017"/>
    <w:rsid w:val="1E5860CE"/>
    <w:rsid w:val="1E590241"/>
    <w:rsid w:val="1E5C1714"/>
    <w:rsid w:val="1E5F6221"/>
    <w:rsid w:val="1E6253D7"/>
    <w:rsid w:val="1E63097B"/>
    <w:rsid w:val="1E64124E"/>
    <w:rsid w:val="1E654FF8"/>
    <w:rsid w:val="1E680D26"/>
    <w:rsid w:val="1E6829AD"/>
    <w:rsid w:val="1E6C09C0"/>
    <w:rsid w:val="1E713638"/>
    <w:rsid w:val="1E71757F"/>
    <w:rsid w:val="1E724D37"/>
    <w:rsid w:val="1E744B5D"/>
    <w:rsid w:val="1E78137A"/>
    <w:rsid w:val="1E7819D0"/>
    <w:rsid w:val="1E796ABC"/>
    <w:rsid w:val="1E7B3668"/>
    <w:rsid w:val="1E7E7433"/>
    <w:rsid w:val="1E803D7A"/>
    <w:rsid w:val="1E803EE7"/>
    <w:rsid w:val="1E8179EB"/>
    <w:rsid w:val="1E821845"/>
    <w:rsid w:val="1E887E17"/>
    <w:rsid w:val="1E896DC4"/>
    <w:rsid w:val="1E897CD7"/>
    <w:rsid w:val="1E8A341B"/>
    <w:rsid w:val="1E8B7B55"/>
    <w:rsid w:val="1E8C3A84"/>
    <w:rsid w:val="1E8C4434"/>
    <w:rsid w:val="1E911C73"/>
    <w:rsid w:val="1E912418"/>
    <w:rsid w:val="1E947AEB"/>
    <w:rsid w:val="1E981D71"/>
    <w:rsid w:val="1E991824"/>
    <w:rsid w:val="1E9A4B2E"/>
    <w:rsid w:val="1E9A71CD"/>
    <w:rsid w:val="1E9C125F"/>
    <w:rsid w:val="1E9E4936"/>
    <w:rsid w:val="1E9F6094"/>
    <w:rsid w:val="1EA23C07"/>
    <w:rsid w:val="1EA26D14"/>
    <w:rsid w:val="1EA47978"/>
    <w:rsid w:val="1EA529A9"/>
    <w:rsid w:val="1EA97433"/>
    <w:rsid w:val="1EAA46F1"/>
    <w:rsid w:val="1EAC11B2"/>
    <w:rsid w:val="1EAD511A"/>
    <w:rsid w:val="1EAE6220"/>
    <w:rsid w:val="1EB2113A"/>
    <w:rsid w:val="1EB33993"/>
    <w:rsid w:val="1EB6409A"/>
    <w:rsid w:val="1EC340BD"/>
    <w:rsid w:val="1EC44852"/>
    <w:rsid w:val="1EC4668E"/>
    <w:rsid w:val="1EC53C37"/>
    <w:rsid w:val="1EC61693"/>
    <w:rsid w:val="1EC72047"/>
    <w:rsid w:val="1ECA3F7F"/>
    <w:rsid w:val="1ECF21F3"/>
    <w:rsid w:val="1ED0488E"/>
    <w:rsid w:val="1ED31B50"/>
    <w:rsid w:val="1ED373B6"/>
    <w:rsid w:val="1ED82CE9"/>
    <w:rsid w:val="1EDB4BBA"/>
    <w:rsid w:val="1EDC5FEE"/>
    <w:rsid w:val="1EDE45B0"/>
    <w:rsid w:val="1EDF2FB4"/>
    <w:rsid w:val="1EE31D4D"/>
    <w:rsid w:val="1EE32B78"/>
    <w:rsid w:val="1EE3353C"/>
    <w:rsid w:val="1EE54581"/>
    <w:rsid w:val="1EE74342"/>
    <w:rsid w:val="1EEA727F"/>
    <w:rsid w:val="1EEE55A4"/>
    <w:rsid w:val="1EEE6047"/>
    <w:rsid w:val="1EF029D1"/>
    <w:rsid w:val="1EF56DF0"/>
    <w:rsid w:val="1EF57486"/>
    <w:rsid w:val="1EF65421"/>
    <w:rsid w:val="1EFA28C6"/>
    <w:rsid w:val="1EFB0C2C"/>
    <w:rsid w:val="1EFB0D3D"/>
    <w:rsid w:val="1EFB7661"/>
    <w:rsid w:val="1EFD0EF8"/>
    <w:rsid w:val="1EFD2EEA"/>
    <w:rsid w:val="1EFD4C8E"/>
    <w:rsid w:val="1EFE7B22"/>
    <w:rsid w:val="1F001CE6"/>
    <w:rsid w:val="1F015ADF"/>
    <w:rsid w:val="1F044E12"/>
    <w:rsid w:val="1F045284"/>
    <w:rsid w:val="1F0542E3"/>
    <w:rsid w:val="1F064EE9"/>
    <w:rsid w:val="1F072B55"/>
    <w:rsid w:val="1F074136"/>
    <w:rsid w:val="1F094B5F"/>
    <w:rsid w:val="1F0B06B0"/>
    <w:rsid w:val="1F0B58F0"/>
    <w:rsid w:val="1F0D7C01"/>
    <w:rsid w:val="1F0E0F61"/>
    <w:rsid w:val="1F0E375A"/>
    <w:rsid w:val="1F0F61E9"/>
    <w:rsid w:val="1F103FF7"/>
    <w:rsid w:val="1F116BF6"/>
    <w:rsid w:val="1F161E37"/>
    <w:rsid w:val="1F163A3F"/>
    <w:rsid w:val="1F164FEF"/>
    <w:rsid w:val="1F193C26"/>
    <w:rsid w:val="1F1A71B5"/>
    <w:rsid w:val="1F1B4555"/>
    <w:rsid w:val="1F1F5D6A"/>
    <w:rsid w:val="1F203291"/>
    <w:rsid w:val="1F207616"/>
    <w:rsid w:val="1F241061"/>
    <w:rsid w:val="1F273366"/>
    <w:rsid w:val="1F285FA2"/>
    <w:rsid w:val="1F2A4355"/>
    <w:rsid w:val="1F2A6B85"/>
    <w:rsid w:val="1F2C640B"/>
    <w:rsid w:val="1F2D19F4"/>
    <w:rsid w:val="1F2D22F3"/>
    <w:rsid w:val="1F31024C"/>
    <w:rsid w:val="1F317A3E"/>
    <w:rsid w:val="1F317B5F"/>
    <w:rsid w:val="1F320C2C"/>
    <w:rsid w:val="1F350BB7"/>
    <w:rsid w:val="1F38205A"/>
    <w:rsid w:val="1F3A21B4"/>
    <w:rsid w:val="1F3B0D35"/>
    <w:rsid w:val="1F3B0E39"/>
    <w:rsid w:val="1F3D4EC4"/>
    <w:rsid w:val="1F473AF5"/>
    <w:rsid w:val="1F4842BA"/>
    <w:rsid w:val="1F4A0B7F"/>
    <w:rsid w:val="1F4C3498"/>
    <w:rsid w:val="1F4E1776"/>
    <w:rsid w:val="1F4E19C3"/>
    <w:rsid w:val="1F501192"/>
    <w:rsid w:val="1F511035"/>
    <w:rsid w:val="1F5159E8"/>
    <w:rsid w:val="1F5C2E77"/>
    <w:rsid w:val="1F5E50D6"/>
    <w:rsid w:val="1F5F4349"/>
    <w:rsid w:val="1F604306"/>
    <w:rsid w:val="1F617BE1"/>
    <w:rsid w:val="1F64108B"/>
    <w:rsid w:val="1F6574C5"/>
    <w:rsid w:val="1F657B3C"/>
    <w:rsid w:val="1F665DD5"/>
    <w:rsid w:val="1F6A4E42"/>
    <w:rsid w:val="1F6A53C4"/>
    <w:rsid w:val="1F6B6967"/>
    <w:rsid w:val="1F6D0350"/>
    <w:rsid w:val="1F702338"/>
    <w:rsid w:val="1F71670D"/>
    <w:rsid w:val="1F741C35"/>
    <w:rsid w:val="1F742C48"/>
    <w:rsid w:val="1F755880"/>
    <w:rsid w:val="1F766097"/>
    <w:rsid w:val="1F774DDD"/>
    <w:rsid w:val="1F791B5A"/>
    <w:rsid w:val="1F7927B0"/>
    <w:rsid w:val="1F7B1005"/>
    <w:rsid w:val="1F7B4AC5"/>
    <w:rsid w:val="1F7B74B8"/>
    <w:rsid w:val="1F7F5872"/>
    <w:rsid w:val="1F855D3B"/>
    <w:rsid w:val="1F871682"/>
    <w:rsid w:val="1F8C4375"/>
    <w:rsid w:val="1F8C617F"/>
    <w:rsid w:val="1F8E010A"/>
    <w:rsid w:val="1F906604"/>
    <w:rsid w:val="1F916C2E"/>
    <w:rsid w:val="1F9334DF"/>
    <w:rsid w:val="1F967199"/>
    <w:rsid w:val="1F96799D"/>
    <w:rsid w:val="1F97755C"/>
    <w:rsid w:val="1F98640E"/>
    <w:rsid w:val="1F9B57EA"/>
    <w:rsid w:val="1F9C2450"/>
    <w:rsid w:val="1FA04761"/>
    <w:rsid w:val="1FA337C3"/>
    <w:rsid w:val="1FA6473E"/>
    <w:rsid w:val="1FA75F76"/>
    <w:rsid w:val="1FA827E2"/>
    <w:rsid w:val="1FAB645E"/>
    <w:rsid w:val="1FB11AE3"/>
    <w:rsid w:val="1FB30446"/>
    <w:rsid w:val="1FB40420"/>
    <w:rsid w:val="1FB53D15"/>
    <w:rsid w:val="1FB85769"/>
    <w:rsid w:val="1FB8762E"/>
    <w:rsid w:val="1FB92F66"/>
    <w:rsid w:val="1FBB2AB5"/>
    <w:rsid w:val="1FBC0F4F"/>
    <w:rsid w:val="1FBC257D"/>
    <w:rsid w:val="1FBD7418"/>
    <w:rsid w:val="1FBE1709"/>
    <w:rsid w:val="1FBF2D05"/>
    <w:rsid w:val="1FC16708"/>
    <w:rsid w:val="1FC27480"/>
    <w:rsid w:val="1FC40ACF"/>
    <w:rsid w:val="1FC45515"/>
    <w:rsid w:val="1FC47504"/>
    <w:rsid w:val="1FC6510F"/>
    <w:rsid w:val="1FC7779F"/>
    <w:rsid w:val="1FC802EC"/>
    <w:rsid w:val="1FC82778"/>
    <w:rsid w:val="1FCA1C72"/>
    <w:rsid w:val="1FCA50DF"/>
    <w:rsid w:val="1FCF0119"/>
    <w:rsid w:val="1FCF568F"/>
    <w:rsid w:val="1FD10774"/>
    <w:rsid w:val="1FD54FD8"/>
    <w:rsid w:val="1FD954BF"/>
    <w:rsid w:val="1FDC5934"/>
    <w:rsid w:val="1FDF5087"/>
    <w:rsid w:val="1FDF7A7E"/>
    <w:rsid w:val="1FE067EE"/>
    <w:rsid w:val="1FE1655C"/>
    <w:rsid w:val="1FE2213D"/>
    <w:rsid w:val="1FE355E9"/>
    <w:rsid w:val="1FE35636"/>
    <w:rsid w:val="1FE4218B"/>
    <w:rsid w:val="1FE4284E"/>
    <w:rsid w:val="1FE437EF"/>
    <w:rsid w:val="1FE6304E"/>
    <w:rsid w:val="1FE67A6F"/>
    <w:rsid w:val="1FE76D45"/>
    <w:rsid w:val="1FE81299"/>
    <w:rsid w:val="1FE855C7"/>
    <w:rsid w:val="1FED1329"/>
    <w:rsid w:val="1FEE2830"/>
    <w:rsid w:val="1FF026F8"/>
    <w:rsid w:val="1FF03331"/>
    <w:rsid w:val="1FF05BDA"/>
    <w:rsid w:val="1FF27B0A"/>
    <w:rsid w:val="1FF4762D"/>
    <w:rsid w:val="1FF8362B"/>
    <w:rsid w:val="1FFA470B"/>
    <w:rsid w:val="1FFC02C4"/>
    <w:rsid w:val="1FFD75FA"/>
    <w:rsid w:val="1FFE2B9A"/>
    <w:rsid w:val="1FFE48E1"/>
    <w:rsid w:val="200157A0"/>
    <w:rsid w:val="200A021E"/>
    <w:rsid w:val="200A747C"/>
    <w:rsid w:val="200E741D"/>
    <w:rsid w:val="200F6E98"/>
    <w:rsid w:val="20173399"/>
    <w:rsid w:val="20191B1E"/>
    <w:rsid w:val="201A04B5"/>
    <w:rsid w:val="201B694A"/>
    <w:rsid w:val="201E2CD6"/>
    <w:rsid w:val="201E39FA"/>
    <w:rsid w:val="201E6178"/>
    <w:rsid w:val="201F5996"/>
    <w:rsid w:val="20215B2A"/>
    <w:rsid w:val="20225FF2"/>
    <w:rsid w:val="2029056C"/>
    <w:rsid w:val="20294B23"/>
    <w:rsid w:val="202B1B1F"/>
    <w:rsid w:val="202B527B"/>
    <w:rsid w:val="202D4503"/>
    <w:rsid w:val="2030048A"/>
    <w:rsid w:val="203116CB"/>
    <w:rsid w:val="2031174E"/>
    <w:rsid w:val="20375E8D"/>
    <w:rsid w:val="20386457"/>
    <w:rsid w:val="2038772A"/>
    <w:rsid w:val="203C3282"/>
    <w:rsid w:val="203E65E6"/>
    <w:rsid w:val="203E7567"/>
    <w:rsid w:val="204074E7"/>
    <w:rsid w:val="204217E0"/>
    <w:rsid w:val="20427814"/>
    <w:rsid w:val="20437C46"/>
    <w:rsid w:val="20444F25"/>
    <w:rsid w:val="20446B06"/>
    <w:rsid w:val="20476C83"/>
    <w:rsid w:val="204E0ED6"/>
    <w:rsid w:val="20515870"/>
    <w:rsid w:val="20532461"/>
    <w:rsid w:val="205376DE"/>
    <w:rsid w:val="2055391E"/>
    <w:rsid w:val="20576C23"/>
    <w:rsid w:val="2058273B"/>
    <w:rsid w:val="20587879"/>
    <w:rsid w:val="20597FAD"/>
    <w:rsid w:val="205A40C1"/>
    <w:rsid w:val="205A4322"/>
    <w:rsid w:val="205D04BA"/>
    <w:rsid w:val="206055EE"/>
    <w:rsid w:val="20610DF6"/>
    <w:rsid w:val="20684181"/>
    <w:rsid w:val="20686E9B"/>
    <w:rsid w:val="2069098E"/>
    <w:rsid w:val="206A7B66"/>
    <w:rsid w:val="206F20B1"/>
    <w:rsid w:val="206F4F53"/>
    <w:rsid w:val="207266F0"/>
    <w:rsid w:val="20731463"/>
    <w:rsid w:val="20780AED"/>
    <w:rsid w:val="20796374"/>
    <w:rsid w:val="207A7B07"/>
    <w:rsid w:val="207B05A8"/>
    <w:rsid w:val="207B1F53"/>
    <w:rsid w:val="207B46E3"/>
    <w:rsid w:val="207B5132"/>
    <w:rsid w:val="207C216E"/>
    <w:rsid w:val="207C39E1"/>
    <w:rsid w:val="207C7D86"/>
    <w:rsid w:val="207D14CA"/>
    <w:rsid w:val="207D1FE2"/>
    <w:rsid w:val="207D3B64"/>
    <w:rsid w:val="20810E41"/>
    <w:rsid w:val="20830214"/>
    <w:rsid w:val="20833494"/>
    <w:rsid w:val="20835E9F"/>
    <w:rsid w:val="208416E0"/>
    <w:rsid w:val="20844061"/>
    <w:rsid w:val="20846BC2"/>
    <w:rsid w:val="20852ECF"/>
    <w:rsid w:val="20863602"/>
    <w:rsid w:val="20874024"/>
    <w:rsid w:val="208B102C"/>
    <w:rsid w:val="208C6B49"/>
    <w:rsid w:val="208D6A5A"/>
    <w:rsid w:val="208E0532"/>
    <w:rsid w:val="208F17F8"/>
    <w:rsid w:val="209260F7"/>
    <w:rsid w:val="209320AB"/>
    <w:rsid w:val="209421D5"/>
    <w:rsid w:val="20945EF4"/>
    <w:rsid w:val="20985F68"/>
    <w:rsid w:val="209C0431"/>
    <w:rsid w:val="209C2C0D"/>
    <w:rsid w:val="209D05D0"/>
    <w:rsid w:val="209D3A90"/>
    <w:rsid w:val="209D6F81"/>
    <w:rsid w:val="209F3C2D"/>
    <w:rsid w:val="20A003A6"/>
    <w:rsid w:val="20A12B1B"/>
    <w:rsid w:val="20A302E1"/>
    <w:rsid w:val="20A42917"/>
    <w:rsid w:val="20A4667D"/>
    <w:rsid w:val="20A62753"/>
    <w:rsid w:val="20A839A9"/>
    <w:rsid w:val="20AD4130"/>
    <w:rsid w:val="20AF64FB"/>
    <w:rsid w:val="20B13F10"/>
    <w:rsid w:val="20B34289"/>
    <w:rsid w:val="20B95B34"/>
    <w:rsid w:val="20BA073A"/>
    <w:rsid w:val="20BA2687"/>
    <w:rsid w:val="20BC6F54"/>
    <w:rsid w:val="20BD03D9"/>
    <w:rsid w:val="20BD1B72"/>
    <w:rsid w:val="20BD455D"/>
    <w:rsid w:val="20C022B8"/>
    <w:rsid w:val="20C301FA"/>
    <w:rsid w:val="20C72A88"/>
    <w:rsid w:val="20C749C3"/>
    <w:rsid w:val="20C8411E"/>
    <w:rsid w:val="20C85DB5"/>
    <w:rsid w:val="20C92165"/>
    <w:rsid w:val="20CC347E"/>
    <w:rsid w:val="20CE7A26"/>
    <w:rsid w:val="20D42B8E"/>
    <w:rsid w:val="20D50D4C"/>
    <w:rsid w:val="20D51EBE"/>
    <w:rsid w:val="20D73758"/>
    <w:rsid w:val="20D82B35"/>
    <w:rsid w:val="20D83BB3"/>
    <w:rsid w:val="20D872CA"/>
    <w:rsid w:val="20DA0726"/>
    <w:rsid w:val="20DC4F92"/>
    <w:rsid w:val="20DD0E03"/>
    <w:rsid w:val="20DE54D2"/>
    <w:rsid w:val="20E0203B"/>
    <w:rsid w:val="20E152DE"/>
    <w:rsid w:val="20E310DB"/>
    <w:rsid w:val="20E50E2B"/>
    <w:rsid w:val="20E54454"/>
    <w:rsid w:val="20E8708A"/>
    <w:rsid w:val="20E928CA"/>
    <w:rsid w:val="20F121C7"/>
    <w:rsid w:val="20F62E05"/>
    <w:rsid w:val="20F72DE2"/>
    <w:rsid w:val="20F805FC"/>
    <w:rsid w:val="20F87015"/>
    <w:rsid w:val="21003356"/>
    <w:rsid w:val="21034619"/>
    <w:rsid w:val="21062F1F"/>
    <w:rsid w:val="21090448"/>
    <w:rsid w:val="21091051"/>
    <w:rsid w:val="210D2224"/>
    <w:rsid w:val="210E7E50"/>
    <w:rsid w:val="211154C1"/>
    <w:rsid w:val="21122160"/>
    <w:rsid w:val="21132555"/>
    <w:rsid w:val="21135C15"/>
    <w:rsid w:val="211C5CBA"/>
    <w:rsid w:val="211C65CC"/>
    <w:rsid w:val="211D32E7"/>
    <w:rsid w:val="211D36C0"/>
    <w:rsid w:val="211D557C"/>
    <w:rsid w:val="211F1893"/>
    <w:rsid w:val="212416A5"/>
    <w:rsid w:val="212476B9"/>
    <w:rsid w:val="21267545"/>
    <w:rsid w:val="21270775"/>
    <w:rsid w:val="21280EC4"/>
    <w:rsid w:val="21291F1E"/>
    <w:rsid w:val="212979CE"/>
    <w:rsid w:val="212A4067"/>
    <w:rsid w:val="212A78EF"/>
    <w:rsid w:val="212B7D95"/>
    <w:rsid w:val="212C3189"/>
    <w:rsid w:val="212D35E0"/>
    <w:rsid w:val="212F0795"/>
    <w:rsid w:val="21306A6C"/>
    <w:rsid w:val="21325C6B"/>
    <w:rsid w:val="21326572"/>
    <w:rsid w:val="21350523"/>
    <w:rsid w:val="21370744"/>
    <w:rsid w:val="21371410"/>
    <w:rsid w:val="21380992"/>
    <w:rsid w:val="21381D85"/>
    <w:rsid w:val="213829E3"/>
    <w:rsid w:val="2138421D"/>
    <w:rsid w:val="2139019C"/>
    <w:rsid w:val="213952E3"/>
    <w:rsid w:val="213A56F7"/>
    <w:rsid w:val="213C0348"/>
    <w:rsid w:val="213D51AD"/>
    <w:rsid w:val="213E35B2"/>
    <w:rsid w:val="213E3624"/>
    <w:rsid w:val="213F7470"/>
    <w:rsid w:val="214006C1"/>
    <w:rsid w:val="21406C50"/>
    <w:rsid w:val="21420A51"/>
    <w:rsid w:val="21422B89"/>
    <w:rsid w:val="21431161"/>
    <w:rsid w:val="214334CD"/>
    <w:rsid w:val="21475CA6"/>
    <w:rsid w:val="21481A98"/>
    <w:rsid w:val="21484E0E"/>
    <w:rsid w:val="214B093B"/>
    <w:rsid w:val="214D7094"/>
    <w:rsid w:val="21505771"/>
    <w:rsid w:val="2151442D"/>
    <w:rsid w:val="21521806"/>
    <w:rsid w:val="215378B0"/>
    <w:rsid w:val="2154084D"/>
    <w:rsid w:val="21540E9F"/>
    <w:rsid w:val="21554043"/>
    <w:rsid w:val="21557316"/>
    <w:rsid w:val="21561266"/>
    <w:rsid w:val="2159314B"/>
    <w:rsid w:val="215C1306"/>
    <w:rsid w:val="21607541"/>
    <w:rsid w:val="21630200"/>
    <w:rsid w:val="2164623F"/>
    <w:rsid w:val="216547BC"/>
    <w:rsid w:val="21674972"/>
    <w:rsid w:val="2169015A"/>
    <w:rsid w:val="21695A2B"/>
    <w:rsid w:val="216B64B1"/>
    <w:rsid w:val="216C3CE5"/>
    <w:rsid w:val="216E458E"/>
    <w:rsid w:val="21774899"/>
    <w:rsid w:val="21780833"/>
    <w:rsid w:val="217A5064"/>
    <w:rsid w:val="217C6E2A"/>
    <w:rsid w:val="217D5A75"/>
    <w:rsid w:val="217E0844"/>
    <w:rsid w:val="217F29E2"/>
    <w:rsid w:val="21805817"/>
    <w:rsid w:val="21807F80"/>
    <w:rsid w:val="21837E45"/>
    <w:rsid w:val="218440B5"/>
    <w:rsid w:val="218735FC"/>
    <w:rsid w:val="21887E90"/>
    <w:rsid w:val="218A14F1"/>
    <w:rsid w:val="218E4AB4"/>
    <w:rsid w:val="218F1F94"/>
    <w:rsid w:val="21925435"/>
    <w:rsid w:val="21936375"/>
    <w:rsid w:val="219824CA"/>
    <w:rsid w:val="21995F9A"/>
    <w:rsid w:val="219A01C7"/>
    <w:rsid w:val="219A3578"/>
    <w:rsid w:val="219A7A96"/>
    <w:rsid w:val="21A01378"/>
    <w:rsid w:val="21A0312F"/>
    <w:rsid w:val="21A42CAD"/>
    <w:rsid w:val="21A55F1B"/>
    <w:rsid w:val="21A6648C"/>
    <w:rsid w:val="21A80F34"/>
    <w:rsid w:val="21A823F1"/>
    <w:rsid w:val="21AC42CD"/>
    <w:rsid w:val="21AE3DDD"/>
    <w:rsid w:val="21AE676C"/>
    <w:rsid w:val="21B24CE2"/>
    <w:rsid w:val="21B34F25"/>
    <w:rsid w:val="21B6508F"/>
    <w:rsid w:val="21B70BBF"/>
    <w:rsid w:val="21B76DAB"/>
    <w:rsid w:val="21BD446C"/>
    <w:rsid w:val="21BD7B41"/>
    <w:rsid w:val="21BF7F01"/>
    <w:rsid w:val="21C142D6"/>
    <w:rsid w:val="21C1797A"/>
    <w:rsid w:val="21C243EE"/>
    <w:rsid w:val="21C32EA8"/>
    <w:rsid w:val="21C44AF2"/>
    <w:rsid w:val="21C57503"/>
    <w:rsid w:val="21C64D92"/>
    <w:rsid w:val="21C733D7"/>
    <w:rsid w:val="21C877C8"/>
    <w:rsid w:val="21C8796A"/>
    <w:rsid w:val="21CB2677"/>
    <w:rsid w:val="21CD1994"/>
    <w:rsid w:val="21CD5A18"/>
    <w:rsid w:val="21CE2DD7"/>
    <w:rsid w:val="21CE38B9"/>
    <w:rsid w:val="21CF3BEB"/>
    <w:rsid w:val="21D0269C"/>
    <w:rsid w:val="21D05B89"/>
    <w:rsid w:val="21D62416"/>
    <w:rsid w:val="21DE2802"/>
    <w:rsid w:val="21DF388F"/>
    <w:rsid w:val="21E05BA0"/>
    <w:rsid w:val="21E22CA0"/>
    <w:rsid w:val="21E359B1"/>
    <w:rsid w:val="21E53216"/>
    <w:rsid w:val="21E57EB9"/>
    <w:rsid w:val="21E85417"/>
    <w:rsid w:val="21EC614B"/>
    <w:rsid w:val="21ED333C"/>
    <w:rsid w:val="21EF3E78"/>
    <w:rsid w:val="21F13F04"/>
    <w:rsid w:val="21F50294"/>
    <w:rsid w:val="21F5490F"/>
    <w:rsid w:val="21F6378D"/>
    <w:rsid w:val="21F714B8"/>
    <w:rsid w:val="21F777B9"/>
    <w:rsid w:val="21F93D13"/>
    <w:rsid w:val="21F952AF"/>
    <w:rsid w:val="21FB2E71"/>
    <w:rsid w:val="21FC0C3E"/>
    <w:rsid w:val="21FD4B12"/>
    <w:rsid w:val="21FE53A6"/>
    <w:rsid w:val="22022869"/>
    <w:rsid w:val="220248C5"/>
    <w:rsid w:val="2202501B"/>
    <w:rsid w:val="22042211"/>
    <w:rsid w:val="22090657"/>
    <w:rsid w:val="220D49FB"/>
    <w:rsid w:val="22103C11"/>
    <w:rsid w:val="221254A2"/>
    <w:rsid w:val="22131C5B"/>
    <w:rsid w:val="22140AB2"/>
    <w:rsid w:val="22171AD9"/>
    <w:rsid w:val="2217684E"/>
    <w:rsid w:val="22184E65"/>
    <w:rsid w:val="22191F53"/>
    <w:rsid w:val="221A0027"/>
    <w:rsid w:val="221A5752"/>
    <w:rsid w:val="221D7F9E"/>
    <w:rsid w:val="221E0079"/>
    <w:rsid w:val="22204ECD"/>
    <w:rsid w:val="22206573"/>
    <w:rsid w:val="22261A71"/>
    <w:rsid w:val="22270A54"/>
    <w:rsid w:val="222959FE"/>
    <w:rsid w:val="222B75B5"/>
    <w:rsid w:val="222D00F3"/>
    <w:rsid w:val="222D0C3D"/>
    <w:rsid w:val="222E0EA2"/>
    <w:rsid w:val="222F3F1A"/>
    <w:rsid w:val="22305540"/>
    <w:rsid w:val="22333C9F"/>
    <w:rsid w:val="223746C8"/>
    <w:rsid w:val="223B537C"/>
    <w:rsid w:val="223C15B6"/>
    <w:rsid w:val="223D4059"/>
    <w:rsid w:val="223E5CE4"/>
    <w:rsid w:val="22414252"/>
    <w:rsid w:val="22425D6C"/>
    <w:rsid w:val="22456EE1"/>
    <w:rsid w:val="2247013F"/>
    <w:rsid w:val="224A1414"/>
    <w:rsid w:val="224C1D03"/>
    <w:rsid w:val="224D4401"/>
    <w:rsid w:val="224E5763"/>
    <w:rsid w:val="2250378C"/>
    <w:rsid w:val="225470C9"/>
    <w:rsid w:val="22556922"/>
    <w:rsid w:val="2257336E"/>
    <w:rsid w:val="22597B0D"/>
    <w:rsid w:val="225C5F75"/>
    <w:rsid w:val="225E2751"/>
    <w:rsid w:val="22612591"/>
    <w:rsid w:val="22634C2D"/>
    <w:rsid w:val="226545E8"/>
    <w:rsid w:val="22662E3E"/>
    <w:rsid w:val="2266462B"/>
    <w:rsid w:val="22683DD5"/>
    <w:rsid w:val="226B3BED"/>
    <w:rsid w:val="226F2D3C"/>
    <w:rsid w:val="22705B8C"/>
    <w:rsid w:val="22717A58"/>
    <w:rsid w:val="22725B01"/>
    <w:rsid w:val="2277727B"/>
    <w:rsid w:val="227836E8"/>
    <w:rsid w:val="227A4D8C"/>
    <w:rsid w:val="227A6F28"/>
    <w:rsid w:val="227D2AF6"/>
    <w:rsid w:val="227D4B83"/>
    <w:rsid w:val="227E2C9C"/>
    <w:rsid w:val="227F5DD2"/>
    <w:rsid w:val="227F6172"/>
    <w:rsid w:val="22857212"/>
    <w:rsid w:val="228918C4"/>
    <w:rsid w:val="228946EE"/>
    <w:rsid w:val="228A05B8"/>
    <w:rsid w:val="228B4C3F"/>
    <w:rsid w:val="228C6E78"/>
    <w:rsid w:val="228D3833"/>
    <w:rsid w:val="228D5B08"/>
    <w:rsid w:val="229352FA"/>
    <w:rsid w:val="229579C7"/>
    <w:rsid w:val="22967AFE"/>
    <w:rsid w:val="229870F6"/>
    <w:rsid w:val="22987CB2"/>
    <w:rsid w:val="229F511B"/>
    <w:rsid w:val="229F5F22"/>
    <w:rsid w:val="22A064FB"/>
    <w:rsid w:val="22A1370F"/>
    <w:rsid w:val="22A2349F"/>
    <w:rsid w:val="22A36029"/>
    <w:rsid w:val="22A4075C"/>
    <w:rsid w:val="22A47B23"/>
    <w:rsid w:val="22A561F2"/>
    <w:rsid w:val="22A820AE"/>
    <w:rsid w:val="22A846B5"/>
    <w:rsid w:val="22AA0403"/>
    <w:rsid w:val="22AC47B6"/>
    <w:rsid w:val="22AE4EF6"/>
    <w:rsid w:val="22AE5D2E"/>
    <w:rsid w:val="22AF1437"/>
    <w:rsid w:val="22AF2663"/>
    <w:rsid w:val="22B14462"/>
    <w:rsid w:val="22B17723"/>
    <w:rsid w:val="22B27C13"/>
    <w:rsid w:val="22B63652"/>
    <w:rsid w:val="22B87B11"/>
    <w:rsid w:val="22BB0814"/>
    <w:rsid w:val="22BE77C9"/>
    <w:rsid w:val="22BF0484"/>
    <w:rsid w:val="22C106A8"/>
    <w:rsid w:val="22C145D9"/>
    <w:rsid w:val="22C27BC8"/>
    <w:rsid w:val="22C34D0C"/>
    <w:rsid w:val="22C50E7C"/>
    <w:rsid w:val="22C57635"/>
    <w:rsid w:val="22C74501"/>
    <w:rsid w:val="22C93063"/>
    <w:rsid w:val="22CF38FD"/>
    <w:rsid w:val="22D11581"/>
    <w:rsid w:val="22D232A4"/>
    <w:rsid w:val="22D2494D"/>
    <w:rsid w:val="22D47693"/>
    <w:rsid w:val="22D54EC4"/>
    <w:rsid w:val="22D77F09"/>
    <w:rsid w:val="22D91C0A"/>
    <w:rsid w:val="22DD4045"/>
    <w:rsid w:val="22DE0253"/>
    <w:rsid w:val="22E15BCF"/>
    <w:rsid w:val="22E27E63"/>
    <w:rsid w:val="22E40544"/>
    <w:rsid w:val="22E90468"/>
    <w:rsid w:val="22EA78DF"/>
    <w:rsid w:val="22EB01D4"/>
    <w:rsid w:val="22EB0864"/>
    <w:rsid w:val="22EB6BD2"/>
    <w:rsid w:val="22EC4160"/>
    <w:rsid w:val="22EE20D7"/>
    <w:rsid w:val="22EE2EF5"/>
    <w:rsid w:val="22EE6104"/>
    <w:rsid w:val="22F03968"/>
    <w:rsid w:val="22F140D3"/>
    <w:rsid w:val="22F27695"/>
    <w:rsid w:val="22F41D21"/>
    <w:rsid w:val="22F53773"/>
    <w:rsid w:val="22F929E3"/>
    <w:rsid w:val="22FB1B6E"/>
    <w:rsid w:val="230102EF"/>
    <w:rsid w:val="23042F42"/>
    <w:rsid w:val="230743C6"/>
    <w:rsid w:val="230B576B"/>
    <w:rsid w:val="230C4039"/>
    <w:rsid w:val="230C5DFA"/>
    <w:rsid w:val="230D1A6A"/>
    <w:rsid w:val="230D57DC"/>
    <w:rsid w:val="230E2076"/>
    <w:rsid w:val="2314258A"/>
    <w:rsid w:val="2316390E"/>
    <w:rsid w:val="23181BC0"/>
    <w:rsid w:val="231B1743"/>
    <w:rsid w:val="231C63BE"/>
    <w:rsid w:val="231D7154"/>
    <w:rsid w:val="231E0B4F"/>
    <w:rsid w:val="231E60DC"/>
    <w:rsid w:val="232261CF"/>
    <w:rsid w:val="23241120"/>
    <w:rsid w:val="232417DD"/>
    <w:rsid w:val="23242AA7"/>
    <w:rsid w:val="2324521F"/>
    <w:rsid w:val="23247ED3"/>
    <w:rsid w:val="23276C65"/>
    <w:rsid w:val="23280B7C"/>
    <w:rsid w:val="232A1308"/>
    <w:rsid w:val="232C027C"/>
    <w:rsid w:val="232D7981"/>
    <w:rsid w:val="2333332E"/>
    <w:rsid w:val="23367173"/>
    <w:rsid w:val="23387255"/>
    <w:rsid w:val="233A4116"/>
    <w:rsid w:val="233A4310"/>
    <w:rsid w:val="233D510C"/>
    <w:rsid w:val="233F3878"/>
    <w:rsid w:val="23405202"/>
    <w:rsid w:val="23444B31"/>
    <w:rsid w:val="234A21B3"/>
    <w:rsid w:val="234C6B41"/>
    <w:rsid w:val="235200F6"/>
    <w:rsid w:val="23522E0A"/>
    <w:rsid w:val="23533477"/>
    <w:rsid w:val="235940D9"/>
    <w:rsid w:val="235A799C"/>
    <w:rsid w:val="235D4E13"/>
    <w:rsid w:val="23614441"/>
    <w:rsid w:val="23640624"/>
    <w:rsid w:val="23643215"/>
    <w:rsid w:val="23661595"/>
    <w:rsid w:val="23664384"/>
    <w:rsid w:val="236667B8"/>
    <w:rsid w:val="23670E13"/>
    <w:rsid w:val="23673643"/>
    <w:rsid w:val="2369531B"/>
    <w:rsid w:val="2370681B"/>
    <w:rsid w:val="23717DD2"/>
    <w:rsid w:val="237361C2"/>
    <w:rsid w:val="23740D57"/>
    <w:rsid w:val="237511E9"/>
    <w:rsid w:val="23754ACB"/>
    <w:rsid w:val="23760981"/>
    <w:rsid w:val="23763FD3"/>
    <w:rsid w:val="23766B03"/>
    <w:rsid w:val="237F10EE"/>
    <w:rsid w:val="23803A88"/>
    <w:rsid w:val="238047D5"/>
    <w:rsid w:val="238132C5"/>
    <w:rsid w:val="238241A6"/>
    <w:rsid w:val="23846615"/>
    <w:rsid w:val="23846711"/>
    <w:rsid w:val="2385121A"/>
    <w:rsid w:val="23856129"/>
    <w:rsid w:val="23881A67"/>
    <w:rsid w:val="23896B1C"/>
    <w:rsid w:val="238A08E4"/>
    <w:rsid w:val="238B5622"/>
    <w:rsid w:val="238C2C8C"/>
    <w:rsid w:val="238E60CD"/>
    <w:rsid w:val="238E733C"/>
    <w:rsid w:val="23905213"/>
    <w:rsid w:val="239348FC"/>
    <w:rsid w:val="239369C3"/>
    <w:rsid w:val="239448D3"/>
    <w:rsid w:val="23972FF1"/>
    <w:rsid w:val="239744CA"/>
    <w:rsid w:val="239D3598"/>
    <w:rsid w:val="239E4B26"/>
    <w:rsid w:val="239E60C3"/>
    <w:rsid w:val="239E7556"/>
    <w:rsid w:val="23A42398"/>
    <w:rsid w:val="23A51C56"/>
    <w:rsid w:val="23A627F1"/>
    <w:rsid w:val="23AA2C9C"/>
    <w:rsid w:val="23AD1F20"/>
    <w:rsid w:val="23AF162D"/>
    <w:rsid w:val="23AF57DC"/>
    <w:rsid w:val="23B06687"/>
    <w:rsid w:val="23B208F0"/>
    <w:rsid w:val="23B26491"/>
    <w:rsid w:val="23B43553"/>
    <w:rsid w:val="23B63933"/>
    <w:rsid w:val="23B666ED"/>
    <w:rsid w:val="23B71B5A"/>
    <w:rsid w:val="23B8727B"/>
    <w:rsid w:val="23B878B0"/>
    <w:rsid w:val="23BA338F"/>
    <w:rsid w:val="23BB6369"/>
    <w:rsid w:val="23BC437A"/>
    <w:rsid w:val="23C0635E"/>
    <w:rsid w:val="23C70A30"/>
    <w:rsid w:val="23C80B25"/>
    <w:rsid w:val="23C97EBB"/>
    <w:rsid w:val="23CA21D1"/>
    <w:rsid w:val="23CB1649"/>
    <w:rsid w:val="23CC2A41"/>
    <w:rsid w:val="23CC62A9"/>
    <w:rsid w:val="23CD2C5A"/>
    <w:rsid w:val="23D000B4"/>
    <w:rsid w:val="23D34366"/>
    <w:rsid w:val="23D365B0"/>
    <w:rsid w:val="23D52988"/>
    <w:rsid w:val="23D54FFA"/>
    <w:rsid w:val="23D71793"/>
    <w:rsid w:val="23DB007D"/>
    <w:rsid w:val="23DB6F1A"/>
    <w:rsid w:val="23DC44C7"/>
    <w:rsid w:val="23DE1D14"/>
    <w:rsid w:val="23E44C91"/>
    <w:rsid w:val="23E515BC"/>
    <w:rsid w:val="23E73B47"/>
    <w:rsid w:val="23F057D5"/>
    <w:rsid w:val="23F229A8"/>
    <w:rsid w:val="23F30062"/>
    <w:rsid w:val="23F45FD7"/>
    <w:rsid w:val="23F64B14"/>
    <w:rsid w:val="23F90C66"/>
    <w:rsid w:val="23FD4044"/>
    <w:rsid w:val="240151F0"/>
    <w:rsid w:val="240249DF"/>
    <w:rsid w:val="24042DF6"/>
    <w:rsid w:val="240772FC"/>
    <w:rsid w:val="2408265B"/>
    <w:rsid w:val="24083A4F"/>
    <w:rsid w:val="24087B11"/>
    <w:rsid w:val="240970EC"/>
    <w:rsid w:val="240F317D"/>
    <w:rsid w:val="24103588"/>
    <w:rsid w:val="24106B97"/>
    <w:rsid w:val="24111B53"/>
    <w:rsid w:val="241257BC"/>
    <w:rsid w:val="24135E95"/>
    <w:rsid w:val="24152C2A"/>
    <w:rsid w:val="24163CC6"/>
    <w:rsid w:val="241A5FF0"/>
    <w:rsid w:val="241B06E2"/>
    <w:rsid w:val="241B63C5"/>
    <w:rsid w:val="241B7103"/>
    <w:rsid w:val="241E258C"/>
    <w:rsid w:val="241F4DAA"/>
    <w:rsid w:val="24240539"/>
    <w:rsid w:val="24253E3C"/>
    <w:rsid w:val="2425771C"/>
    <w:rsid w:val="2429246F"/>
    <w:rsid w:val="242A29EE"/>
    <w:rsid w:val="242A55E7"/>
    <w:rsid w:val="242B2EA2"/>
    <w:rsid w:val="242B6583"/>
    <w:rsid w:val="242D353A"/>
    <w:rsid w:val="242F208A"/>
    <w:rsid w:val="24302979"/>
    <w:rsid w:val="243035BE"/>
    <w:rsid w:val="24314D74"/>
    <w:rsid w:val="24317658"/>
    <w:rsid w:val="24322565"/>
    <w:rsid w:val="24325DEC"/>
    <w:rsid w:val="243361AE"/>
    <w:rsid w:val="24336DFE"/>
    <w:rsid w:val="243372B7"/>
    <w:rsid w:val="24337743"/>
    <w:rsid w:val="2435211C"/>
    <w:rsid w:val="24360283"/>
    <w:rsid w:val="24363044"/>
    <w:rsid w:val="243A1DE1"/>
    <w:rsid w:val="243B2862"/>
    <w:rsid w:val="243B3324"/>
    <w:rsid w:val="243D124A"/>
    <w:rsid w:val="24402616"/>
    <w:rsid w:val="24414112"/>
    <w:rsid w:val="24460AD9"/>
    <w:rsid w:val="2447279F"/>
    <w:rsid w:val="24487578"/>
    <w:rsid w:val="244B5F36"/>
    <w:rsid w:val="244C7121"/>
    <w:rsid w:val="244D707F"/>
    <w:rsid w:val="24514930"/>
    <w:rsid w:val="2453560B"/>
    <w:rsid w:val="24536562"/>
    <w:rsid w:val="24541F4F"/>
    <w:rsid w:val="24594DC9"/>
    <w:rsid w:val="245C6EAD"/>
    <w:rsid w:val="245C6FBC"/>
    <w:rsid w:val="245E3050"/>
    <w:rsid w:val="245E3F52"/>
    <w:rsid w:val="24606139"/>
    <w:rsid w:val="24620048"/>
    <w:rsid w:val="2464625C"/>
    <w:rsid w:val="246A2DC8"/>
    <w:rsid w:val="246B2981"/>
    <w:rsid w:val="246D4A39"/>
    <w:rsid w:val="246E189D"/>
    <w:rsid w:val="247135EB"/>
    <w:rsid w:val="24760271"/>
    <w:rsid w:val="24777089"/>
    <w:rsid w:val="247815F1"/>
    <w:rsid w:val="24786577"/>
    <w:rsid w:val="247A0FD6"/>
    <w:rsid w:val="247B31C1"/>
    <w:rsid w:val="247C5775"/>
    <w:rsid w:val="247F3D10"/>
    <w:rsid w:val="24800773"/>
    <w:rsid w:val="248050FB"/>
    <w:rsid w:val="24805C0C"/>
    <w:rsid w:val="2480669D"/>
    <w:rsid w:val="248066F9"/>
    <w:rsid w:val="24823FE3"/>
    <w:rsid w:val="24826B30"/>
    <w:rsid w:val="24837274"/>
    <w:rsid w:val="24837DE1"/>
    <w:rsid w:val="24841895"/>
    <w:rsid w:val="24877720"/>
    <w:rsid w:val="24893D1D"/>
    <w:rsid w:val="248B646F"/>
    <w:rsid w:val="248D7572"/>
    <w:rsid w:val="248E7692"/>
    <w:rsid w:val="2491555E"/>
    <w:rsid w:val="24915C86"/>
    <w:rsid w:val="249600C7"/>
    <w:rsid w:val="24963384"/>
    <w:rsid w:val="24993A15"/>
    <w:rsid w:val="249B5AB9"/>
    <w:rsid w:val="249C5CDC"/>
    <w:rsid w:val="24A06E02"/>
    <w:rsid w:val="24A127A8"/>
    <w:rsid w:val="24A131E8"/>
    <w:rsid w:val="24A36212"/>
    <w:rsid w:val="24A84EE7"/>
    <w:rsid w:val="24AA1E4A"/>
    <w:rsid w:val="24AC6DAC"/>
    <w:rsid w:val="24AE4DF2"/>
    <w:rsid w:val="24B109FF"/>
    <w:rsid w:val="24B15277"/>
    <w:rsid w:val="24B45181"/>
    <w:rsid w:val="24B45357"/>
    <w:rsid w:val="24B4602F"/>
    <w:rsid w:val="24B812BA"/>
    <w:rsid w:val="24B9479B"/>
    <w:rsid w:val="24BA0532"/>
    <w:rsid w:val="24BA7927"/>
    <w:rsid w:val="24BC7257"/>
    <w:rsid w:val="24C23086"/>
    <w:rsid w:val="24C26709"/>
    <w:rsid w:val="24C44ECD"/>
    <w:rsid w:val="24C73022"/>
    <w:rsid w:val="24D52F2E"/>
    <w:rsid w:val="24D5614F"/>
    <w:rsid w:val="24D5698E"/>
    <w:rsid w:val="24D61F4D"/>
    <w:rsid w:val="24D62C28"/>
    <w:rsid w:val="24D925AA"/>
    <w:rsid w:val="24DC6D67"/>
    <w:rsid w:val="24DF6608"/>
    <w:rsid w:val="24DF6E57"/>
    <w:rsid w:val="24E104DD"/>
    <w:rsid w:val="24E409D6"/>
    <w:rsid w:val="24E60DDD"/>
    <w:rsid w:val="24E720B8"/>
    <w:rsid w:val="24E74C3C"/>
    <w:rsid w:val="24E768AF"/>
    <w:rsid w:val="24E927C7"/>
    <w:rsid w:val="24EA130A"/>
    <w:rsid w:val="24EA7317"/>
    <w:rsid w:val="24F11B01"/>
    <w:rsid w:val="24F21120"/>
    <w:rsid w:val="24F55862"/>
    <w:rsid w:val="24F778F4"/>
    <w:rsid w:val="24FA3F41"/>
    <w:rsid w:val="24FE3F5E"/>
    <w:rsid w:val="24FF2D35"/>
    <w:rsid w:val="24FF59CA"/>
    <w:rsid w:val="2501007E"/>
    <w:rsid w:val="25020551"/>
    <w:rsid w:val="25025940"/>
    <w:rsid w:val="25044BFD"/>
    <w:rsid w:val="250A7603"/>
    <w:rsid w:val="250B7B16"/>
    <w:rsid w:val="250C08A2"/>
    <w:rsid w:val="250F60FD"/>
    <w:rsid w:val="250F7506"/>
    <w:rsid w:val="25112ED8"/>
    <w:rsid w:val="25113FFA"/>
    <w:rsid w:val="25136AB1"/>
    <w:rsid w:val="2516547C"/>
    <w:rsid w:val="2517765F"/>
    <w:rsid w:val="251A768B"/>
    <w:rsid w:val="251B694B"/>
    <w:rsid w:val="251C331C"/>
    <w:rsid w:val="251D7E97"/>
    <w:rsid w:val="251F57B6"/>
    <w:rsid w:val="251F6905"/>
    <w:rsid w:val="252075B9"/>
    <w:rsid w:val="25210C99"/>
    <w:rsid w:val="252613BF"/>
    <w:rsid w:val="25274412"/>
    <w:rsid w:val="2527597F"/>
    <w:rsid w:val="2527723D"/>
    <w:rsid w:val="25277C84"/>
    <w:rsid w:val="25284215"/>
    <w:rsid w:val="25293251"/>
    <w:rsid w:val="252A535A"/>
    <w:rsid w:val="252C2F3C"/>
    <w:rsid w:val="252E36BB"/>
    <w:rsid w:val="252F21FF"/>
    <w:rsid w:val="25304982"/>
    <w:rsid w:val="25362598"/>
    <w:rsid w:val="25382A45"/>
    <w:rsid w:val="253B1B94"/>
    <w:rsid w:val="253B6D36"/>
    <w:rsid w:val="253D2369"/>
    <w:rsid w:val="253D2BA1"/>
    <w:rsid w:val="253D698D"/>
    <w:rsid w:val="253E2607"/>
    <w:rsid w:val="25426FEB"/>
    <w:rsid w:val="25427AB6"/>
    <w:rsid w:val="25432786"/>
    <w:rsid w:val="25464326"/>
    <w:rsid w:val="254859A6"/>
    <w:rsid w:val="254940AA"/>
    <w:rsid w:val="25496B4D"/>
    <w:rsid w:val="254F046E"/>
    <w:rsid w:val="25514E39"/>
    <w:rsid w:val="25533F04"/>
    <w:rsid w:val="25541A3B"/>
    <w:rsid w:val="25573E3A"/>
    <w:rsid w:val="25592B8D"/>
    <w:rsid w:val="255B7DE5"/>
    <w:rsid w:val="255D0190"/>
    <w:rsid w:val="255D4734"/>
    <w:rsid w:val="255E48F7"/>
    <w:rsid w:val="255F3879"/>
    <w:rsid w:val="2560343B"/>
    <w:rsid w:val="2560701D"/>
    <w:rsid w:val="2563394E"/>
    <w:rsid w:val="25654F94"/>
    <w:rsid w:val="25656B62"/>
    <w:rsid w:val="25674BAE"/>
    <w:rsid w:val="256A23D2"/>
    <w:rsid w:val="256B4DC4"/>
    <w:rsid w:val="256C736C"/>
    <w:rsid w:val="256D10CE"/>
    <w:rsid w:val="256D33ED"/>
    <w:rsid w:val="256D7E39"/>
    <w:rsid w:val="256E305E"/>
    <w:rsid w:val="256E6306"/>
    <w:rsid w:val="256E71F4"/>
    <w:rsid w:val="256F1ADF"/>
    <w:rsid w:val="25706893"/>
    <w:rsid w:val="25756BB2"/>
    <w:rsid w:val="257809B9"/>
    <w:rsid w:val="257C3913"/>
    <w:rsid w:val="257E4E4B"/>
    <w:rsid w:val="257F4F51"/>
    <w:rsid w:val="257F578A"/>
    <w:rsid w:val="257F7CFC"/>
    <w:rsid w:val="258274F4"/>
    <w:rsid w:val="258602F8"/>
    <w:rsid w:val="258620C2"/>
    <w:rsid w:val="25873F78"/>
    <w:rsid w:val="258B22B7"/>
    <w:rsid w:val="258B39F8"/>
    <w:rsid w:val="258B69B0"/>
    <w:rsid w:val="258C7953"/>
    <w:rsid w:val="258D7F9C"/>
    <w:rsid w:val="2590199D"/>
    <w:rsid w:val="25944AA1"/>
    <w:rsid w:val="25944E63"/>
    <w:rsid w:val="25954AD2"/>
    <w:rsid w:val="25981487"/>
    <w:rsid w:val="25992ACA"/>
    <w:rsid w:val="25996784"/>
    <w:rsid w:val="259B7535"/>
    <w:rsid w:val="259D0843"/>
    <w:rsid w:val="259D3A85"/>
    <w:rsid w:val="259F5803"/>
    <w:rsid w:val="25A12F2F"/>
    <w:rsid w:val="25A327E8"/>
    <w:rsid w:val="25A354A2"/>
    <w:rsid w:val="25A36509"/>
    <w:rsid w:val="25A51CC2"/>
    <w:rsid w:val="25A60124"/>
    <w:rsid w:val="25A743FC"/>
    <w:rsid w:val="25A86B97"/>
    <w:rsid w:val="25A9735C"/>
    <w:rsid w:val="25AA46E7"/>
    <w:rsid w:val="25AC0DE6"/>
    <w:rsid w:val="25AC5590"/>
    <w:rsid w:val="25B03FC3"/>
    <w:rsid w:val="25B46A1F"/>
    <w:rsid w:val="25B57E6D"/>
    <w:rsid w:val="25B73369"/>
    <w:rsid w:val="25BD5E45"/>
    <w:rsid w:val="25BE6D2B"/>
    <w:rsid w:val="25BF5994"/>
    <w:rsid w:val="25C05D0F"/>
    <w:rsid w:val="25C0755E"/>
    <w:rsid w:val="25C3288B"/>
    <w:rsid w:val="25C35074"/>
    <w:rsid w:val="25C45AC3"/>
    <w:rsid w:val="25C47AF8"/>
    <w:rsid w:val="25C57B5E"/>
    <w:rsid w:val="25C7524D"/>
    <w:rsid w:val="25C8520D"/>
    <w:rsid w:val="25C9383C"/>
    <w:rsid w:val="25CB0934"/>
    <w:rsid w:val="25CC67DD"/>
    <w:rsid w:val="25CC6B03"/>
    <w:rsid w:val="25D05CC3"/>
    <w:rsid w:val="25D1239D"/>
    <w:rsid w:val="25D26301"/>
    <w:rsid w:val="25D42DDC"/>
    <w:rsid w:val="25D558FA"/>
    <w:rsid w:val="25D5785B"/>
    <w:rsid w:val="25D62B52"/>
    <w:rsid w:val="25D84525"/>
    <w:rsid w:val="25D86049"/>
    <w:rsid w:val="25DB1BC9"/>
    <w:rsid w:val="25DD0456"/>
    <w:rsid w:val="25DD09D3"/>
    <w:rsid w:val="25DE06EF"/>
    <w:rsid w:val="25DE0D50"/>
    <w:rsid w:val="25DE677A"/>
    <w:rsid w:val="25E118FE"/>
    <w:rsid w:val="25E12466"/>
    <w:rsid w:val="25E22BE2"/>
    <w:rsid w:val="25E271AD"/>
    <w:rsid w:val="25E36385"/>
    <w:rsid w:val="25E444A9"/>
    <w:rsid w:val="25E56C84"/>
    <w:rsid w:val="25E57FC1"/>
    <w:rsid w:val="25E80506"/>
    <w:rsid w:val="25EA5E25"/>
    <w:rsid w:val="25EC1DF8"/>
    <w:rsid w:val="25ED1783"/>
    <w:rsid w:val="25EE348D"/>
    <w:rsid w:val="25EF19F2"/>
    <w:rsid w:val="25F0521E"/>
    <w:rsid w:val="25F06279"/>
    <w:rsid w:val="25F45641"/>
    <w:rsid w:val="25F61010"/>
    <w:rsid w:val="25F64C52"/>
    <w:rsid w:val="25F815A1"/>
    <w:rsid w:val="25F955A3"/>
    <w:rsid w:val="25FA4673"/>
    <w:rsid w:val="25FB4AA5"/>
    <w:rsid w:val="25FC3656"/>
    <w:rsid w:val="25FC6A36"/>
    <w:rsid w:val="25FD6A2B"/>
    <w:rsid w:val="25FE40DF"/>
    <w:rsid w:val="25FE760A"/>
    <w:rsid w:val="26000F8B"/>
    <w:rsid w:val="2600146A"/>
    <w:rsid w:val="260102A0"/>
    <w:rsid w:val="260938B7"/>
    <w:rsid w:val="260B627B"/>
    <w:rsid w:val="260F3FE7"/>
    <w:rsid w:val="260F6BEC"/>
    <w:rsid w:val="26115E09"/>
    <w:rsid w:val="2612223A"/>
    <w:rsid w:val="26142029"/>
    <w:rsid w:val="261618D5"/>
    <w:rsid w:val="26172926"/>
    <w:rsid w:val="261952BB"/>
    <w:rsid w:val="261E4950"/>
    <w:rsid w:val="26200125"/>
    <w:rsid w:val="262025A5"/>
    <w:rsid w:val="2623101D"/>
    <w:rsid w:val="2623251C"/>
    <w:rsid w:val="26257C18"/>
    <w:rsid w:val="2626026D"/>
    <w:rsid w:val="262B466D"/>
    <w:rsid w:val="262E7B0C"/>
    <w:rsid w:val="262F22CF"/>
    <w:rsid w:val="26315A2F"/>
    <w:rsid w:val="26325A70"/>
    <w:rsid w:val="263504D8"/>
    <w:rsid w:val="263B604B"/>
    <w:rsid w:val="263D638B"/>
    <w:rsid w:val="26413364"/>
    <w:rsid w:val="2642359E"/>
    <w:rsid w:val="264376CD"/>
    <w:rsid w:val="26474F18"/>
    <w:rsid w:val="2648639F"/>
    <w:rsid w:val="264A7953"/>
    <w:rsid w:val="264C25C4"/>
    <w:rsid w:val="264D03BF"/>
    <w:rsid w:val="264D531C"/>
    <w:rsid w:val="264E33D6"/>
    <w:rsid w:val="26522EED"/>
    <w:rsid w:val="26523773"/>
    <w:rsid w:val="265263BC"/>
    <w:rsid w:val="26592776"/>
    <w:rsid w:val="26597019"/>
    <w:rsid w:val="26613C4A"/>
    <w:rsid w:val="266209B0"/>
    <w:rsid w:val="266231A6"/>
    <w:rsid w:val="26630068"/>
    <w:rsid w:val="26632A8B"/>
    <w:rsid w:val="26666F6F"/>
    <w:rsid w:val="2667503C"/>
    <w:rsid w:val="26686E1D"/>
    <w:rsid w:val="266A1FB1"/>
    <w:rsid w:val="266A7EAA"/>
    <w:rsid w:val="266C0C64"/>
    <w:rsid w:val="26710EAC"/>
    <w:rsid w:val="2672518E"/>
    <w:rsid w:val="267276CA"/>
    <w:rsid w:val="26751768"/>
    <w:rsid w:val="26755F4C"/>
    <w:rsid w:val="2676590C"/>
    <w:rsid w:val="26771D68"/>
    <w:rsid w:val="2677404A"/>
    <w:rsid w:val="26795ECB"/>
    <w:rsid w:val="26797CBB"/>
    <w:rsid w:val="267E12A3"/>
    <w:rsid w:val="267F0233"/>
    <w:rsid w:val="268421ED"/>
    <w:rsid w:val="26847F24"/>
    <w:rsid w:val="26890048"/>
    <w:rsid w:val="268C7FC9"/>
    <w:rsid w:val="268F0D1A"/>
    <w:rsid w:val="268F288F"/>
    <w:rsid w:val="26906CB1"/>
    <w:rsid w:val="26911D5E"/>
    <w:rsid w:val="269240C6"/>
    <w:rsid w:val="269337A8"/>
    <w:rsid w:val="26936219"/>
    <w:rsid w:val="269503DE"/>
    <w:rsid w:val="26951B43"/>
    <w:rsid w:val="269737E7"/>
    <w:rsid w:val="26977E16"/>
    <w:rsid w:val="269939D5"/>
    <w:rsid w:val="269B5E76"/>
    <w:rsid w:val="269C079D"/>
    <w:rsid w:val="269D0AB0"/>
    <w:rsid w:val="26A51477"/>
    <w:rsid w:val="26A567E6"/>
    <w:rsid w:val="26A7102E"/>
    <w:rsid w:val="26A83420"/>
    <w:rsid w:val="26A8715B"/>
    <w:rsid w:val="26AD0B71"/>
    <w:rsid w:val="26AD16B9"/>
    <w:rsid w:val="26AD7FB2"/>
    <w:rsid w:val="26AE6898"/>
    <w:rsid w:val="26B0788A"/>
    <w:rsid w:val="26B164D8"/>
    <w:rsid w:val="26B2157C"/>
    <w:rsid w:val="26B45D47"/>
    <w:rsid w:val="26B76585"/>
    <w:rsid w:val="26B77B3D"/>
    <w:rsid w:val="26B83CE2"/>
    <w:rsid w:val="26BC7D7F"/>
    <w:rsid w:val="26BE11CC"/>
    <w:rsid w:val="26BF7F26"/>
    <w:rsid w:val="26C37ABF"/>
    <w:rsid w:val="26C46517"/>
    <w:rsid w:val="26C57A1A"/>
    <w:rsid w:val="26CF0A59"/>
    <w:rsid w:val="26D1683E"/>
    <w:rsid w:val="26D27608"/>
    <w:rsid w:val="26D43E3D"/>
    <w:rsid w:val="26D47F37"/>
    <w:rsid w:val="26D50651"/>
    <w:rsid w:val="26D65023"/>
    <w:rsid w:val="26DC28F0"/>
    <w:rsid w:val="26DD0140"/>
    <w:rsid w:val="26DF5E61"/>
    <w:rsid w:val="26E13B08"/>
    <w:rsid w:val="26E14EBE"/>
    <w:rsid w:val="26E42A4B"/>
    <w:rsid w:val="26E90BDF"/>
    <w:rsid w:val="26EA2336"/>
    <w:rsid w:val="26EB32CD"/>
    <w:rsid w:val="26EF0086"/>
    <w:rsid w:val="26F206DF"/>
    <w:rsid w:val="26F233AB"/>
    <w:rsid w:val="26FC1A50"/>
    <w:rsid w:val="26FC1F9D"/>
    <w:rsid w:val="27000194"/>
    <w:rsid w:val="27015ED1"/>
    <w:rsid w:val="27017FF2"/>
    <w:rsid w:val="27042413"/>
    <w:rsid w:val="27074DA0"/>
    <w:rsid w:val="270A5D53"/>
    <w:rsid w:val="270D51C2"/>
    <w:rsid w:val="27123BE6"/>
    <w:rsid w:val="271245C6"/>
    <w:rsid w:val="27157F33"/>
    <w:rsid w:val="27161A2E"/>
    <w:rsid w:val="27172483"/>
    <w:rsid w:val="271746C1"/>
    <w:rsid w:val="27182BEB"/>
    <w:rsid w:val="271A102F"/>
    <w:rsid w:val="271A3CB1"/>
    <w:rsid w:val="271A3F92"/>
    <w:rsid w:val="271A7396"/>
    <w:rsid w:val="271B42A9"/>
    <w:rsid w:val="2720564E"/>
    <w:rsid w:val="27224C2A"/>
    <w:rsid w:val="27274139"/>
    <w:rsid w:val="272750A4"/>
    <w:rsid w:val="27285477"/>
    <w:rsid w:val="272930CB"/>
    <w:rsid w:val="272931D6"/>
    <w:rsid w:val="272A1F42"/>
    <w:rsid w:val="272C32CA"/>
    <w:rsid w:val="272D1B80"/>
    <w:rsid w:val="272D3FC7"/>
    <w:rsid w:val="272E6324"/>
    <w:rsid w:val="2730391B"/>
    <w:rsid w:val="27317DB7"/>
    <w:rsid w:val="27367890"/>
    <w:rsid w:val="2738322B"/>
    <w:rsid w:val="27392EA1"/>
    <w:rsid w:val="273C01BA"/>
    <w:rsid w:val="273E5C6B"/>
    <w:rsid w:val="27402AEE"/>
    <w:rsid w:val="2746226A"/>
    <w:rsid w:val="2747279D"/>
    <w:rsid w:val="27485264"/>
    <w:rsid w:val="27495D05"/>
    <w:rsid w:val="274A7381"/>
    <w:rsid w:val="274D75D2"/>
    <w:rsid w:val="274E7006"/>
    <w:rsid w:val="274F73B3"/>
    <w:rsid w:val="2750034B"/>
    <w:rsid w:val="275279F7"/>
    <w:rsid w:val="275378A4"/>
    <w:rsid w:val="27540360"/>
    <w:rsid w:val="27547738"/>
    <w:rsid w:val="275551BE"/>
    <w:rsid w:val="27557EE2"/>
    <w:rsid w:val="27572205"/>
    <w:rsid w:val="275F73EF"/>
    <w:rsid w:val="2761096A"/>
    <w:rsid w:val="27611B2C"/>
    <w:rsid w:val="2761350E"/>
    <w:rsid w:val="27615C2F"/>
    <w:rsid w:val="27623F6B"/>
    <w:rsid w:val="2763739E"/>
    <w:rsid w:val="276534A7"/>
    <w:rsid w:val="276C38AB"/>
    <w:rsid w:val="276D7802"/>
    <w:rsid w:val="276E26D0"/>
    <w:rsid w:val="27714E38"/>
    <w:rsid w:val="27726A91"/>
    <w:rsid w:val="27753D20"/>
    <w:rsid w:val="27763E6F"/>
    <w:rsid w:val="27782B8F"/>
    <w:rsid w:val="277A5DBC"/>
    <w:rsid w:val="277C1DD9"/>
    <w:rsid w:val="277C5D60"/>
    <w:rsid w:val="277C716E"/>
    <w:rsid w:val="277E45C6"/>
    <w:rsid w:val="277E4BA8"/>
    <w:rsid w:val="278062C9"/>
    <w:rsid w:val="27816F46"/>
    <w:rsid w:val="278A0F25"/>
    <w:rsid w:val="278A5A3D"/>
    <w:rsid w:val="278D74C1"/>
    <w:rsid w:val="278E5395"/>
    <w:rsid w:val="27900208"/>
    <w:rsid w:val="27913E20"/>
    <w:rsid w:val="2792547E"/>
    <w:rsid w:val="27946D3D"/>
    <w:rsid w:val="27952602"/>
    <w:rsid w:val="27956C8C"/>
    <w:rsid w:val="2798003B"/>
    <w:rsid w:val="279830EB"/>
    <w:rsid w:val="27991965"/>
    <w:rsid w:val="27992002"/>
    <w:rsid w:val="2799258A"/>
    <w:rsid w:val="279B18CA"/>
    <w:rsid w:val="279C384A"/>
    <w:rsid w:val="279E119D"/>
    <w:rsid w:val="279E5D90"/>
    <w:rsid w:val="279F6512"/>
    <w:rsid w:val="27A35BC7"/>
    <w:rsid w:val="27A44620"/>
    <w:rsid w:val="27A57D7C"/>
    <w:rsid w:val="27A6759B"/>
    <w:rsid w:val="27AC3D1F"/>
    <w:rsid w:val="27AC6D06"/>
    <w:rsid w:val="27AD3324"/>
    <w:rsid w:val="27AF2F87"/>
    <w:rsid w:val="27B00E9A"/>
    <w:rsid w:val="27B10C87"/>
    <w:rsid w:val="27B24324"/>
    <w:rsid w:val="27B34091"/>
    <w:rsid w:val="27B36A0F"/>
    <w:rsid w:val="27B55756"/>
    <w:rsid w:val="27B748FF"/>
    <w:rsid w:val="27B84C70"/>
    <w:rsid w:val="27BB78D8"/>
    <w:rsid w:val="27C01BF6"/>
    <w:rsid w:val="27C07985"/>
    <w:rsid w:val="27C1048E"/>
    <w:rsid w:val="27C33BB5"/>
    <w:rsid w:val="27C62123"/>
    <w:rsid w:val="27C80D28"/>
    <w:rsid w:val="27CA2491"/>
    <w:rsid w:val="27CE4CF2"/>
    <w:rsid w:val="27CE60E0"/>
    <w:rsid w:val="27D12A89"/>
    <w:rsid w:val="27D43E56"/>
    <w:rsid w:val="27D66408"/>
    <w:rsid w:val="27D71A88"/>
    <w:rsid w:val="27D72150"/>
    <w:rsid w:val="27DC3A70"/>
    <w:rsid w:val="27DD49C4"/>
    <w:rsid w:val="27DF017A"/>
    <w:rsid w:val="27E03BEA"/>
    <w:rsid w:val="27E12726"/>
    <w:rsid w:val="27E356C2"/>
    <w:rsid w:val="27E45DFF"/>
    <w:rsid w:val="27E76532"/>
    <w:rsid w:val="27E771B0"/>
    <w:rsid w:val="27E773DF"/>
    <w:rsid w:val="27EA54D7"/>
    <w:rsid w:val="27F07668"/>
    <w:rsid w:val="27F17AB4"/>
    <w:rsid w:val="27F527A2"/>
    <w:rsid w:val="27F8711C"/>
    <w:rsid w:val="27F878E3"/>
    <w:rsid w:val="27FA782F"/>
    <w:rsid w:val="27FD12D0"/>
    <w:rsid w:val="27FD2BDA"/>
    <w:rsid w:val="27FE3E33"/>
    <w:rsid w:val="27FF5CC7"/>
    <w:rsid w:val="28031B92"/>
    <w:rsid w:val="28045654"/>
    <w:rsid w:val="28062B05"/>
    <w:rsid w:val="280A4491"/>
    <w:rsid w:val="280B4375"/>
    <w:rsid w:val="280D51A7"/>
    <w:rsid w:val="280F4ECF"/>
    <w:rsid w:val="28121CB1"/>
    <w:rsid w:val="28161C0C"/>
    <w:rsid w:val="28191A05"/>
    <w:rsid w:val="28195F48"/>
    <w:rsid w:val="281D56C0"/>
    <w:rsid w:val="281F16BC"/>
    <w:rsid w:val="28215331"/>
    <w:rsid w:val="28240046"/>
    <w:rsid w:val="28267170"/>
    <w:rsid w:val="28282BF8"/>
    <w:rsid w:val="28285308"/>
    <w:rsid w:val="28294DBC"/>
    <w:rsid w:val="282A1EC7"/>
    <w:rsid w:val="282B3079"/>
    <w:rsid w:val="282B48D7"/>
    <w:rsid w:val="282D1919"/>
    <w:rsid w:val="282D6077"/>
    <w:rsid w:val="282F3D42"/>
    <w:rsid w:val="283324CA"/>
    <w:rsid w:val="28341E0F"/>
    <w:rsid w:val="283631DD"/>
    <w:rsid w:val="28374389"/>
    <w:rsid w:val="28385629"/>
    <w:rsid w:val="283B01FF"/>
    <w:rsid w:val="283B205E"/>
    <w:rsid w:val="283B62AE"/>
    <w:rsid w:val="283C5744"/>
    <w:rsid w:val="283C5A4C"/>
    <w:rsid w:val="283F0298"/>
    <w:rsid w:val="28415E08"/>
    <w:rsid w:val="2841663F"/>
    <w:rsid w:val="28417809"/>
    <w:rsid w:val="28422218"/>
    <w:rsid w:val="28425074"/>
    <w:rsid w:val="28435BB5"/>
    <w:rsid w:val="2849175A"/>
    <w:rsid w:val="284D7773"/>
    <w:rsid w:val="284E3071"/>
    <w:rsid w:val="285360C5"/>
    <w:rsid w:val="28551A92"/>
    <w:rsid w:val="28571E79"/>
    <w:rsid w:val="28572567"/>
    <w:rsid w:val="285B5003"/>
    <w:rsid w:val="285C35D0"/>
    <w:rsid w:val="285F0BD8"/>
    <w:rsid w:val="285F1544"/>
    <w:rsid w:val="285F16BF"/>
    <w:rsid w:val="28637A0F"/>
    <w:rsid w:val="28640E34"/>
    <w:rsid w:val="28641DEF"/>
    <w:rsid w:val="28650CE2"/>
    <w:rsid w:val="2865111D"/>
    <w:rsid w:val="286631DF"/>
    <w:rsid w:val="28666B95"/>
    <w:rsid w:val="28676427"/>
    <w:rsid w:val="28686252"/>
    <w:rsid w:val="286A50D2"/>
    <w:rsid w:val="286A71E0"/>
    <w:rsid w:val="286C29CB"/>
    <w:rsid w:val="286F05E2"/>
    <w:rsid w:val="2878765B"/>
    <w:rsid w:val="28791581"/>
    <w:rsid w:val="2879174E"/>
    <w:rsid w:val="287A1A81"/>
    <w:rsid w:val="287D3707"/>
    <w:rsid w:val="287E4B85"/>
    <w:rsid w:val="28811A4E"/>
    <w:rsid w:val="288146EF"/>
    <w:rsid w:val="288279AE"/>
    <w:rsid w:val="28830C3B"/>
    <w:rsid w:val="2885553B"/>
    <w:rsid w:val="28861C9A"/>
    <w:rsid w:val="2886209D"/>
    <w:rsid w:val="288642DC"/>
    <w:rsid w:val="288814D2"/>
    <w:rsid w:val="288A2F47"/>
    <w:rsid w:val="288D1D7F"/>
    <w:rsid w:val="289024AE"/>
    <w:rsid w:val="289036DB"/>
    <w:rsid w:val="28931161"/>
    <w:rsid w:val="28943298"/>
    <w:rsid w:val="28951B26"/>
    <w:rsid w:val="28952000"/>
    <w:rsid w:val="289660A2"/>
    <w:rsid w:val="28993651"/>
    <w:rsid w:val="289C6FFC"/>
    <w:rsid w:val="289D0993"/>
    <w:rsid w:val="289F08A7"/>
    <w:rsid w:val="28A1067F"/>
    <w:rsid w:val="28A242FC"/>
    <w:rsid w:val="28A333AC"/>
    <w:rsid w:val="28A56351"/>
    <w:rsid w:val="28A861C9"/>
    <w:rsid w:val="28A9581A"/>
    <w:rsid w:val="28A97811"/>
    <w:rsid w:val="28AA18DB"/>
    <w:rsid w:val="28AA7D3E"/>
    <w:rsid w:val="28AE79AA"/>
    <w:rsid w:val="28B01A3F"/>
    <w:rsid w:val="28B23124"/>
    <w:rsid w:val="28B445CD"/>
    <w:rsid w:val="28B61D2F"/>
    <w:rsid w:val="28B9435D"/>
    <w:rsid w:val="28BC1179"/>
    <w:rsid w:val="28BC564D"/>
    <w:rsid w:val="28BC743A"/>
    <w:rsid w:val="28BD5927"/>
    <w:rsid w:val="28BE0453"/>
    <w:rsid w:val="28C1303E"/>
    <w:rsid w:val="28C24C97"/>
    <w:rsid w:val="28C4107F"/>
    <w:rsid w:val="28C425D5"/>
    <w:rsid w:val="28C543C5"/>
    <w:rsid w:val="28C56161"/>
    <w:rsid w:val="28C7412D"/>
    <w:rsid w:val="28C779FE"/>
    <w:rsid w:val="28C80F5D"/>
    <w:rsid w:val="28C8585E"/>
    <w:rsid w:val="28CA5DF2"/>
    <w:rsid w:val="28CB63B3"/>
    <w:rsid w:val="28CE3D55"/>
    <w:rsid w:val="28D17E0E"/>
    <w:rsid w:val="28D4489F"/>
    <w:rsid w:val="28D4559B"/>
    <w:rsid w:val="28D5111B"/>
    <w:rsid w:val="28D604DB"/>
    <w:rsid w:val="28D67782"/>
    <w:rsid w:val="28D71165"/>
    <w:rsid w:val="28D736FC"/>
    <w:rsid w:val="28DB4521"/>
    <w:rsid w:val="28DC3846"/>
    <w:rsid w:val="28DC6640"/>
    <w:rsid w:val="28DD10FC"/>
    <w:rsid w:val="28DE5DC1"/>
    <w:rsid w:val="28E12D66"/>
    <w:rsid w:val="28E36F34"/>
    <w:rsid w:val="28E37254"/>
    <w:rsid w:val="28E45551"/>
    <w:rsid w:val="28E732B1"/>
    <w:rsid w:val="28EC793D"/>
    <w:rsid w:val="28EE615E"/>
    <w:rsid w:val="28F210AB"/>
    <w:rsid w:val="28F211B2"/>
    <w:rsid w:val="28F32BFF"/>
    <w:rsid w:val="28F74D70"/>
    <w:rsid w:val="28F82CAD"/>
    <w:rsid w:val="28FE1152"/>
    <w:rsid w:val="28FF1C68"/>
    <w:rsid w:val="28FF6C10"/>
    <w:rsid w:val="29041A63"/>
    <w:rsid w:val="290476C7"/>
    <w:rsid w:val="29056614"/>
    <w:rsid w:val="2906016B"/>
    <w:rsid w:val="29093F3D"/>
    <w:rsid w:val="29094667"/>
    <w:rsid w:val="29095C7E"/>
    <w:rsid w:val="290A0B4A"/>
    <w:rsid w:val="290E448D"/>
    <w:rsid w:val="290E5E30"/>
    <w:rsid w:val="291242F3"/>
    <w:rsid w:val="29145162"/>
    <w:rsid w:val="29155E42"/>
    <w:rsid w:val="291747EC"/>
    <w:rsid w:val="291A442A"/>
    <w:rsid w:val="291B1C74"/>
    <w:rsid w:val="291E06F5"/>
    <w:rsid w:val="29246B49"/>
    <w:rsid w:val="29315988"/>
    <w:rsid w:val="293579A8"/>
    <w:rsid w:val="293654BB"/>
    <w:rsid w:val="29373480"/>
    <w:rsid w:val="29390FC4"/>
    <w:rsid w:val="293B657B"/>
    <w:rsid w:val="293B7256"/>
    <w:rsid w:val="293C40E3"/>
    <w:rsid w:val="293C4380"/>
    <w:rsid w:val="293F3038"/>
    <w:rsid w:val="293F6EE1"/>
    <w:rsid w:val="294059DC"/>
    <w:rsid w:val="294121F7"/>
    <w:rsid w:val="29431564"/>
    <w:rsid w:val="29453E14"/>
    <w:rsid w:val="294750FC"/>
    <w:rsid w:val="2948061A"/>
    <w:rsid w:val="29493272"/>
    <w:rsid w:val="294946C2"/>
    <w:rsid w:val="294C5F01"/>
    <w:rsid w:val="294D01FA"/>
    <w:rsid w:val="294D60EA"/>
    <w:rsid w:val="294E0AE1"/>
    <w:rsid w:val="294F344D"/>
    <w:rsid w:val="29500068"/>
    <w:rsid w:val="29501921"/>
    <w:rsid w:val="295029CE"/>
    <w:rsid w:val="29515A2B"/>
    <w:rsid w:val="2955090C"/>
    <w:rsid w:val="29554CB7"/>
    <w:rsid w:val="29570E09"/>
    <w:rsid w:val="2957643A"/>
    <w:rsid w:val="29583DF2"/>
    <w:rsid w:val="295A0AE1"/>
    <w:rsid w:val="295C7060"/>
    <w:rsid w:val="295E09B8"/>
    <w:rsid w:val="29604901"/>
    <w:rsid w:val="29621574"/>
    <w:rsid w:val="29637584"/>
    <w:rsid w:val="29641999"/>
    <w:rsid w:val="29642000"/>
    <w:rsid w:val="296963DB"/>
    <w:rsid w:val="296A7E33"/>
    <w:rsid w:val="296C1F35"/>
    <w:rsid w:val="296D3D7F"/>
    <w:rsid w:val="296F3EE0"/>
    <w:rsid w:val="29703FC7"/>
    <w:rsid w:val="29716859"/>
    <w:rsid w:val="297249B2"/>
    <w:rsid w:val="2975423D"/>
    <w:rsid w:val="29790413"/>
    <w:rsid w:val="297B7352"/>
    <w:rsid w:val="297C4E98"/>
    <w:rsid w:val="29802EB5"/>
    <w:rsid w:val="29807D85"/>
    <w:rsid w:val="298225EA"/>
    <w:rsid w:val="298230A3"/>
    <w:rsid w:val="29864FF4"/>
    <w:rsid w:val="298B060E"/>
    <w:rsid w:val="298B5E1E"/>
    <w:rsid w:val="298F6889"/>
    <w:rsid w:val="2990145E"/>
    <w:rsid w:val="29904501"/>
    <w:rsid w:val="29907CA1"/>
    <w:rsid w:val="2991277D"/>
    <w:rsid w:val="299349C0"/>
    <w:rsid w:val="29986554"/>
    <w:rsid w:val="299919B1"/>
    <w:rsid w:val="2999378E"/>
    <w:rsid w:val="299D3C71"/>
    <w:rsid w:val="299E2D4B"/>
    <w:rsid w:val="299E5037"/>
    <w:rsid w:val="299F337C"/>
    <w:rsid w:val="29A131AF"/>
    <w:rsid w:val="29A23E3C"/>
    <w:rsid w:val="29A25DFA"/>
    <w:rsid w:val="29A33CE5"/>
    <w:rsid w:val="29A36770"/>
    <w:rsid w:val="29A608E1"/>
    <w:rsid w:val="29A6744E"/>
    <w:rsid w:val="29A84274"/>
    <w:rsid w:val="29A95A3E"/>
    <w:rsid w:val="29A96A92"/>
    <w:rsid w:val="29AA5439"/>
    <w:rsid w:val="29B0444F"/>
    <w:rsid w:val="29B27EBC"/>
    <w:rsid w:val="29B3642D"/>
    <w:rsid w:val="29B42678"/>
    <w:rsid w:val="29B56622"/>
    <w:rsid w:val="29B75AD3"/>
    <w:rsid w:val="29BB4E9F"/>
    <w:rsid w:val="29BB7F28"/>
    <w:rsid w:val="29C12A03"/>
    <w:rsid w:val="29C3160B"/>
    <w:rsid w:val="29C47257"/>
    <w:rsid w:val="29C61600"/>
    <w:rsid w:val="29C949D9"/>
    <w:rsid w:val="29CC008E"/>
    <w:rsid w:val="29CC5E14"/>
    <w:rsid w:val="29CC75F7"/>
    <w:rsid w:val="29CD676D"/>
    <w:rsid w:val="29CE27FE"/>
    <w:rsid w:val="29D00361"/>
    <w:rsid w:val="29D0329D"/>
    <w:rsid w:val="29D10EC1"/>
    <w:rsid w:val="29D22268"/>
    <w:rsid w:val="29D22BB5"/>
    <w:rsid w:val="29D318CC"/>
    <w:rsid w:val="29D44B3D"/>
    <w:rsid w:val="29D81D73"/>
    <w:rsid w:val="29D93BCF"/>
    <w:rsid w:val="29DB1C23"/>
    <w:rsid w:val="29DB7982"/>
    <w:rsid w:val="29DD410D"/>
    <w:rsid w:val="29DF3389"/>
    <w:rsid w:val="29DF3735"/>
    <w:rsid w:val="29E05AF9"/>
    <w:rsid w:val="29E4410D"/>
    <w:rsid w:val="29E65AA8"/>
    <w:rsid w:val="29E90B3F"/>
    <w:rsid w:val="29EA285D"/>
    <w:rsid w:val="29EA6479"/>
    <w:rsid w:val="29EB599E"/>
    <w:rsid w:val="29EC2295"/>
    <w:rsid w:val="29EC4070"/>
    <w:rsid w:val="29EC5ECB"/>
    <w:rsid w:val="29EC6D30"/>
    <w:rsid w:val="29F41392"/>
    <w:rsid w:val="29F438DF"/>
    <w:rsid w:val="29F463B2"/>
    <w:rsid w:val="29F62CAE"/>
    <w:rsid w:val="29F7662E"/>
    <w:rsid w:val="29F77201"/>
    <w:rsid w:val="29F82F86"/>
    <w:rsid w:val="29F93B68"/>
    <w:rsid w:val="29FB44CF"/>
    <w:rsid w:val="29FD29D6"/>
    <w:rsid w:val="29FE4D1D"/>
    <w:rsid w:val="29FE714E"/>
    <w:rsid w:val="29FF0112"/>
    <w:rsid w:val="29FF1FC1"/>
    <w:rsid w:val="29FF6332"/>
    <w:rsid w:val="2A0145E2"/>
    <w:rsid w:val="2A0171BB"/>
    <w:rsid w:val="2A024519"/>
    <w:rsid w:val="2A032E6C"/>
    <w:rsid w:val="2A05243E"/>
    <w:rsid w:val="2A0644E9"/>
    <w:rsid w:val="2A090407"/>
    <w:rsid w:val="2A0A5EA8"/>
    <w:rsid w:val="2A0B2BDF"/>
    <w:rsid w:val="2A0C2ACA"/>
    <w:rsid w:val="2A0D21ED"/>
    <w:rsid w:val="2A0D3544"/>
    <w:rsid w:val="2A0E5C38"/>
    <w:rsid w:val="2A0F6374"/>
    <w:rsid w:val="2A103894"/>
    <w:rsid w:val="2A14542C"/>
    <w:rsid w:val="2A166551"/>
    <w:rsid w:val="2A17213E"/>
    <w:rsid w:val="2A1D1D2D"/>
    <w:rsid w:val="2A1F187D"/>
    <w:rsid w:val="2A235E71"/>
    <w:rsid w:val="2A265A41"/>
    <w:rsid w:val="2A293261"/>
    <w:rsid w:val="2A2B0536"/>
    <w:rsid w:val="2A2E06CD"/>
    <w:rsid w:val="2A2E54BD"/>
    <w:rsid w:val="2A311A71"/>
    <w:rsid w:val="2A330C57"/>
    <w:rsid w:val="2A361868"/>
    <w:rsid w:val="2A370982"/>
    <w:rsid w:val="2A3945A7"/>
    <w:rsid w:val="2A3A1FCE"/>
    <w:rsid w:val="2A3A74E9"/>
    <w:rsid w:val="2A3E4584"/>
    <w:rsid w:val="2A3F5308"/>
    <w:rsid w:val="2A403ACC"/>
    <w:rsid w:val="2A415A25"/>
    <w:rsid w:val="2A4405BE"/>
    <w:rsid w:val="2A4A1FD6"/>
    <w:rsid w:val="2A4B458D"/>
    <w:rsid w:val="2A4D104B"/>
    <w:rsid w:val="2A4F0F1B"/>
    <w:rsid w:val="2A50074A"/>
    <w:rsid w:val="2A510FA6"/>
    <w:rsid w:val="2A525B3E"/>
    <w:rsid w:val="2A52784C"/>
    <w:rsid w:val="2A56324A"/>
    <w:rsid w:val="2A57022B"/>
    <w:rsid w:val="2A575709"/>
    <w:rsid w:val="2A58647D"/>
    <w:rsid w:val="2A592647"/>
    <w:rsid w:val="2A5C17DA"/>
    <w:rsid w:val="2A5E09EB"/>
    <w:rsid w:val="2A5F3A10"/>
    <w:rsid w:val="2A660F78"/>
    <w:rsid w:val="2A6950F7"/>
    <w:rsid w:val="2A6A17ED"/>
    <w:rsid w:val="2A6A70CE"/>
    <w:rsid w:val="2A6B4A4B"/>
    <w:rsid w:val="2A6B6DE6"/>
    <w:rsid w:val="2A6E5120"/>
    <w:rsid w:val="2A7051D2"/>
    <w:rsid w:val="2A721D0F"/>
    <w:rsid w:val="2A735CED"/>
    <w:rsid w:val="2A76746E"/>
    <w:rsid w:val="2A793197"/>
    <w:rsid w:val="2A7A020F"/>
    <w:rsid w:val="2A7A6242"/>
    <w:rsid w:val="2A7D0801"/>
    <w:rsid w:val="2A7D5E9D"/>
    <w:rsid w:val="2A7E3B04"/>
    <w:rsid w:val="2A8255D1"/>
    <w:rsid w:val="2A8641C5"/>
    <w:rsid w:val="2A8669D0"/>
    <w:rsid w:val="2A867C2F"/>
    <w:rsid w:val="2A877EB7"/>
    <w:rsid w:val="2A88208E"/>
    <w:rsid w:val="2A882C17"/>
    <w:rsid w:val="2A882F84"/>
    <w:rsid w:val="2A8922D6"/>
    <w:rsid w:val="2A8B3935"/>
    <w:rsid w:val="2A8C061E"/>
    <w:rsid w:val="2A8C1FA4"/>
    <w:rsid w:val="2A8F43BF"/>
    <w:rsid w:val="2A91407F"/>
    <w:rsid w:val="2A9170D6"/>
    <w:rsid w:val="2A950AEE"/>
    <w:rsid w:val="2A9512A5"/>
    <w:rsid w:val="2A9A01EA"/>
    <w:rsid w:val="2A9B78E2"/>
    <w:rsid w:val="2A9E15D1"/>
    <w:rsid w:val="2A9E56BD"/>
    <w:rsid w:val="2AA0672C"/>
    <w:rsid w:val="2AA135E0"/>
    <w:rsid w:val="2AA67317"/>
    <w:rsid w:val="2AA82647"/>
    <w:rsid w:val="2AA93F41"/>
    <w:rsid w:val="2AAA33C2"/>
    <w:rsid w:val="2AAE0334"/>
    <w:rsid w:val="2AAE6775"/>
    <w:rsid w:val="2AB206AE"/>
    <w:rsid w:val="2AB308CE"/>
    <w:rsid w:val="2AB34EC0"/>
    <w:rsid w:val="2AB40C95"/>
    <w:rsid w:val="2AB73BE3"/>
    <w:rsid w:val="2AB9090E"/>
    <w:rsid w:val="2AB9126E"/>
    <w:rsid w:val="2ABA131F"/>
    <w:rsid w:val="2ABA3469"/>
    <w:rsid w:val="2ABA4BA1"/>
    <w:rsid w:val="2ABB7487"/>
    <w:rsid w:val="2ABC09B1"/>
    <w:rsid w:val="2ABC42FC"/>
    <w:rsid w:val="2ABE11FF"/>
    <w:rsid w:val="2ABF15E6"/>
    <w:rsid w:val="2AC04717"/>
    <w:rsid w:val="2AC049AB"/>
    <w:rsid w:val="2AC05F74"/>
    <w:rsid w:val="2AC46FCA"/>
    <w:rsid w:val="2AC765FD"/>
    <w:rsid w:val="2AC9528A"/>
    <w:rsid w:val="2AC97F78"/>
    <w:rsid w:val="2ACD337D"/>
    <w:rsid w:val="2AD43FC5"/>
    <w:rsid w:val="2AD570B4"/>
    <w:rsid w:val="2AD631AA"/>
    <w:rsid w:val="2AD80536"/>
    <w:rsid w:val="2ADA1B0C"/>
    <w:rsid w:val="2ADD4D64"/>
    <w:rsid w:val="2ADD6511"/>
    <w:rsid w:val="2ADE01A1"/>
    <w:rsid w:val="2ADE0C7A"/>
    <w:rsid w:val="2ADE1120"/>
    <w:rsid w:val="2ADE6F6F"/>
    <w:rsid w:val="2ADE79E9"/>
    <w:rsid w:val="2ADE7C6E"/>
    <w:rsid w:val="2AE07422"/>
    <w:rsid w:val="2AE25695"/>
    <w:rsid w:val="2AE25862"/>
    <w:rsid w:val="2AE26A2B"/>
    <w:rsid w:val="2AE333EC"/>
    <w:rsid w:val="2AE34DED"/>
    <w:rsid w:val="2AE6493E"/>
    <w:rsid w:val="2AE67786"/>
    <w:rsid w:val="2AE766CF"/>
    <w:rsid w:val="2AE82CBF"/>
    <w:rsid w:val="2AEA0999"/>
    <w:rsid w:val="2AEA1132"/>
    <w:rsid w:val="2AEA3EDF"/>
    <w:rsid w:val="2AEC060A"/>
    <w:rsid w:val="2AEE5622"/>
    <w:rsid w:val="2AEF2286"/>
    <w:rsid w:val="2AF43EEA"/>
    <w:rsid w:val="2AF44A72"/>
    <w:rsid w:val="2AF64886"/>
    <w:rsid w:val="2AF669AD"/>
    <w:rsid w:val="2AFB3D84"/>
    <w:rsid w:val="2AFC5BE5"/>
    <w:rsid w:val="2AFE4397"/>
    <w:rsid w:val="2B002FA5"/>
    <w:rsid w:val="2B003079"/>
    <w:rsid w:val="2B031370"/>
    <w:rsid w:val="2B033C67"/>
    <w:rsid w:val="2B034A78"/>
    <w:rsid w:val="2B0B6F63"/>
    <w:rsid w:val="2B0C0EFA"/>
    <w:rsid w:val="2B0C5049"/>
    <w:rsid w:val="2B0D21A0"/>
    <w:rsid w:val="2B0F0848"/>
    <w:rsid w:val="2B0F0C59"/>
    <w:rsid w:val="2B0F6CB8"/>
    <w:rsid w:val="2B10753D"/>
    <w:rsid w:val="2B127884"/>
    <w:rsid w:val="2B15348E"/>
    <w:rsid w:val="2B16359A"/>
    <w:rsid w:val="2B17186F"/>
    <w:rsid w:val="2B173A30"/>
    <w:rsid w:val="2B18262C"/>
    <w:rsid w:val="2B1B2068"/>
    <w:rsid w:val="2B1B38C7"/>
    <w:rsid w:val="2B1C4428"/>
    <w:rsid w:val="2B1E4CCA"/>
    <w:rsid w:val="2B204834"/>
    <w:rsid w:val="2B25276E"/>
    <w:rsid w:val="2B2968B4"/>
    <w:rsid w:val="2B2D2BA5"/>
    <w:rsid w:val="2B337AC8"/>
    <w:rsid w:val="2B365359"/>
    <w:rsid w:val="2B375897"/>
    <w:rsid w:val="2B375F48"/>
    <w:rsid w:val="2B397441"/>
    <w:rsid w:val="2B3F593E"/>
    <w:rsid w:val="2B402136"/>
    <w:rsid w:val="2B404D2D"/>
    <w:rsid w:val="2B4060C9"/>
    <w:rsid w:val="2B424225"/>
    <w:rsid w:val="2B425C45"/>
    <w:rsid w:val="2B4364FE"/>
    <w:rsid w:val="2B446527"/>
    <w:rsid w:val="2B457600"/>
    <w:rsid w:val="2B4641E3"/>
    <w:rsid w:val="2B4962FA"/>
    <w:rsid w:val="2B4B02D6"/>
    <w:rsid w:val="2B4D158D"/>
    <w:rsid w:val="2B4D5E46"/>
    <w:rsid w:val="2B4F2D21"/>
    <w:rsid w:val="2B5045CF"/>
    <w:rsid w:val="2B5766FE"/>
    <w:rsid w:val="2B5957DA"/>
    <w:rsid w:val="2B596B7A"/>
    <w:rsid w:val="2B5A38DB"/>
    <w:rsid w:val="2B5A42F7"/>
    <w:rsid w:val="2B643A31"/>
    <w:rsid w:val="2B654C17"/>
    <w:rsid w:val="2B656842"/>
    <w:rsid w:val="2B670AD9"/>
    <w:rsid w:val="2B674306"/>
    <w:rsid w:val="2B67590E"/>
    <w:rsid w:val="2B677EDD"/>
    <w:rsid w:val="2B6A5009"/>
    <w:rsid w:val="2B6C2EE7"/>
    <w:rsid w:val="2B6D0C7E"/>
    <w:rsid w:val="2B6D3377"/>
    <w:rsid w:val="2B700E2B"/>
    <w:rsid w:val="2B7C2779"/>
    <w:rsid w:val="2B7D67B4"/>
    <w:rsid w:val="2B7E60BD"/>
    <w:rsid w:val="2B833CBE"/>
    <w:rsid w:val="2B8A7041"/>
    <w:rsid w:val="2B8B03E0"/>
    <w:rsid w:val="2B8D329C"/>
    <w:rsid w:val="2B8F3A9C"/>
    <w:rsid w:val="2B934543"/>
    <w:rsid w:val="2B935E17"/>
    <w:rsid w:val="2B980ADF"/>
    <w:rsid w:val="2B994976"/>
    <w:rsid w:val="2B9953DC"/>
    <w:rsid w:val="2B9B5016"/>
    <w:rsid w:val="2B9D3680"/>
    <w:rsid w:val="2B9E0036"/>
    <w:rsid w:val="2B9F7243"/>
    <w:rsid w:val="2BA02CE0"/>
    <w:rsid w:val="2BA03C61"/>
    <w:rsid w:val="2BA240AD"/>
    <w:rsid w:val="2BA30AB3"/>
    <w:rsid w:val="2BA669EE"/>
    <w:rsid w:val="2BAC4F23"/>
    <w:rsid w:val="2BAE66C1"/>
    <w:rsid w:val="2BB14486"/>
    <w:rsid w:val="2BB22B5B"/>
    <w:rsid w:val="2BB23424"/>
    <w:rsid w:val="2BB97BAE"/>
    <w:rsid w:val="2BBA74B2"/>
    <w:rsid w:val="2BBE535D"/>
    <w:rsid w:val="2BC44C65"/>
    <w:rsid w:val="2BC7414E"/>
    <w:rsid w:val="2BC90713"/>
    <w:rsid w:val="2BCD031D"/>
    <w:rsid w:val="2BCE18BD"/>
    <w:rsid w:val="2BD120EB"/>
    <w:rsid w:val="2BD22AFA"/>
    <w:rsid w:val="2BD25486"/>
    <w:rsid w:val="2BD706B3"/>
    <w:rsid w:val="2BD92636"/>
    <w:rsid w:val="2BDA7C4C"/>
    <w:rsid w:val="2BDC5AA8"/>
    <w:rsid w:val="2BDD3EEB"/>
    <w:rsid w:val="2BDD6B27"/>
    <w:rsid w:val="2BDE3EF8"/>
    <w:rsid w:val="2BDE64AC"/>
    <w:rsid w:val="2BDF3955"/>
    <w:rsid w:val="2BE31308"/>
    <w:rsid w:val="2BE42BF6"/>
    <w:rsid w:val="2BE46529"/>
    <w:rsid w:val="2BE47198"/>
    <w:rsid w:val="2BEB0E5A"/>
    <w:rsid w:val="2BEB438E"/>
    <w:rsid w:val="2BEC6AB7"/>
    <w:rsid w:val="2BED24B3"/>
    <w:rsid w:val="2BEF1987"/>
    <w:rsid w:val="2BF36680"/>
    <w:rsid w:val="2BFE0D4A"/>
    <w:rsid w:val="2BFE64FB"/>
    <w:rsid w:val="2C033EEF"/>
    <w:rsid w:val="2C036F24"/>
    <w:rsid w:val="2C072661"/>
    <w:rsid w:val="2C095FCA"/>
    <w:rsid w:val="2C0A6BE6"/>
    <w:rsid w:val="2C0E08CF"/>
    <w:rsid w:val="2C0E168B"/>
    <w:rsid w:val="2C0E3185"/>
    <w:rsid w:val="2C11020B"/>
    <w:rsid w:val="2C177471"/>
    <w:rsid w:val="2C1A1943"/>
    <w:rsid w:val="2C1A4E9B"/>
    <w:rsid w:val="2C1A6915"/>
    <w:rsid w:val="2C1B1797"/>
    <w:rsid w:val="2C1C6C74"/>
    <w:rsid w:val="2C1D4E92"/>
    <w:rsid w:val="2C1F696C"/>
    <w:rsid w:val="2C20506D"/>
    <w:rsid w:val="2C28117B"/>
    <w:rsid w:val="2C2D1362"/>
    <w:rsid w:val="2C2D2072"/>
    <w:rsid w:val="2C2E2CC4"/>
    <w:rsid w:val="2C2F0B81"/>
    <w:rsid w:val="2C3159A9"/>
    <w:rsid w:val="2C31732F"/>
    <w:rsid w:val="2C322329"/>
    <w:rsid w:val="2C3302C2"/>
    <w:rsid w:val="2C3A7BBC"/>
    <w:rsid w:val="2C3B7A81"/>
    <w:rsid w:val="2C3C7BFD"/>
    <w:rsid w:val="2C3D14DF"/>
    <w:rsid w:val="2C3F16D0"/>
    <w:rsid w:val="2C3F28C0"/>
    <w:rsid w:val="2C435C26"/>
    <w:rsid w:val="2C4867DE"/>
    <w:rsid w:val="2C493065"/>
    <w:rsid w:val="2C4C0256"/>
    <w:rsid w:val="2C4D0CF9"/>
    <w:rsid w:val="2C4D173C"/>
    <w:rsid w:val="2C4D4F9A"/>
    <w:rsid w:val="2C530BCF"/>
    <w:rsid w:val="2C533A5D"/>
    <w:rsid w:val="2C552C06"/>
    <w:rsid w:val="2C590712"/>
    <w:rsid w:val="2C5A1C7B"/>
    <w:rsid w:val="2C5B0D9B"/>
    <w:rsid w:val="2C5B2FED"/>
    <w:rsid w:val="2C5E52B9"/>
    <w:rsid w:val="2C5F4B63"/>
    <w:rsid w:val="2C6112AB"/>
    <w:rsid w:val="2C627289"/>
    <w:rsid w:val="2C642608"/>
    <w:rsid w:val="2C6569FD"/>
    <w:rsid w:val="2C6A1BBE"/>
    <w:rsid w:val="2C6D7E32"/>
    <w:rsid w:val="2C7160BA"/>
    <w:rsid w:val="2C752ED0"/>
    <w:rsid w:val="2C753B5E"/>
    <w:rsid w:val="2C787BCB"/>
    <w:rsid w:val="2C792E97"/>
    <w:rsid w:val="2C7A1709"/>
    <w:rsid w:val="2C7A5522"/>
    <w:rsid w:val="2C7C59A1"/>
    <w:rsid w:val="2C7D2EBA"/>
    <w:rsid w:val="2C7D47AF"/>
    <w:rsid w:val="2C7E1998"/>
    <w:rsid w:val="2C7F5AB7"/>
    <w:rsid w:val="2C807A9C"/>
    <w:rsid w:val="2C81207A"/>
    <w:rsid w:val="2C823CA6"/>
    <w:rsid w:val="2C840F6B"/>
    <w:rsid w:val="2C8603CE"/>
    <w:rsid w:val="2C871002"/>
    <w:rsid w:val="2C881AF5"/>
    <w:rsid w:val="2C881B5E"/>
    <w:rsid w:val="2C885513"/>
    <w:rsid w:val="2C8A45CD"/>
    <w:rsid w:val="2C8A5F3B"/>
    <w:rsid w:val="2C8C2617"/>
    <w:rsid w:val="2C8D2ACF"/>
    <w:rsid w:val="2C8E2FE8"/>
    <w:rsid w:val="2C8E7672"/>
    <w:rsid w:val="2C900741"/>
    <w:rsid w:val="2C901826"/>
    <w:rsid w:val="2C911FFB"/>
    <w:rsid w:val="2C913BAE"/>
    <w:rsid w:val="2C9302A9"/>
    <w:rsid w:val="2C945F32"/>
    <w:rsid w:val="2C950934"/>
    <w:rsid w:val="2C973389"/>
    <w:rsid w:val="2C977154"/>
    <w:rsid w:val="2C992F74"/>
    <w:rsid w:val="2C9963D9"/>
    <w:rsid w:val="2C9C3044"/>
    <w:rsid w:val="2C9D075B"/>
    <w:rsid w:val="2C9D69CA"/>
    <w:rsid w:val="2C9F2C11"/>
    <w:rsid w:val="2CA34A16"/>
    <w:rsid w:val="2CA51C1A"/>
    <w:rsid w:val="2CA73A04"/>
    <w:rsid w:val="2CA8300F"/>
    <w:rsid w:val="2CA93CAD"/>
    <w:rsid w:val="2CAA2D84"/>
    <w:rsid w:val="2CAE6247"/>
    <w:rsid w:val="2CB01D67"/>
    <w:rsid w:val="2CB62485"/>
    <w:rsid w:val="2CB77905"/>
    <w:rsid w:val="2CB975FC"/>
    <w:rsid w:val="2CB978A6"/>
    <w:rsid w:val="2CBC4B4A"/>
    <w:rsid w:val="2CBC647F"/>
    <w:rsid w:val="2CBE5648"/>
    <w:rsid w:val="2CBF69A7"/>
    <w:rsid w:val="2CC14859"/>
    <w:rsid w:val="2CC44B30"/>
    <w:rsid w:val="2CC7160D"/>
    <w:rsid w:val="2CC90D96"/>
    <w:rsid w:val="2CCA5B99"/>
    <w:rsid w:val="2CCB2EA4"/>
    <w:rsid w:val="2CCF2356"/>
    <w:rsid w:val="2CD12DDD"/>
    <w:rsid w:val="2CD13609"/>
    <w:rsid w:val="2CD2373A"/>
    <w:rsid w:val="2CD24F06"/>
    <w:rsid w:val="2CD25035"/>
    <w:rsid w:val="2CD92CA6"/>
    <w:rsid w:val="2CDB027E"/>
    <w:rsid w:val="2CE1026C"/>
    <w:rsid w:val="2CE47A48"/>
    <w:rsid w:val="2CE906BF"/>
    <w:rsid w:val="2CEA623A"/>
    <w:rsid w:val="2CF15AB7"/>
    <w:rsid w:val="2CF23CC4"/>
    <w:rsid w:val="2D030ADA"/>
    <w:rsid w:val="2D034412"/>
    <w:rsid w:val="2D051EA5"/>
    <w:rsid w:val="2D06183E"/>
    <w:rsid w:val="2D070220"/>
    <w:rsid w:val="2D094ADA"/>
    <w:rsid w:val="2D0B003D"/>
    <w:rsid w:val="2D0E6A82"/>
    <w:rsid w:val="2D101F34"/>
    <w:rsid w:val="2D1523F6"/>
    <w:rsid w:val="2D161E1E"/>
    <w:rsid w:val="2D1861F7"/>
    <w:rsid w:val="2D192648"/>
    <w:rsid w:val="2D1D4C34"/>
    <w:rsid w:val="2D2006EC"/>
    <w:rsid w:val="2D21281E"/>
    <w:rsid w:val="2D213795"/>
    <w:rsid w:val="2D216266"/>
    <w:rsid w:val="2D227F49"/>
    <w:rsid w:val="2D24542F"/>
    <w:rsid w:val="2D246CC5"/>
    <w:rsid w:val="2D250D70"/>
    <w:rsid w:val="2D26691D"/>
    <w:rsid w:val="2D277CA0"/>
    <w:rsid w:val="2D28363F"/>
    <w:rsid w:val="2D296D56"/>
    <w:rsid w:val="2D2E62D0"/>
    <w:rsid w:val="2D302B92"/>
    <w:rsid w:val="2D310216"/>
    <w:rsid w:val="2D312135"/>
    <w:rsid w:val="2D341A32"/>
    <w:rsid w:val="2D34471E"/>
    <w:rsid w:val="2D3464FF"/>
    <w:rsid w:val="2D36126A"/>
    <w:rsid w:val="2D3636F5"/>
    <w:rsid w:val="2D3778AC"/>
    <w:rsid w:val="2D392F02"/>
    <w:rsid w:val="2D3B0725"/>
    <w:rsid w:val="2D3B1C7E"/>
    <w:rsid w:val="2D3C1D75"/>
    <w:rsid w:val="2D3C4B28"/>
    <w:rsid w:val="2D3E5EA0"/>
    <w:rsid w:val="2D40217A"/>
    <w:rsid w:val="2D412870"/>
    <w:rsid w:val="2D423217"/>
    <w:rsid w:val="2D4304D1"/>
    <w:rsid w:val="2D44624D"/>
    <w:rsid w:val="2D4659BC"/>
    <w:rsid w:val="2D471FD7"/>
    <w:rsid w:val="2D4833CE"/>
    <w:rsid w:val="2D4E4523"/>
    <w:rsid w:val="2D522070"/>
    <w:rsid w:val="2D534F51"/>
    <w:rsid w:val="2D564511"/>
    <w:rsid w:val="2D5739B7"/>
    <w:rsid w:val="2D575789"/>
    <w:rsid w:val="2D576ACB"/>
    <w:rsid w:val="2D576DEE"/>
    <w:rsid w:val="2D5953AF"/>
    <w:rsid w:val="2D5C3A4E"/>
    <w:rsid w:val="2D5F5342"/>
    <w:rsid w:val="2D5F6912"/>
    <w:rsid w:val="2D605F8B"/>
    <w:rsid w:val="2D6110BC"/>
    <w:rsid w:val="2D634E9B"/>
    <w:rsid w:val="2D667D7C"/>
    <w:rsid w:val="2D68708B"/>
    <w:rsid w:val="2D6873AC"/>
    <w:rsid w:val="2D6961B7"/>
    <w:rsid w:val="2D6B1401"/>
    <w:rsid w:val="2D6B3ED4"/>
    <w:rsid w:val="2D6E576B"/>
    <w:rsid w:val="2D6F2047"/>
    <w:rsid w:val="2D714072"/>
    <w:rsid w:val="2D77634F"/>
    <w:rsid w:val="2D79280B"/>
    <w:rsid w:val="2D795099"/>
    <w:rsid w:val="2D7A1509"/>
    <w:rsid w:val="2D7D6556"/>
    <w:rsid w:val="2D801354"/>
    <w:rsid w:val="2D806BF0"/>
    <w:rsid w:val="2D8078E8"/>
    <w:rsid w:val="2D813D48"/>
    <w:rsid w:val="2D8154B6"/>
    <w:rsid w:val="2D832CA3"/>
    <w:rsid w:val="2D8450C1"/>
    <w:rsid w:val="2D88005B"/>
    <w:rsid w:val="2D885E58"/>
    <w:rsid w:val="2D8E0A04"/>
    <w:rsid w:val="2D904212"/>
    <w:rsid w:val="2D904FC4"/>
    <w:rsid w:val="2D913EBA"/>
    <w:rsid w:val="2D940611"/>
    <w:rsid w:val="2D94276C"/>
    <w:rsid w:val="2D970C2E"/>
    <w:rsid w:val="2D9A5358"/>
    <w:rsid w:val="2D9C7AD9"/>
    <w:rsid w:val="2DA16EBB"/>
    <w:rsid w:val="2DA2635C"/>
    <w:rsid w:val="2DA7509E"/>
    <w:rsid w:val="2DA84E3E"/>
    <w:rsid w:val="2DAA6652"/>
    <w:rsid w:val="2DAB2EF8"/>
    <w:rsid w:val="2DAE4116"/>
    <w:rsid w:val="2DB11212"/>
    <w:rsid w:val="2DB12BBE"/>
    <w:rsid w:val="2DB367D2"/>
    <w:rsid w:val="2DB6048F"/>
    <w:rsid w:val="2DB6362D"/>
    <w:rsid w:val="2DB67F1A"/>
    <w:rsid w:val="2DB73475"/>
    <w:rsid w:val="2DB7788A"/>
    <w:rsid w:val="2DBD6557"/>
    <w:rsid w:val="2DBE596C"/>
    <w:rsid w:val="2DBE62D2"/>
    <w:rsid w:val="2DBE7540"/>
    <w:rsid w:val="2DBF1084"/>
    <w:rsid w:val="2DBF1A9D"/>
    <w:rsid w:val="2DC12C1A"/>
    <w:rsid w:val="2DC20C5A"/>
    <w:rsid w:val="2DC5002B"/>
    <w:rsid w:val="2DC809C2"/>
    <w:rsid w:val="2DC80A6E"/>
    <w:rsid w:val="2DCB3E08"/>
    <w:rsid w:val="2DCE5CFA"/>
    <w:rsid w:val="2DCF575D"/>
    <w:rsid w:val="2DD1049E"/>
    <w:rsid w:val="2DD2394F"/>
    <w:rsid w:val="2DD40DA3"/>
    <w:rsid w:val="2DD518C3"/>
    <w:rsid w:val="2DD5783A"/>
    <w:rsid w:val="2DD62CB4"/>
    <w:rsid w:val="2DD63250"/>
    <w:rsid w:val="2DD86FC9"/>
    <w:rsid w:val="2DD96DC8"/>
    <w:rsid w:val="2DDA1FB5"/>
    <w:rsid w:val="2DDA4F48"/>
    <w:rsid w:val="2DDB19FE"/>
    <w:rsid w:val="2DDB1B93"/>
    <w:rsid w:val="2DDC02DD"/>
    <w:rsid w:val="2DDC7105"/>
    <w:rsid w:val="2DDF3E3A"/>
    <w:rsid w:val="2DDF7CBC"/>
    <w:rsid w:val="2DE05E43"/>
    <w:rsid w:val="2DE16C42"/>
    <w:rsid w:val="2DE30965"/>
    <w:rsid w:val="2DE53283"/>
    <w:rsid w:val="2DEB676E"/>
    <w:rsid w:val="2DEC6DEC"/>
    <w:rsid w:val="2DEE2B4A"/>
    <w:rsid w:val="2DEF45F0"/>
    <w:rsid w:val="2DF10658"/>
    <w:rsid w:val="2DF12DE4"/>
    <w:rsid w:val="2DF230AC"/>
    <w:rsid w:val="2DF24337"/>
    <w:rsid w:val="2DF82D55"/>
    <w:rsid w:val="2DFB59E7"/>
    <w:rsid w:val="2DFB5CA7"/>
    <w:rsid w:val="2DFC69AE"/>
    <w:rsid w:val="2DFD1E15"/>
    <w:rsid w:val="2DFD7956"/>
    <w:rsid w:val="2DFF4A0D"/>
    <w:rsid w:val="2E0023C5"/>
    <w:rsid w:val="2E02311D"/>
    <w:rsid w:val="2E0358F9"/>
    <w:rsid w:val="2E05220D"/>
    <w:rsid w:val="2E0632A3"/>
    <w:rsid w:val="2E083E4A"/>
    <w:rsid w:val="2E0909C8"/>
    <w:rsid w:val="2E092F74"/>
    <w:rsid w:val="2E093BBB"/>
    <w:rsid w:val="2E0A6B2B"/>
    <w:rsid w:val="2E0C7C25"/>
    <w:rsid w:val="2E0F6A41"/>
    <w:rsid w:val="2E114F74"/>
    <w:rsid w:val="2E134B57"/>
    <w:rsid w:val="2E172A16"/>
    <w:rsid w:val="2E195034"/>
    <w:rsid w:val="2E1B1D41"/>
    <w:rsid w:val="2E1D7843"/>
    <w:rsid w:val="2E1E3D10"/>
    <w:rsid w:val="2E1E4C82"/>
    <w:rsid w:val="2E220C70"/>
    <w:rsid w:val="2E24702F"/>
    <w:rsid w:val="2E25468C"/>
    <w:rsid w:val="2E25706D"/>
    <w:rsid w:val="2E265F44"/>
    <w:rsid w:val="2E273A3C"/>
    <w:rsid w:val="2E2827E2"/>
    <w:rsid w:val="2E2A0A46"/>
    <w:rsid w:val="2E2E7266"/>
    <w:rsid w:val="2E33183D"/>
    <w:rsid w:val="2E344196"/>
    <w:rsid w:val="2E3653D8"/>
    <w:rsid w:val="2E37573C"/>
    <w:rsid w:val="2E384E71"/>
    <w:rsid w:val="2E3A7D94"/>
    <w:rsid w:val="2E3B5E3F"/>
    <w:rsid w:val="2E3D31F5"/>
    <w:rsid w:val="2E3D386C"/>
    <w:rsid w:val="2E3F471E"/>
    <w:rsid w:val="2E4038AC"/>
    <w:rsid w:val="2E4372FA"/>
    <w:rsid w:val="2E454E52"/>
    <w:rsid w:val="2E474838"/>
    <w:rsid w:val="2E490499"/>
    <w:rsid w:val="2E497CAE"/>
    <w:rsid w:val="2E4A59AE"/>
    <w:rsid w:val="2E4B3679"/>
    <w:rsid w:val="2E50190C"/>
    <w:rsid w:val="2E501BCC"/>
    <w:rsid w:val="2E5075E3"/>
    <w:rsid w:val="2E552D6A"/>
    <w:rsid w:val="2E5C3B7F"/>
    <w:rsid w:val="2E5F274B"/>
    <w:rsid w:val="2E5F49AB"/>
    <w:rsid w:val="2E611240"/>
    <w:rsid w:val="2E6173A6"/>
    <w:rsid w:val="2E623667"/>
    <w:rsid w:val="2E6270F8"/>
    <w:rsid w:val="2E642409"/>
    <w:rsid w:val="2E661A68"/>
    <w:rsid w:val="2E6654E0"/>
    <w:rsid w:val="2E685817"/>
    <w:rsid w:val="2E6A64AF"/>
    <w:rsid w:val="2E6C1B87"/>
    <w:rsid w:val="2E7651B6"/>
    <w:rsid w:val="2E7652C0"/>
    <w:rsid w:val="2E794AD6"/>
    <w:rsid w:val="2E7A395D"/>
    <w:rsid w:val="2E7B1BC6"/>
    <w:rsid w:val="2E7D2D3F"/>
    <w:rsid w:val="2E7F6746"/>
    <w:rsid w:val="2E8139A6"/>
    <w:rsid w:val="2E82499F"/>
    <w:rsid w:val="2E876DBA"/>
    <w:rsid w:val="2E881E89"/>
    <w:rsid w:val="2E882FE5"/>
    <w:rsid w:val="2E8949B0"/>
    <w:rsid w:val="2E8B2F4E"/>
    <w:rsid w:val="2E8E63D5"/>
    <w:rsid w:val="2E904C2F"/>
    <w:rsid w:val="2E920CE6"/>
    <w:rsid w:val="2E941E52"/>
    <w:rsid w:val="2E9705B5"/>
    <w:rsid w:val="2E985773"/>
    <w:rsid w:val="2E991BD9"/>
    <w:rsid w:val="2E9A4C45"/>
    <w:rsid w:val="2E9F1A7C"/>
    <w:rsid w:val="2E9F70FB"/>
    <w:rsid w:val="2EA17AD2"/>
    <w:rsid w:val="2EA26DF7"/>
    <w:rsid w:val="2EA335AA"/>
    <w:rsid w:val="2EA34D83"/>
    <w:rsid w:val="2EA360FA"/>
    <w:rsid w:val="2EA73AB7"/>
    <w:rsid w:val="2EAA499D"/>
    <w:rsid w:val="2EAD2507"/>
    <w:rsid w:val="2EAE252A"/>
    <w:rsid w:val="2EAE595D"/>
    <w:rsid w:val="2EAE697F"/>
    <w:rsid w:val="2EAE7EF9"/>
    <w:rsid w:val="2EAF4C7B"/>
    <w:rsid w:val="2EB24CF7"/>
    <w:rsid w:val="2EB71CAD"/>
    <w:rsid w:val="2EBA70DC"/>
    <w:rsid w:val="2EBB2AB9"/>
    <w:rsid w:val="2EBB39A5"/>
    <w:rsid w:val="2EBC5970"/>
    <w:rsid w:val="2EBC5E49"/>
    <w:rsid w:val="2EBE0946"/>
    <w:rsid w:val="2EC255EF"/>
    <w:rsid w:val="2EC300E0"/>
    <w:rsid w:val="2EC6632A"/>
    <w:rsid w:val="2EC74054"/>
    <w:rsid w:val="2EC91548"/>
    <w:rsid w:val="2ECD52F9"/>
    <w:rsid w:val="2ECE0037"/>
    <w:rsid w:val="2ED37A35"/>
    <w:rsid w:val="2ED5219C"/>
    <w:rsid w:val="2ED71EC1"/>
    <w:rsid w:val="2ED74163"/>
    <w:rsid w:val="2EDB66C4"/>
    <w:rsid w:val="2EDC1904"/>
    <w:rsid w:val="2EDC2CDD"/>
    <w:rsid w:val="2EDC74A0"/>
    <w:rsid w:val="2EDD5967"/>
    <w:rsid w:val="2EDD701E"/>
    <w:rsid w:val="2EDF248B"/>
    <w:rsid w:val="2EE37837"/>
    <w:rsid w:val="2EE4402B"/>
    <w:rsid w:val="2EE55714"/>
    <w:rsid w:val="2EE64C94"/>
    <w:rsid w:val="2EE80F4B"/>
    <w:rsid w:val="2EEA6E41"/>
    <w:rsid w:val="2EEB6ED9"/>
    <w:rsid w:val="2EF02BD3"/>
    <w:rsid w:val="2EF1528D"/>
    <w:rsid w:val="2EF17DEA"/>
    <w:rsid w:val="2EF26D62"/>
    <w:rsid w:val="2EF27AF9"/>
    <w:rsid w:val="2EF30C14"/>
    <w:rsid w:val="2EF313EA"/>
    <w:rsid w:val="2EF409C8"/>
    <w:rsid w:val="2EF516AC"/>
    <w:rsid w:val="2EF71C53"/>
    <w:rsid w:val="2EF820D1"/>
    <w:rsid w:val="2EF86188"/>
    <w:rsid w:val="2EFB64A4"/>
    <w:rsid w:val="2F0119BA"/>
    <w:rsid w:val="2F0124D9"/>
    <w:rsid w:val="2F012D94"/>
    <w:rsid w:val="2F0201F2"/>
    <w:rsid w:val="2F030F88"/>
    <w:rsid w:val="2F095A94"/>
    <w:rsid w:val="2F0A099B"/>
    <w:rsid w:val="2F0A253E"/>
    <w:rsid w:val="2F0B5179"/>
    <w:rsid w:val="2F0D1E7F"/>
    <w:rsid w:val="2F104D97"/>
    <w:rsid w:val="2F105A70"/>
    <w:rsid w:val="2F1134EC"/>
    <w:rsid w:val="2F160415"/>
    <w:rsid w:val="2F164976"/>
    <w:rsid w:val="2F167BF9"/>
    <w:rsid w:val="2F18062F"/>
    <w:rsid w:val="2F1B4197"/>
    <w:rsid w:val="2F1B5E32"/>
    <w:rsid w:val="2F1B6955"/>
    <w:rsid w:val="2F1D0A90"/>
    <w:rsid w:val="2F1D5AEF"/>
    <w:rsid w:val="2F1D7EE3"/>
    <w:rsid w:val="2F1E19B4"/>
    <w:rsid w:val="2F1E3C1B"/>
    <w:rsid w:val="2F1F002D"/>
    <w:rsid w:val="2F1F0616"/>
    <w:rsid w:val="2F2019B2"/>
    <w:rsid w:val="2F204261"/>
    <w:rsid w:val="2F222AB9"/>
    <w:rsid w:val="2F227A39"/>
    <w:rsid w:val="2F231F38"/>
    <w:rsid w:val="2F25210C"/>
    <w:rsid w:val="2F27733D"/>
    <w:rsid w:val="2F2E2B7F"/>
    <w:rsid w:val="2F301139"/>
    <w:rsid w:val="2F304351"/>
    <w:rsid w:val="2F310639"/>
    <w:rsid w:val="2F321A2A"/>
    <w:rsid w:val="2F324DD0"/>
    <w:rsid w:val="2F3473E7"/>
    <w:rsid w:val="2F356A74"/>
    <w:rsid w:val="2F390E27"/>
    <w:rsid w:val="2F391678"/>
    <w:rsid w:val="2F3A359D"/>
    <w:rsid w:val="2F3B4BCB"/>
    <w:rsid w:val="2F3C15E1"/>
    <w:rsid w:val="2F3E4615"/>
    <w:rsid w:val="2F415139"/>
    <w:rsid w:val="2F447A46"/>
    <w:rsid w:val="2F461912"/>
    <w:rsid w:val="2F4823B3"/>
    <w:rsid w:val="2F491461"/>
    <w:rsid w:val="2F4B5348"/>
    <w:rsid w:val="2F4B7F58"/>
    <w:rsid w:val="2F4C4E08"/>
    <w:rsid w:val="2F4F1964"/>
    <w:rsid w:val="2F502E34"/>
    <w:rsid w:val="2F507A57"/>
    <w:rsid w:val="2F51033C"/>
    <w:rsid w:val="2F5531AA"/>
    <w:rsid w:val="2F643FCF"/>
    <w:rsid w:val="2F672536"/>
    <w:rsid w:val="2F677DA1"/>
    <w:rsid w:val="2F680251"/>
    <w:rsid w:val="2F682DB3"/>
    <w:rsid w:val="2F6B25CB"/>
    <w:rsid w:val="2F6B329C"/>
    <w:rsid w:val="2F6B34DA"/>
    <w:rsid w:val="2F6C67BF"/>
    <w:rsid w:val="2F6E4D03"/>
    <w:rsid w:val="2F7025F8"/>
    <w:rsid w:val="2F7036D6"/>
    <w:rsid w:val="2F711621"/>
    <w:rsid w:val="2F7650B0"/>
    <w:rsid w:val="2F77321E"/>
    <w:rsid w:val="2F786113"/>
    <w:rsid w:val="2F790713"/>
    <w:rsid w:val="2F790EB0"/>
    <w:rsid w:val="2F7A1FFF"/>
    <w:rsid w:val="2F7B47B8"/>
    <w:rsid w:val="2F7C7375"/>
    <w:rsid w:val="2F7E5091"/>
    <w:rsid w:val="2F7E761F"/>
    <w:rsid w:val="2F845E4D"/>
    <w:rsid w:val="2F8529A2"/>
    <w:rsid w:val="2F85339C"/>
    <w:rsid w:val="2F881C78"/>
    <w:rsid w:val="2F8A2040"/>
    <w:rsid w:val="2F8F4211"/>
    <w:rsid w:val="2F900500"/>
    <w:rsid w:val="2F907029"/>
    <w:rsid w:val="2F9161B1"/>
    <w:rsid w:val="2F924C8E"/>
    <w:rsid w:val="2F944809"/>
    <w:rsid w:val="2F970DBC"/>
    <w:rsid w:val="2F977202"/>
    <w:rsid w:val="2F982081"/>
    <w:rsid w:val="2F9829F6"/>
    <w:rsid w:val="2F9923A1"/>
    <w:rsid w:val="2F992C6C"/>
    <w:rsid w:val="2F9B5401"/>
    <w:rsid w:val="2F9C4141"/>
    <w:rsid w:val="2FA3447A"/>
    <w:rsid w:val="2FA52410"/>
    <w:rsid w:val="2FA63759"/>
    <w:rsid w:val="2FA81322"/>
    <w:rsid w:val="2FA93D71"/>
    <w:rsid w:val="2FA95253"/>
    <w:rsid w:val="2FAA3221"/>
    <w:rsid w:val="2FAD1A82"/>
    <w:rsid w:val="2FAD2A81"/>
    <w:rsid w:val="2FB006A6"/>
    <w:rsid w:val="2FB14604"/>
    <w:rsid w:val="2FB1621E"/>
    <w:rsid w:val="2FB8149E"/>
    <w:rsid w:val="2FB9553B"/>
    <w:rsid w:val="2FBC2C9A"/>
    <w:rsid w:val="2FBE3794"/>
    <w:rsid w:val="2FBE5D68"/>
    <w:rsid w:val="2FC058B7"/>
    <w:rsid w:val="2FC30611"/>
    <w:rsid w:val="2FC329AD"/>
    <w:rsid w:val="2FC72156"/>
    <w:rsid w:val="2FC9458B"/>
    <w:rsid w:val="2FCC7D4A"/>
    <w:rsid w:val="2FD200F3"/>
    <w:rsid w:val="2FD674E9"/>
    <w:rsid w:val="2FD967E6"/>
    <w:rsid w:val="2FDA2B59"/>
    <w:rsid w:val="2FDE67D6"/>
    <w:rsid w:val="2FE13A01"/>
    <w:rsid w:val="2FE21474"/>
    <w:rsid w:val="2FE33C33"/>
    <w:rsid w:val="2FE5015A"/>
    <w:rsid w:val="2FE7387B"/>
    <w:rsid w:val="2FE92D98"/>
    <w:rsid w:val="2FE978D0"/>
    <w:rsid w:val="2FEB4F72"/>
    <w:rsid w:val="2FEE1144"/>
    <w:rsid w:val="2FEF2BB6"/>
    <w:rsid w:val="2FF04CC1"/>
    <w:rsid w:val="2FF12B8D"/>
    <w:rsid w:val="2FF233F1"/>
    <w:rsid w:val="2FF71621"/>
    <w:rsid w:val="2FF76DCE"/>
    <w:rsid w:val="2FF76FF7"/>
    <w:rsid w:val="2FF81F98"/>
    <w:rsid w:val="2FFC6358"/>
    <w:rsid w:val="30006806"/>
    <w:rsid w:val="3001003E"/>
    <w:rsid w:val="3002111F"/>
    <w:rsid w:val="30057F8B"/>
    <w:rsid w:val="30071E2C"/>
    <w:rsid w:val="300808D8"/>
    <w:rsid w:val="300E053A"/>
    <w:rsid w:val="300F4E47"/>
    <w:rsid w:val="30105811"/>
    <w:rsid w:val="30133B3E"/>
    <w:rsid w:val="301519C1"/>
    <w:rsid w:val="301564F4"/>
    <w:rsid w:val="30177F28"/>
    <w:rsid w:val="301970ED"/>
    <w:rsid w:val="301A24E8"/>
    <w:rsid w:val="301C293E"/>
    <w:rsid w:val="301C7B3B"/>
    <w:rsid w:val="302070E6"/>
    <w:rsid w:val="30207E57"/>
    <w:rsid w:val="30225652"/>
    <w:rsid w:val="30234FDB"/>
    <w:rsid w:val="302436FB"/>
    <w:rsid w:val="30264657"/>
    <w:rsid w:val="302807A1"/>
    <w:rsid w:val="302852FC"/>
    <w:rsid w:val="302941DD"/>
    <w:rsid w:val="302941F0"/>
    <w:rsid w:val="302A39F0"/>
    <w:rsid w:val="302D42D7"/>
    <w:rsid w:val="302F20B0"/>
    <w:rsid w:val="30312D40"/>
    <w:rsid w:val="30321BB7"/>
    <w:rsid w:val="303360EA"/>
    <w:rsid w:val="30347912"/>
    <w:rsid w:val="30387641"/>
    <w:rsid w:val="30395E0F"/>
    <w:rsid w:val="303B2DEC"/>
    <w:rsid w:val="303B7D06"/>
    <w:rsid w:val="303D6A4C"/>
    <w:rsid w:val="30405E1B"/>
    <w:rsid w:val="30410012"/>
    <w:rsid w:val="30441CD1"/>
    <w:rsid w:val="304A312A"/>
    <w:rsid w:val="304B58B5"/>
    <w:rsid w:val="304F10BA"/>
    <w:rsid w:val="304F42CD"/>
    <w:rsid w:val="30506355"/>
    <w:rsid w:val="30527125"/>
    <w:rsid w:val="30567C01"/>
    <w:rsid w:val="30590F67"/>
    <w:rsid w:val="30592EA4"/>
    <w:rsid w:val="30594A63"/>
    <w:rsid w:val="305A78AD"/>
    <w:rsid w:val="305B29E8"/>
    <w:rsid w:val="305C404E"/>
    <w:rsid w:val="305E6696"/>
    <w:rsid w:val="306000FF"/>
    <w:rsid w:val="30612255"/>
    <w:rsid w:val="3064388C"/>
    <w:rsid w:val="3065299A"/>
    <w:rsid w:val="30653686"/>
    <w:rsid w:val="30683DFA"/>
    <w:rsid w:val="306B717D"/>
    <w:rsid w:val="306C5514"/>
    <w:rsid w:val="306E22A2"/>
    <w:rsid w:val="30706C0B"/>
    <w:rsid w:val="30710CA4"/>
    <w:rsid w:val="307173C0"/>
    <w:rsid w:val="30732477"/>
    <w:rsid w:val="307B29A4"/>
    <w:rsid w:val="308111C0"/>
    <w:rsid w:val="30814229"/>
    <w:rsid w:val="308241DC"/>
    <w:rsid w:val="30844CF6"/>
    <w:rsid w:val="30865AE6"/>
    <w:rsid w:val="30875995"/>
    <w:rsid w:val="308852BE"/>
    <w:rsid w:val="30886936"/>
    <w:rsid w:val="3088693D"/>
    <w:rsid w:val="308918F9"/>
    <w:rsid w:val="308C7955"/>
    <w:rsid w:val="308D3EDD"/>
    <w:rsid w:val="308D658A"/>
    <w:rsid w:val="308D79F4"/>
    <w:rsid w:val="308F548D"/>
    <w:rsid w:val="30916BC2"/>
    <w:rsid w:val="309308BB"/>
    <w:rsid w:val="30952EA8"/>
    <w:rsid w:val="3095711C"/>
    <w:rsid w:val="30970158"/>
    <w:rsid w:val="309E4930"/>
    <w:rsid w:val="309F7D99"/>
    <w:rsid w:val="30A02C0F"/>
    <w:rsid w:val="30A171C4"/>
    <w:rsid w:val="30A26C7F"/>
    <w:rsid w:val="30A350D7"/>
    <w:rsid w:val="30A43A97"/>
    <w:rsid w:val="30A44323"/>
    <w:rsid w:val="30A565B1"/>
    <w:rsid w:val="30A56942"/>
    <w:rsid w:val="30A67C2F"/>
    <w:rsid w:val="30A80C14"/>
    <w:rsid w:val="30A91169"/>
    <w:rsid w:val="30AC2914"/>
    <w:rsid w:val="30AE7095"/>
    <w:rsid w:val="30B00C70"/>
    <w:rsid w:val="30B07E7E"/>
    <w:rsid w:val="30B17372"/>
    <w:rsid w:val="30B72D81"/>
    <w:rsid w:val="30B91A3F"/>
    <w:rsid w:val="30BB10B1"/>
    <w:rsid w:val="30BC2D32"/>
    <w:rsid w:val="30BC61D4"/>
    <w:rsid w:val="30BE3B0F"/>
    <w:rsid w:val="30BE6252"/>
    <w:rsid w:val="30C15A0D"/>
    <w:rsid w:val="30C45775"/>
    <w:rsid w:val="30C60187"/>
    <w:rsid w:val="30C760D3"/>
    <w:rsid w:val="30C85FF2"/>
    <w:rsid w:val="30CE1C0E"/>
    <w:rsid w:val="30CE74CF"/>
    <w:rsid w:val="30D16023"/>
    <w:rsid w:val="30D25AF4"/>
    <w:rsid w:val="30D56C82"/>
    <w:rsid w:val="30D723AF"/>
    <w:rsid w:val="30D81800"/>
    <w:rsid w:val="30D8618B"/>
    <w:rsid w:val="30D93A0A"/>
    <w:rsid w:val="30D96610"/>
    <w:rsid w:val="30DA7584"/>
    <w:rsid w:val="30E14834"/>
    <w:rsid w:val="30E15C80"/>
    <w:rsid w:val="30E35B57"/>
    <w:rsid w:val="30E7487A"/>
    <w:rsid w:val="30E92ECB"/>
    <w:rsid w:val="30EA1953"/>
    <w:rsid w:val="30EB3B80"/>
    <w:rsid w:val="30EC2C0D"/>
    <w:rsid w:val="30EC7CF6"/>
    <w:rsid w:val="30EF0590"/>
    <w:rsid w:val="30EF35F0"/>
    <w:rsid w:val="30EF788E"/>
    <w:rsid w:val="30F044BA"/>
    <w:rsid w:val="30F94435"/>
    <w:rsid w:val="30FC1E26"/>
    <w:rsid w:val="30FF310F"/>
    <w:rsid w:val="30FF4785"/>
    <w:rsid w:val="31017500"/>
    <w:rsid w:val="310379BB"/>
    <w:rsid w:val="310472EC"/>
    <w:rsid w:val="31052F65"/>
    <w:rsid w:val="310979B9"/>
    <w:rsid w:val="310A7732"/>
    <w:rsid w:val="310B68CC"/>
    <w:rsid w:val="310C5BD7"/>
    <w:rsid w:val="310E360D"/>
    <w:rsid w:val="31115F52"/>
    <w:rsid w:val="31140130"/>
    <w:rsid w:val="31156A7C"/>
    <w:rsid w:val="31167109"/>
    <w:rsid w:val="31173B73"/>
    <w:rsid w:val="3118121F"/>
    <w:rsid w:val="31192221"/>
    <w:rsid w:val="31195194"/>
    <w:rsid w:val="311D2D82"/>
    <w:rsid w:val="311E06CD"/>
    <w:rsid w:val="3120605A"/>
    <w:rsid w:val="31230DC8"/>
    <w:rsid w:val="312640BA"/>
    <w:rsid w:val="31265567"/>
    <w:rsid w:val="3127007C"/>
    <w:rsid w:val="312B434D"/>
    <w:rsid w:val="312C486F"/>
    <w:rsid w:val="312D71DD"/>
    <w:rsid w:val="312E5D3B"/>
    <w:rsid w:val="31306745"/>
    <w:rsid w:val="31340D44"/>
    <w:rsid w:val="31347C46"/>
    <w:rsid w:val="313A00E0"/>
    <w:rsid w:val="313E5A48"/>
    <w:rsid w:val="3140750D"/>
    <w:rsid w:val="314110CF"/>
    <w:rsid w:val="314235DD"/>
    <w:rsid w:val="3147604F"/>
    <w:rsid w:val="31496D38"/>
    <w:rsid w:val="314B7BA2"/>
    <w:rsid w:val="314C47CE"/>
    <w:rsid w:val="314F475C"/>
    <w:rsid w:val="31527A54"/>
    <w:rsid w:val="31550120"/>
    <w:rsid w:val="31562ABE"/>
    <w:rsid w:val="315A27D3"/>
    <w:rsid w:val="315C28C6"/>
    <w:rsid w:val="315C58A7"/>
    <w:rsid w:val="315D2283"/>
    <w:rsid w:val="31635559"/>
    <w:rsid w:val="31637D8F"/>
    <w:rsid w:val="31651A63"/>
    <w:rsid w:val="31665E45"/>
    <w:rsid w:val="316839E0"/>
    <w:rsid w:val="316948A9"/>
    <w:rsid w:val="316972D4"/>
    <w:rsid w:val="316A3745"/>
    <w:rsid w:val="316B1D2F"/>
    <w:rsid w:val="316D507C"/>
    <w:rsid w:val="316E23B5"/>
    <w:rsid w:val="316F451B"/>
    <w:rsid w:val="316F622C"/>
    <w:rsid w:val="31720E77"/>
    <w:rsid w:val="31737C89"/>
    <w:rsid w:val="31790E63"/>
    <w:rsid w:val="317A37F0"/>
    <w:rsid w:val="317A4F50"/>
    <w:rsid w:val="317D64BD"/>
    <w:rsid w:val="317E71A5"/>
    <w:rsid w:val="317F7AD7"/>
    <w:rsid w:val="31825B17"/>
    <w:rsid w:val="31833B66"/>
    <w:rsid w:val="31846ABB"/>
    <w:rsid w:val="31857CA9"/>
    <w:rsid w:val="318A4AB4"/>
    <w:rsid w:val="318B3143"/>
    <w:rsid w:val="318C3CF2"/>
    <w:rsid w:val="318E1A3A"/>
    <w:rsid w:val="318F5993"/>
    <w:rsid w:val="31904FB5"/>
    <w:rsid w:val="31920E36"/>
    <w:rsid w:val="31962C78"/>
    <w:rsid w:val="3196753F"/>
    <w:rsid w:val="319B23BF"/>
    <w:rsid w:val="319C1DBD"/>
    <w:rsid w:val="319D7B56"/>
    <w:rsid w:val="31A37889"/>
    <w:rsid w:val="31A51081"/>
    <w:rsid w:val="31A746F8"/>
    <w:rsid w:val="31A750BC"/>
    <w:rsid w:val="31A961D1"/>
    <w:rsid w:val="31AA08A2"/>
    <w:rsid w:val="31AA1058"/>
    <w:rsid w:val="31AE2364"/>
    <w:rsid w:val="31B27F48"/>
    <w:rsid w:val="31B32BB4"/>
    <w:rsid w:val="31B417EA"/>
    <w:rsid w:val="31BC4F16"/>
    <w:rsid w:val="31BE4448"/>
    <w:rsid w:val="31BE54D7"/>
    <w:rsid w:val="31BF190A"/>
    <w:rsid w:val="31C573F9"/>
    <w:rsid w:val="31CE65CA"/>
    <w:rsid w:val="31D13F57"/>
    <w:rsid w:val="31D75F51"/>
    <w:rsid w:val="31D76EC1"/>
    <w:rsid w:val="31D83F31"/>
    <w:rsid w:val="31D918C0"/>
    <w:rsid w:val="31DC2957"/>
    <w:rsid w:val="31DD6E3D"/>
    <w:rsid w:val="31DE145D"/>
    <w:rsid w:val="31DE562C"/>
    <w:rsid w:val="31E25649"/>
    <w:rsid w:val="31EC5609"/>
    <w:rsid w:val="31EE012A"/>
    <w:rsid w:val="31EE2479"/>
    <w:rsid w:val="31EF30B9"/>
    <w:rsid w:val="31F059FF"/>
    <w:rsid w:val="31F22D72"/>
    <w:rsid w:val="31F30064"/>
    <w:rsid w:val="31F67D8D"/>
    <w:rsid w:val="31F72CF8"/>
    <w:rsid w:val="31FC0082"/>
    <w:rsid w:val="31FF0390"/>
    <w:rsid w:val="32012846"/>
    <w:rsid w:val="32076C30"/>
    <w:rsid w:val="3209657E"/>
    <w:rsid w:val="320A4ED3"/>
    <w:rsid w:val="32104266"/>
    <w:rsid w:val="32112861"/>
    <w:rsid w:val="3216571E"/>
    <w:rsid w:val="32166F79"/>
    <w:rsid w:val="321734F0"/>
    <w:rsid w:val="32182D8B"/>
    <w:rsid w:val="321E5E0E"/>
    <w:rsid w:val="32200DCD"/>
    <w:rsid w:val="32204AC2"/>
    <w:rsid w:val="32204C89"/>
    <w:rsid w:val="32214D68"/>
    <w:rsid w:val="32237F81"/>
    <w:rsid w:val="32252C66"/>
    <w:rsid w:val="32260AF7"/>
    <w:rsid w:val="32284DA7"/>
    <w:rsid w:val="32291185"/>
    <w:rsid w:val="322A1F74"/>
    <w:rsid w:val="322D5D28"/>
    <w:rsid w:val="322F3722"/>
    <w:rsid w:val="3232378D"/>
    <w:rsid w:val="323344CD"/>
    <w:rsid w:val="32381878"/>
    <w:rsid w:val="3238460E"/>
    <w:rsid w:val="32385756"/>
    <w:rsid w:val="323B2CC2"/>
    <w:rsid w:val="323C1CF7"/>
    <w:rsid w:val="323C42A0"/>
    <w:rsid w:val="323F7218"/>
    <w:rsid w:val="3240315F"/>
    <w:rsid w:val="32410360"/>
    <w:rsid w:val="32413D74"/>
    <w:rsid w:val="32424D24"/>
    <w:rsid w:val="3243420D"/>
    <w:rsid w:val="32452C98"/>
    <w:rsid w:val="324741C7"/>
    <w:rsid w:val="32496361"/>
    <w:rsid w:val="324C3416"/>
    <w:rsid w:val="324D01C9"/>
    <w:rsid w:val="324E4C76"/>
    <w:rsid w:val="324E50F4"/>
    <w:rsid w:val="324F3476"/>
    <w:rsid w:val="32513B80"/>
    <w:rsid w:val="32513DBF"/>
    <w:rsid w:val="32527825"/>
    <w:rsid w:val="32532D9E"/>
    <w:rsid w:val="32533F8C"/>
    <w:rsid w:val="32553476"/>
    <w:rsid w:val="32557870"/>
    <w:rsid w:val="3257565D"/>
    <w:rsid w:val="32593731"/>
    <w:rsid w:val="325C4539"/>
    <w:rsid w:val="325E25A0"/>
    <w:rsid w:val="32602AB4"/>
    <w:rsid w:val="32655E93"/>
    <w:rsid w:val="32656292"/>
    <w:rsid w:val="32672F86"/>
    <w:rsid w:val="32675A48"/>
    <w:rsid w:val="32683AD1"/>
    <w:rsid w:val="326A3BCB"/>
    <w:rsid w:val="326B18E5"/>
    <w:rsid w:val="326B1D86"/>
    <w:rsid w:val="326C1CF1"/>
    <w:rsid w:val="326C6C28"/>
    <w:rsid w:val="326D28D7"/>
    <w:rsid w:val="326F208F"/>
    <w:rsid w:val="326F5C68"/>
    <w:rsid w:val="3271266D"/>
    <w:rsid w:val="327624DF"/>
    <w:rsid w:val="32776057"/>
    <w:rsid w:val="32786FB5"/>
    <w:rsid w:val="32790D0D"/>
    <w:rsid w:val="32796B86"/>
    <w:rsid w:val="327B652B"/>
    <w:rsid w:val="327B775E"/>
    <w:rsid w:val="327C0CBF"/>
    <w:rsid w:val="327E3BE9"/>
    <w:rsid w:val="32802A5B"/>
    <w:rsid w:val="32855E16"/>
    <w:rsid w:val="32860F4A"/>
    <w:rsid w:val="3287531A"/>
    <w:rsid w:val="32884ED8"/>
    <w:rsid w:val="328A7022"/>
    <w:rsid w:val="328C5970"/>
    <w:rsid w:val="328F5895"/>
    <w:rsid w:val="3291602C"/>
    <w:rsid w:val="32923AF3"/>
    <w:rsid w:val="329373C5"/>
    <w:rsid w:val="32943A55"/>
    <w:rsid w:val="329505AA"/>
    <w:rsid w:val="32984DA1"/>
    <w:rsid w:val="329A29BB"/>
    <w:rsid w:val="329C17D6"/>
    <w:rsid w:val="329E2E6B"/>
    <w:rsid w:val="32A10A31"/>
    <w:rsid w:val="32A1483E"/>
    <w:rsid w:val="32A231D5"/>
    <w:rsid w:val="32A45FB0"/>
    <w:rsid w:val="32A55748"/>
    <w:rsid w:val="32A56F8D"/>
    <w:rsid w:val="32A640AC"/>
    <w:rsid w:val="32A70AFD"/>
    <w:rsid w:val="32A7111B"/>
    <w:rsid w:val="32AC229C"/>
    <w:rsid w:val="32AE0C70"/>
    <w:rsid w:val="32AF18CD"/>
    <w:rsid w:val="32B33B22"/>
    <w:rsid w:val="32B6730A"/>
    <w:rsid w:val="32B81116"/>
    <w:rsid w:val="32B84105"/>
    <w:rsid w:val="32B91D7D"/>
    <w:rsid w:val="32BA6B90"/>
    <w:rsid w:val="32BA7858"/>
    <w:rsid w:val="32BB1CF0"/>
    <w:rsid w:val="32BC04BC"/>
    <w:rsid w:val="32BC4B28"/>
    <w:rsid w:val="32BE4FD1"/>
    <w:rsid w:val="32C16CA4"/>
    <w:rsid w:val="32CA1449"/>
    <w:rsid w:val="32CA33B0"/>
    <w:rsid w:val="32CA4A04"/>
    <w:rsid w:val="32CA5747"/>
    <w:rsid w:val="32CB6044"/>
    <w:rsid w:val="32CE26DD"/>
    <w:rsid w:val="32CE540F"/>
    <w:rsid w:val="32CF08DB"/>
    <w:rsid w:val="32D3261A"/>
    <w:rsid w:val="32D521D4"/>
    <w:rsid w:val="32D825D9"/>
    <w:rsid w:val="32D90DE3"/>
    <w:rsid w:val="32DB2614"/>
    <w:rsid w:val="32DB31F8"/>
    <w:rsid w:val="32DC070D"/>
    <w:rsid w:val="32DC50B8"/>
    <w:rsid w:val="32DD45DD"/>
    <w:rsid w:val="32DE5936"/>
    <w:rsid w:val="32DE5F9F"/>
    <w:rsid w:val="32DF2468"/>
    <w:rsid w:val="32E12DD7"/>
    <w:rsid w:val="32E264FF"/>
    <w:rsid w:val="32E575DC"/>
    <w:rsid w:val="32E67AA3"/>
    <w:rsid w:val="32E96326"/>
    <w:rsid w:val="32EA3BB4"/>
    <w:rsid w:val="32ED3223"/>
    <w:rsid w:val="32F0594D"/>
    <w:rsid w:val="32F36CEE"/>
    <w:rsid w:val="32F36E56"/>
    <w:rsid w:val="32F37301"/>
    <w:rsid w:val="32F54ED5"/>
    <w:rsid w:val="32F6164B"/>
    <w:rsid w:val="32F636BB"/>
    <w:rsid w:val="32F81537"/>
    <w:rsid w:val="32F87AA6"/>
    <w:rsid w:val="32F9378C"/>
    <w:rsid w:val="32FC6879"/>
    <w:rsid w:val="33000D39"/>
    <w:rsid w:val="330110E3"/>
    <w:rsid w:val="33023468"/>
    <w:rsid w:val="33041607"/>
    <w:rsid w:val="330A6381"/>
    <w:rsid w:val="330A671D"/>
    <w:rsid w:val="330B0B43"/>
    <w:rsid w:val="330C0680"/>
    <w:rsid w:val="330D0B24"/>
    <w:rsid w:val="330F2BE5"/>
    <w:rsid w:val="330F6297"/>
    <w:rsid w:val="33101AE5"/>
    <w:rsid w:val="33104AC8"/>
    <w:rsid w:val="33133028"/>
    <w:rsid w:val="331374AC"/>
    <w:rsid w:val="33151207"/>
    <w:rsid w:val="331518A1"/>
    <w:rsid w:val="331573C3"/>
    <w:rsid w:val="331605C6"/>
    <w:rsid w:val="331E3D06"/>
    <w:rsid w:val="331F70C7"/>
    <w:rsid w:val="33203B65"/>
    <w:rsid w:val="33203C4E"/>
    <w:rsid w:val="332077AB"/>
    <w:rsid w:val="3324372D"/>
    <w:rsid w:val="33244A02"/>
    <w:rsid w:val="332534D2"/>
    <w:rsid w:val="332615FA"/>
    <w:rsid w:val="3326473E"/>
    <w:rsid w:val="33273F2A"/>
    <w:rsid w:val="332C0D5A"/>
    <w:rsid w:val="332C743C"/>
    <w:rsid w:val="332D1C36"/>
    <w:rsid w:val="332D384B"/>
    <w:rsid w:val="332D5C0A"/>
    <w:rsid w:val="33306209"/>
    <w:rsid w:val="333235AC"/>
    <w:rsid w:val="3332522C"/>
    <w:rsid w:val="333276E7"/>
    <w:rsid w:val="3332773F"/>
    <w:rsid w:val="3333441D"/>
    <w:rsid w:val="33356F11"/>
    <w:rsid w:val="333607AA"/>
    <w:rsid w:val="33364EA6"/>
    <w:rsid w:val="33382421"/>
    <w:rsid w:val="333971AF"/>
    <w:rsid w:val="333A45E9"/>
    <w:rsid w:val="333B373D"/>
    <w:rsid w:val="333C4030"/>
    <w:rsid w:val="333D5DA8"/>
    <w:rsid w:val="33405088"/>
    <w:rsid w:val="33410B7D"/>
    <w:rsid w:val="334123DE"/>
    <w:rsid w:val="33450847"/>
    <w:rsid w:val="3346652E"/>
    <w:rsid w:val="33491276"/>
    <w:rsid w:val="334976FE"/>
    <w:rsid w:val="334A5E19"/>
    <w:rsid w:val="334B6F14"/>
    <w:rsid w:val="334C6D15"/>
    <w:rsid w:val="3357040D"/>
    <w:rsid w:val="33573C51"/>
    <w:rsid w:val="33575357"/>
    <w:rsid w:val="33597AC8"/>
    <w:rsid w:val="335D1354"/>
    <w:rsid w:val="335D79E9"/>
    <w:rsid w:val="335F5212"/>
    <w:rsid w:val="33601348"/>
    <w:rsid w:val="33604C81"/>
    <w:rsid w:val="336336AF"/>
    <w:rsid w:val="33635D7F"/>
    <w:rsid w:val="336571C4"/>
    <w:rsid w:val="33663EA8"/>
    <w:rsid w:val="33692D50"/>
    <w:rsid w:val="336D7CE3"/>
    <w:rsid w:val="336F047A"/>
    <w:rsid w:val="33721909"/>
    <w:rsid w:val="33723903"/>
    <w:rsid w:val="337335F7"/>
    <w:rsid w:val="33741A16"/>
    <w:rsid w:val="337A36E6"/>
    <w:rsid w:val="337A5368"/>
    <w:rsid w:val="337A71AF"/>
    <w:rsid w:val="337B41E1"/>
    <w:rsid w:val="337F2BA6"/>
    <w:rsid w:val="337F3F63"/>
    <w:rsid w:val="33801218"/>
    <w:rsid w:val="33840AA3"/>
    <w:rsid w:val="33857A80"/>
    <w:rsid w:val="3386152D"/>
    <w:rsid w:val="338A35A9"/>
    <w:rsid w:val="338B1130"/>
    <w:rsid w:val="338B777A"/>
    <w:rsid w:val="338C3726"/>
    <w:rsid w:val="338F1EA3"/>
    <w:rsid w:val="339100B3"/>
    <w:rsid w:val="33911320"/>
    <w:rsid w:val="33972995"/>
    <w:rsid w:val="3397332E"/>
    <w:rsid w:val="339831DD"/>
    <w:rsid w:val="33A146EF"/>
    <w:rsid w:val="33A210B5"/>
    <w:rsid w:val="33A6497D"/>
    <w:rsid w:val="33A92AEE"/>
    <w:rsid w:val="33AA60B6"/>
    <w:rsid w:val="33B51D56"/>
    <w:rsid w:val="33B74507"/>
    <w:rsid w:val="33B82562"/>
    <w:rsid w:val="33B922CF"/>
    <w:rsid w:val="33BB7DCC"/>
    <w:rsid w:val="33BE2C4F"/>
    <w:rsid w:val="33C06D82"/>
    <w:rsid w:val="33C47E9F"/>
    <w:rsid w:val="33C5478A"/>
    <w:rsid w:val="33CA5E9F"/>
    <w:rsid w:val="33CC380C"/>
    <w:rsid w:val="33CC44DB"/>
    <w:rsid w:val="33D26D8F"/>
    <w:rsid w:val="33D30CBD"/>
    <w:rsid w:val="33D46F92"/>
    <w:rsid w:val="33D531B8"/>
    <w:rsid w:val="33D815D6"/>
    <w:rsid w:val="33DA7F0E"/>
    <w:rsid w:val="33DC0204"/>
    <w:rsid w:val="33DE226D"/>
    <w:rsid w:val="33E2743C"/>
    <w:rsid w:val="33E27E5E"/>
    <w:rsid w:val="33E81F50"/>
    <w:rsid w:val="33E852C6"/>
    <w:rsid w:val="33E97499"/>
    <w:rsid w:val="33EB0EBE"/>
    <w:rsid w:val="33ED56A3"/>
    <w:rsid w:val="33ED67FF"/>
    <w:rsid w:val="33F165D7"/>
    <w:rsid w:val="33F475DD"/>
    <w:rsid w:val="33F77D23"/>
    <w:rsid w:val="33F809ED"/>
    <w:rsid w:val="33F83DF7"/>
    <w:rsid w:val="33FC025A"/>
    <w:rsid w:val="33FF2456"/>
    <w:rsid w:val="34045627"/>
    <w:rsid w:val="34055748"/>
    <w:rsid w:val="34063CDB"/>
    <w:rsid w:val="340702F6"/>
    <w:rsid w:val="340904C7"/>
    <w:rsid w:val="340B00D0"/>
    <w:rsid w:val="340C232B"/>
    <w:rsid w:val="340D311B"/>
    <w:rsid w:val="340D7196"/>
    <w:rsid w:val="340F20F4"/>
    <w:rsid w:val="34117CDF"/>
    <w:rsid w:val="341227C6"/>
    <w:rsid w:val="3413657D"/>
    <w:rsid w:val="34142C15"/>
    <w:rsid w:val="34163F3E"/>
    <w:rsid w:val="34171C3A"/>
    <w:rsid w:val="341A624C"/>
    <w:rsid w:val="3420390B"/>
    <w:rsid w:val="34204ACB"/>
    <w:rsid w:val="342078E6"/>
    <w:rsid w:val="34244069"/>
    <w:rsid w:val="34257C28"/>
    <w:rsid w:val="34263B73"/>
    <w:rsid w:val="342B3B99"/>
    <w:rsid w:val="342C6099"/>
    <w:rsid w:val="342E7959"/>
    <w:rsid w:val="343018EE"/>
    <w:rsid w:val="34330BE1"/>
    <w:rsid w:val="34383A69"/>
    <w:rsid w:val="34387B67"/>
    <w:rsid w:val="343A5A5A"/>
    <w:rsid w:val="343C274B"/>
    <w:rsid w:val="343D0092"/>
    <w:rsid w:val="343E59AB"/>
    <w:rsid w:val="343F6526"/>
    <w:rsid w:val="344001A7"/>
    <w:rsid w:val="3442467D"/>
    <w:rsid w:val="34434E4A"/>
    <w:rsid w:val="34444CE2"/>
    <w:rsid w:val="34451D06"/>
    <w:rsid w:val="344552A1"/>
    <w:rsid w:val="344723D2"/>
    <w:rsid w:val="34476FC6"/>
    <w:rsid w:val="34496513"/>
    <w:rsid w:val="344A26BC"/>
    <w:rsid w:val="344D0D42"/>
    <w:rsid w:val="34562DF2"/>
    <w:rsid w:val="345775BE"/>
    <w:rsid w:val="34595BEE"/>
    <w:rsid w:val="34597C6E"/>
    <w:rsid w:val="345D4E90"/>
    <w:rsid w:val="345D7F02"/>
    <w:rsid w:val="345E32AA"/>
    <w:rsid w:val="345E456A"/>
    <w:rsid w:val="34602554"/>
    <w:rsid w:val="34603CB0"/>
    <w:rsid w:val="34611A85"/>
    <w:rsid w:val="34631AF7"/>
    <w:rsid w:val="34644A20"/>
    <w:rsid w:val="34683AC6"/>
    <w:rsid w:val="34692AA4"/>
    <w:rsid w:val="346B4067"/>
    <w:rsid w:val="346C0792"/>
    <w:rsid w:val="346D4373"/>
    <w:rsid w:val="346E7F38"/>
    <w:rsid w:val="346F1342"/>
    <w:rsid w:val="346F4E9E"/>
    <w:rsid w:val="34700E96"/>
    <w:rsid w:val="34726277"/>
    <w:rsid w:val="34777A00"/>
    <w:rsid w:val="34797C81"/>
    <w:rsid w:val="347A14F0"/>
    <w:rsid w:val="347B20B8"/>
    <w:rsid w:val="34831900"/>
    <w:rsid w:val="34832ADD"/>
    <w:rsid w:val="34851D19"/>
    <w:rsid w:val="3486294D"/>
    <w:rsid w:val="348654A7"/>
    <w:rsid w:val="34886353"/>
    <w:rsid w:val="34893062"/>
    <w:rsid w:val="3489527A"/>
    <w:rsid w:val="348B0863"/>
    <w:rsid w:val="348B7332"/>
    <w:rsid w:val="348E3FB9"/>
    <w:rsid w:val="348F365A"/>
    <w:rsid w:val="34901D3B"/>
    <w:rsid w:val="3490735C"/>
    <w:rsid w:val="34943139"/>
    <w:rsid w:val="34963D78"/>
    <w:rsid w:val="3497559E"/>
    <w:rsid w:val="34993368"/>
    <w:rsid w:val="349B284E"/>
    <w:rsid w:val="349D56F2"/>
    <w:rsid w:val="349D5F7B"/>
    <w:rsid w:val="349F6CE8"/>
    <w:rsid w:val="34A14E98"/>
    <w:rsid w:val="34A151D8"/>
    <w:rsid w:val="34A455A4"/>
    <w:rsid w:val="34A54295"/>
    <w:rsid w:val="34A864A0"/>
    <w:rsid w:val="34A86784"/>
    <w:rsid w:val="34A86F6F"/>
    <w:rsid w:val="34A90650"/>
    <w:rsid w:val="34A931B6"/>
    <w:rsid w:val="34AB56BC"/>
    <w:rsid w:val="34AE52AC"/>
    <w:rsid w:val="34B02E24"/>
    <w:rsid w:val="34B31E27"/>
    <w:rsid w:val="34B61BDA"/>
    <w:rsid w:val="34BC1320"/>
    <w:rsid w:val="34BD1A70"/>
    <w:rsid w:val="34BE1C2C"/>
    <w:rsid w:val="34BF6449"/>
    <w:rsid w:val="34C051F0"/>
    <w:rsid w:val="34C32D0D"/>
    <w:rsid w:val="34C342F6"/>
    <w:rsid w:val="34C5368E"/>
    <w:rsid w:val="34C74FD5"/>
    <w:rsid w:val="34C800AD"/>
    <w:rsid w:val="34C836C3"/>
    <w:rsid w:val="34C96C89"/>
    <w:rsid w:val="34C97D97"/>
    <w:rsid w:val="34CB32CB"/>
    <w:rsid w:val="34CC3A51"/>
    <w:rsid w:val="34D146B2"/>
    <w:rsid w:val="34D42466"/>
    <w:rsid w:val="34D71DFF"/>
    <w:rsid w:val="34D977AE"/>
    <w:rsid w:val="34DB7288"/>
    <w:rsid w:val="34DC608A"/>
    <w:rsid w:val="34DF467B"/>
    <w:rsid w:val="34DF4F45"/>
    <w:rsid w:val="34E12375"/>
    <w:rsid w:val="34E151D4"/>
    <w:rsid w:val="34E24BBF"/>
    <w:rsid w:val="34EA6DE3"/>
    <w:rsid w:val="34F225FC"/>
    <w:rsid w:val="34F56FBC"/>
    <w:rsid w:val="34F62C4C"/>
    <w:rsid w:val="34F66538"/>
    <w:rsid w:val="34F811E7"/>
    <w:rsid w:val="34F87DD7"/>
    <w:rsid w:val="34FC42C4"/>
    <w:rsid w:val="34FF6020"/>
    <w:rsid w:val="35020443"/>
    <w:rsid w:val="35032284"/>
    <w:rsid w:val="35035CCC"/>
    <w:rsid w:val="35047334"/>
    <w:rsid w:val="350529DC"/>
    <w:rsid w:val="350564A1"/>
    <w:rsid w:val="35066670"/>
    <w:rsid w:val="3508552D"/>
    <w:rsid w:val="350C0845"/>
    <w:rsid w:val="350C1B48"/>
    <w:rsid w:val="350C67D9"/>
    <w:rsid w:val="350E3F03"/>
    <w:rsid w:val="35113701"/>
    <w:rsid w:val="35131B56"/>
    <w:rsid w:val="35136644"/>
    <w:rsid w:val="351749CD"/>
    <w:rsid w:val="35180AF4"/>
    <w:rsid w:val="351F6EAE"/>
    <w:rsid w:val="35204EE8"/>
    <w:rsid w:val="35206233"/>
    <w:rsid w:val="35222303"/>
    <w:rsid w:val="35224FF7"/>
    <w:rsid w:val="35260CFC"/>
    <w:rsid w:val="3526519C"/>
    <w:rsid w:val="35265C8A"/>
    <w:rsid w:val="35271AF3"/>
    <w:rsid w:val="35297A06"/>
    <w:rsid w:val="352E546E"/>
    <w:rsid w:val="352F3D5F"/>
    <w:rsid w:val="35312E6B"/>
    <w:rsid w:val="353134A8"/>
    <w:rsid w:val="35321A49"/>
    <w:rsid w:val="35330717"/>
    <w:rsid w:val="35335991"/>
    <w:rsid w:val="35374D37"/>
    <w:rsid w:val="3539724B"/>
    <w:rsid w:val="353D7ABD"/>
    <w:rsid w:val="353F7D17"/>
    <w:rsid w:val="35404066"/>
    <w:rsid w:val="354212DD"/>
    <w:rsid w:val="35426886"/>
    <w:rsid w:val="35446747"/>
    <w:rsid w:val="35461830"/>
    <w:rsid w:val="35485E5C"/>
    <w:rsid w:val="354B01D9"/>
    <w:rsid w:val="354B4BF0"/>
    <w:rsid w:val="354B5095"/>
    <w:rsid w:val="354B73F1"/>
    <w:rsid w:val="354F4C6F"/>
    <w:rsid w:val="355363C4"/>
    <w:rsid w:val="3554427F"/>
    <w:rsid w:val="35547D0D"/>
    <w:rsid w:val="35590C48"/>
    <w:rsid w:val="355D1935"/>
    <w:rsid w:val="35602BA0"/>
    <w:rsid w:val="35604795"/>
    <w:rsid w:val="356141E4"/>
    <w:rsid w:val="356149D9"/>
    <w:rsid w:val="35621EF1"/>
    <w:rsid w:val="35631EBA"/>
    <w:rsid w:val="3564599A"/>
    <w:rsid w:val="356851FC"/>
    <w:rsid w:val="356A7CD0"/>
    <w:rsid w:val="356B0C94"/>
    <w:rsid w:val="356C7DD9"/>
    <w:rsid w:val="356F1A1C"/>
    <w:rsid w:val="35743335"/>
    <w:rsid w:val="35763ADD"/>
    <w:rsid w:val="3577473B"/>
    <w:rsid w:val="35775599"/>
    <w:rsid w:val="35793B80"/>
    <w:rsid w:val="357A4A2C"/>
    <w:rsid w:val="357D2714"/>
    <w:rsid w:val="357F4599"/>
    <w:rsid w:val="35821A41"/>
    <w:rsid w:val="35826325"/>
    <w:rsid w:val="35830F02"/>
    <w:rsid w:val="35853EC7"/>
    <w:rsid w:val="35874902"/>
    <w:rsid w:val="35876F10"/>
    <w:rsid w:val="358935A2"/>
    <w:rsid w:val="35896E98"/>
    <w:rsid w:val="358C6F85"/>
    <w:rsid w:val="3592789A"/>
    <w:rsid w:val="359540C5"/>
    <w:rsid w:val="359654FD"/>
    <w:rsid w:val="359B3CD7"/>
    <w:rsid w:val="359B6AD7"/>
    <w:rsid w:val="359B6D6D"/>
    <w:rsid w:val="359C025E"/>
    <w:rsid w:val="359D2FAC"/>
    <w:rsid w:val="359D7629"/>
    <w:rsid w:val="35A00C98"/>
    <w:rsid w:val="35A03BD8"/>
    <w:rsid w:val="35A34992"/>
    <w:rsid w:val="35A52812"/>
    <w:rsid w:val="35A60515"/>
    <w:rsid w:val="35A750A7"/>
    <w:rsid w:val="35AA4C5E"/>
    <w:rsid w:val="35AA51ED"/>
    <w:rsid w:val="35B54F6E"/>
    <w:rsid w:val="35B62399"/>
    <w:rsid w:val="35B7667B"/>
    <w:rsid w:val="35B842DF"/>
    <w:rsid w:val="35B92C37"/>
    <w:rsid w:val="35B94340"/>
    <w:rsid w:val="35BA7D0D"/>
    <w:rsid w:val="35BD0A36"/>
    <w:rsid w:val="35BE3047"/>
    <w:rsid w:val="35BF631E"/>
    <w:rsid w:val="35C30D59"/>
    <w:rsid w:val="35C44623"/>
    <w:rsid w:val="35C9143F"/>
    <w:rsid w:val="35CB046B"/>
    <w:rsid w:val="35D308FB"/>
    <w:rsid w:val="35D3117F"/>
    <w:rsid w:val="35D50DC0"/>
    <w:rsid w:val="35D56DC1"/>
    <w:rsid w:val="35D6322C"/>
    <w:rsid w:val="35D736DF"/>
    <w:rsid w:val="35D95009"/>
    <w:rsid w:val="35DA2666"/>
    <w:rsid w:val="35DA30D5"/>
    <w:rsid w:val="35DC3AE5"/>
    <w:rsid w:val="35DE109E"/>
    <w:rsid w:val="35DF64DA"/>
    <w:rsid w:val="35E1552A"/>
    <w:rsid w:val="35E23EA3"/>
    <w:rsid w:val="35E24191"/>
    <w:rsid w:val="35E5587F"/>
    <w:rsid w:val="35E876B2"/>
    <w:rsid w:val="35EA7058"/>
    <w:rsid w:val="35EB3844"/>
    <w:rsid w:val="35EE3CFA"/>
    <w:rsid w:val="35EF7B17"/>
    <w:rsid w:val="35F02136"/>
    <w:rsid w:val="35F239BF"/>
    <w:rsid w:val="35F34062"/>
    <w:rsid w:val="35F43BB2"/>
    <w:rsid w:val="35F50104"/>
    <w:rsid w:val="35F974C2"/>
    <w:rsid w:val="35FA4062"/>
    <w:rsid w:val="35FA4894"/>
    <w:rsid w:val="35FB39E8"/>
    <w:rsid w:val="36011831"/>
    <w:rsid w:val="36022F77"/>
    <w:rsid w:val="36071F27"/>
    <w:rsid w:val="36076AFA"/>
    <w:rsid w:val="3609279F"/>
    <w:rsid w:val="36092BF4"/>
    <w:rsid w:val="360A166E"/>
    <w:rsid w:val="360C1C71"/>
    <w:rsid w:val="360D6F08"/>
    <w:rsid w:val="360F7FA2"/>
    <w:rsid w:val="361018A4"/>
    <w:rsid w:val="36102C83"/>
    <w:rsid w:val="361071DE"/>
    <w:rsid w:val="3613592C"/>
    <w:rsid w:val="361528B1"/>
    <w:rsid w:val="36164AE2"/>
    <w:rsid w:val="36172DD0"/>
    <w:rsid w:val="36187EC8"/>
    <w:rsid w:val="361938EA"/>
    <w:rsid w:val="361B1A24"/>
    <w:rsid w:val="361B3CAC"/>
    <w:rsid w:val="361B4D96"/>
    <w:rsid w:val="361B4FB8"/>
    <w:rsid w:val="361B50C2"/>
    <w:rsid w:val="361C0FCD"/>
    <w:rsid w:val="361C7EDB"/>
    <w:rsid w:val="361D1D2F"/>
    <w:rsid w:val="361F2246"/>
    <w:rsid w:val="36213861"/>
    <w:rsid w:val="36214ACB"/>
    <w:rsid w:val="36217D26"/>
    <w:rsid w:val="362202B7"/>
    <w:rsid w:val="362416ED"/>
    <w:rsid w:val="36247F35"/>
    <w:rsid w:val="36292FC9"/>
    <w:rsid w:val="362A3660"/>
    <w:rsid w:val="362C25E0"/>
    <w:rsid w:val="362E4FC6"/>
    <w:rsid w:val="362F4800"/>
    <w:rsid w:val="36326C2C"/>
    <w:rsid w:val="36335563"/>
    <w:rsid w:val="36373CCA"/>
    <w:rsid w:val="36376FDC"/>
    <w:rsid w:val="36384F54"/>
    <w:rsid w:val="36387D07"/>
    <w:rsid w:val="36390A1F"/>
    <w:rsid w:val="36394521"/>
    <w:rsid w:val="363A10D1"/>
    <w:rsid w:val="363A28BE"/>
    <w:rsid w:val="363A7438"/>
    <w:rsid w:val="363A7FF1"/>
    <w:rsid w:val="363B2252"/>
    <w:rsid w:val="363D2CF4"/>
    <w:rsid w:val="363F767B"/>
    <w:rsid w:val="36414978"/>
    <w:rsid w:val="36460704"/>
    <w:rsid w:val="3647124E"/>
    <w:rsid w:val="364858C0"/>
    <w:rsid w:val="364A0D72"/>
    <w:rsid w:val="365018B8"/>
    <w:rsid w:val="3652057B"/>
    <w:rsid w:val="36540555"/>
    <w:rsid w:val="36550995"/>
    <w:rsid w:val="36571AE7"/>
    <w:rsid w:val="36577913"/>
    <w:rsid w:val="36597FAA"/>
    <w:rsid w:val="365C1F7F"/>
    <w:rsid w:val="365F22EB"/>
    <w:rsid w:val="36643D63"/>
    <w:rsid w:val="36677355"/>
    <w:rsid w:val="366A54A7"/>
    <w:rsid w:val="366B1F39"/>
    <w:rsid w:val="366D2515"/>
    <w:rsid w:val="366E69FC"/>
    <w:rsid w:val="367074F8"/>
    <w:rsid w:val="36724A9B"/>
    <w:rsid w:val="36724ED3"/>
    <w:rsid w:val="367403B9"/>
    <w:rsid w:val="36744BE0"/>
    <w:rsid w:val="3675387B"/>
    <w:rsid w:val="36754A91"/>
    <w:rsid w:val="36756186"/>
    <w:rsid w:val="367641E4"/>
    <w:rsid w:val="367759DC"/>
    <w:rsid w:val="367849AD"/>
    <w:rsid w:val="367F3260"/>
    <w:rsid w:val="3680486D"/>
    <w:rsid w:val="368118DE"/>
    <w:rsid w:val="368202F5"/>
    <w:rsid w:val="36822BB1"/>
    <w:rsid w:val="36836B78"/>
    <w:rsid w:val="36846FB9"/>
    <w:rsid w:val="36892C76"/>
    <w:rsid w:val="368B6476"/>
    <w:rsid w:val="368B68CF"/>
    <w:rsid w:val="368C3E29"/>
    <w:rsid w:val="368E66DC"/>
    <w:rsid w:val="368E6989"/>
    <w:rsid w:val="369054E6"/>
    <w:rsid w:val="36906760"/>
    <w:rsid w:val="369129DF"/>
    <w:rsid w:val="369275D2"/>
    <w:rsid w:val="36944F24"/>
    <w:rsid w:val="369765A7"/>
    <w:rsid w:val="369868E9"/>
    <w:rsid w:val="369E5DF0"/>
    <w:rsid w:val="369F3B85"/>
    <w:rsid w:val="369F7E85"/>
    <w:rsid w:val="36A21025"/>
    <w:rsid w:val="36A45AB6"/>
    <w:rsid w:val="36A50A39"/>
    <w:rsid w:val="36A52ADA"/>
    <w:rsid w:val="36A52C34"/>
    <w:rsid w:val="36A62A9E"/>
    <w:rsid w:val="36A915BB"/>
    <w:rsid w:val="36AA2DFF"/>
    <w:rsid w:val="36AB2B66"/>
    <w:rsid w:val="36AC7000"/>
    <w:rsid w:val="36AD7F84"/>
    <w:rsid w:val="36B00BFF"/>
    <w:rsid w:val="36B02A9C"/>
    <w:rsid w:val="36B5117B"/>
    <w:rsid w:val="36B5767C"/>
    <w:rsid w:val="36B76DC6"/>
    <w:rsid w:val="36B80D92"/>
    <w:rsid w:val="36B90E00"/>
    <w:rsid w:val="36B92CF3"/>
    <w:rsid w:val="36BA57BC"/>
    <w:rsid w:val="36BD4F7A"/>
    <w:rsid w:val="36BF767D"/>
    <w:rsid w:val="36C53F82"/>
    <w:rsid w:val="36C56F1B"/>
    <w:rsid w:val="36C66CE2"/>
    <w:rsid w:val="36C954DC"/>
    <w:rsid w:val="36C9552B"/>
    <w:rsid w:val="36CA7112"/>
    <w:rsid w:val="36CD41A1"/>
    <w:rsid w:val="36CE35A6"/>
    <w:rsid w:val="36D00711"/>
    <w:rsid w:val="36D3350E"/>
    <w:rsid w:val="36D750DB"/>
    <w:rsid w:val="36D76251"/>
    <w:rsid w:val="36D9051E"/>
    <w:rsid w:val="36DB2325"/>
    <w:rsid w:val="36DE3FA6"/>
    <w:rsid w:val="36DF2854"/>
    <w:rsid w:val="36DF49BB"/>
    <w:rsid w:val="36E20439"/>
    <w:rsid w:val="36E20C27"/>
    <w:rsid w:val="36E242E3"/>
    <w:rsid w:val="36E5482E"/>
    <w:rsid w:val="36E85818"/>
    <w:rsid w:val="36E876C1"/>
    <w:rsid w:val="36E94BED"/>
    <w:rsid w:val="36EA2C1D"/>
    <w:rsid w:val="36EF0355"/>
    <w:rsid w:val="36F163EB"/>
    <w:rsid w:val="36F31B32"/>
    <w:rsid w:val="36F42927"/>
    <w:rsid w:val="36F455DE"/>
    <w:rsid w:val="36F62DEE"/>
    <w:rsid w:val="36F74952"/>
    <w:rsid w:val="36F91E83"/>
    <w:rsid w:val="36FB4966"/>
    <w:rsid w:val="36FB5A0C"/>
    <w:rsid w:val="36FD26FF"/>
    <w:rsid w:val="36FD52AD"/>
    <w:rsid w:val="36FE4A2B"/>
    <w:rsid w:val="3701058C"/>
    <w:rsid w:val="370170DC"/>
    <w:rsid w:val="37023452"/>
    <w:rsid w:val="37032BA2"/>
    <w:rsid w:val="37040922"/>
    <w:rsid w:val="37066B34"/>
    <w:rsid w:val="370908FD"/>
    <w:rsid w:val="37091385"/>
    <w:rsid w:val="370A2CEE"/>
    <w:rsid w:val="370C11D5"/>
    <w:rsid w:val="370F088A"/>
    <w:rsid w:val="370F2F5D"/>
    <w:rsid w:val="371009FB"/>
    <w:rsid w:val="37102B2A"/>
    <w:rsid w:val="371047AB"/>
    <w:rsid w:val="37120867"/>
    <w:rsid w:val="37140617"/>
    <w:rsid w:val="3719536F"/>
    <w:rsid w:val="37197F57"/>
    <w:rsid w:val="37210F69"/>
    <w:rsid w:val="372170DA"/>
    <w:rsid w:val="372223EB"/>
    <w:rsid w:val="372376B3"/>
    <w:rsid w:val="37245630"/>
    <w:rsid w:val="37271617"/>
    <w:rsid w:val="372972DC"/>
    <w:rsid w:val="372A726C"/>
    <w:rsid w:val="372B2DFD"/>
    <w:rsid w:val="372C05DD"/>
    <w:rsid w:val="372C4353"/>
    <w:rsid w:val="37300A3F"/>
    <w:rsid w:val="373145D4"/>
    <w:rsid w:val="37370D1C"/>
    <w:rsid w:val="373A117E"/>
    <w:rsid w:val="373B6E9A"/>
    <w:rsid w:val="373C2757"/>
    <w:rsid w:val="373D107A"/>
    <w:rsid w:val="373E63F8"/>
    <w:rsid w:val="373E782B"/>
    <w:rsid w:val="3740227F"/>
    <w:rsid w:val="3746263F"/>
    <w:rsid w:val="37475BD3"/>
    <w:rsid w:val="374818F6"/>
    <w:rsid w:val="374A1374"/>
    <w:rsid w:val="374B0D7A"/>
    <w:rsid w:val="374D2462"/>
    <w:rsid w:val="374F45A0"/>
    <w:rsid w:val="37500B61"/>
    <w:rsid w:val="37507B54"/>
    <w:rsid w:val="3754221A"/>
    <w:rsid w:val="3755791B"/>
    <w:rsid w:val="375809B5"/>
    <w:rsid w:val="375919B0"/>
    <w:rsid w:val="37592EF1"/>
    <w:rsid w:val="375A6ECB"/>
    <w:rsid w:val="375C25D9"/>
    <w:rsid w:val="375C48A5"/>
    <w:rsid w:val="375F0501"/>
    <w:rsid w:val="375F7DA4"/>
    <w:rsid w:val="37610694"/>
    <w:rsid w:val="37655AC5"/>
    <w:rsid w:val="37666F50"/>
    <w:rsid w:val="37684963"/>
    <w:rsid w:val="37686F4F"/>
    <w:rsid w:val="376874E6"/>
    <w:rsid w:val="376B6987"/>
    <w:rsid w:val="376C7865"/>
    <w:rsid w:val="377058D4"/>
    <w:rsid w:val="377108B1"/>
    <w:rsid w:val="3772189C"/>
    <w:rsid w:val="37746256"/>
    <w:rsid w:val="37763AA3"/>
    <w:rsid w:val="377647F6"/>
    <w:rsid w:val="37771CD4"/>
    <w:rsid w:val="377C1B0F"/>
    <w:rsid w:val="377C34EA"/>
    <w:rsid w:val="377D371E"/>
    <w:rsid w:val="377D4C25"/>
    <w:rsid w:val="37807178"/>
    <w:rsid w:val="37823DC5"/>
    <w:rsid w:val="37834D51"/>
    <w:rsid w:val="378620F3"/>
    <w:rsid w:val="37884F16"/>
    <w:rsid w:val="37896E89"/>
    <w:rsid w:val="378B5D3E"/>
    <w:rsid w:val="378C7819"/>
    <w:rsid w:val="378E3F91"/>
    <w:rsid w:val="37934674"/>
    <w:rsid w:val="379766CA"/>
    <w:rsid w:val="37993DD5"/>
    <w:rsid w:val="379974AF"/>
    <w:rsid w:val="379A308B"/>
    <w:rsid w:val="379A38C6"/>
    <w:rsid w:val="379A4615"/>
    <w:rsid w:val="379B1567"/>
    <w:rsid w:val="379B78D8"/>
    <w:rsid w:val="379C1E57"/>
    <w:rsid w:val="379D0804"/>
    <w:rsid w:val="379E0D27"/>
    <w:rsid w:val="379E6D52"/>
    <w:rsid w:val="379F3E30"/>
    <w:rsid w:val="37A11726"/>
    <w:rsid w:val="37A24F55"/>
    <w:rsid w:val="37A27E12"/>
    <w:rsid w:val="37A56207"/>
    <w:rsid w:val="37A80E99"/>
    <w:rsid w:val="37A91181"/>
    <w:rsid w:val="37A95A0A"/>
    <w:rsid w:val="37AA16F9"/>
    <w:rsid w:val="37AB4B48"/>
    <w:rsid w:val="37AD0264"/>
    <w:rsid w:val="37AE2E93"/>
    <w:rsid w:val="37B24515"/>
    <w:rsid w:val="37B35DFD"/>
    <w:rsid w:val="37B52FD2"/>
    <w:rsid w:val="37B91A3C"/>
    <w:rsid w:val="37BB0A13"/>
    <w:rsid w:val="37BB6144"/>
    <w:rsid w:val="37BC1FCF"/>
    <w:rsid w:val="37BE408C"/>
    <w:rsid w:val="37C063E5"/>
    <w:rsid w:val="37C5396B"/>
    <w:rsid w:val="37C66544"/>
    <w:rsid w:val="37C72C5C"/>
    <w:rsid w:val="37CB599C"/>
    <w:rsid w:val="37CE11FF"/>
    <w:rsid w:val="37CE6190"/>
    <w:rsid w:val="37D343E3"/>
    <w:rsid w:val="37D54322"/>
    <w:rsid w:val="37D66B45"/>
    <w:rsid w:val="37D73E9A"/>
    <w:rsid w:val="37D7651A"/>
    <w:rsid w:val="37DA63E9"/>
    <w:rsid w:val="37DF6832"/>
    <w:rsid w:val="37E215B8"/>
    <w:rsid w:val="37E25304"/>
    <w:rsid w:val="37E320E0"/>
    <w:rsid w:val="37E74214"/>
    <w:rsid w:val="37EB3EA3"/>
    <w:rsid w:val="37EC0780"/>
    <w:rsid w:val="37ED30B8"/>
    <w:rsid w:val="37ED335E"/>
    <w:rsid w:val="37EE3A7F"/>
    <w:rsid w:val="37EF645E"/>
    <w:rsid w:val="37F048B7"/>
    <w:rsid w:val="37F433FF"/>
    <w:rsid w:val="37F86868"/>
    <w:rsid w:val="37F9179F"/>
    <w:rsid w:val="37FA3E67"/>
    <w:rsid w:val="37FA77DC"/>
    <w:rsid w:val="37FB31DC"/>
    <w:rsid w:val="37FC0447"/>
    <w:rsid w:val="37FF2EB3"/>
    <w:rsid w:val="380071B0"/>
    <w:rsid w:val="38012214"/>
    <w:rsid w:val="38021586"/>
    <w:rsid w:val="380425D2"/>
    <w:rsid w:val="38067CE2"/>
    <w:rsid w:val="380907BF"/>
    <w:rsid w:val="380C4FF0"/>
    <w:rsid w:val="380D4806"/>
    <w:rsid w:val="380E463D"/>
    <w:rsid w:val="380F0CEE"/>
    <w:rsid w:val="380F7BAE"/>
    <w:rsid w:val="381065A8"/>
    <w:rsid w:val="38123D8D"/>
    <w:rsid w:val="3813313C"/>
    <w:rsid w:val="381339F9"/>
    <w:rsid w:val="38137B77"/>
    <w:rsid w:val="38147A25"/>
    <w:rsid w:val="3815018C"/>
    <w:rsid w:val="38152455"/>
    <w:rsid w:val="38153EBA"/>
    <w:rsid w:val="3815569E"/>
    <w:rsid w:val="3815685C"/>
    <w:rsid w:val="38192413"/>
    <w:rsid w:val="38195E0A"/>
    <w:rsid w:val="38196476"/>
    <w:rsid w:val="38197F10"/>
    <w:rsid w:val="381A4AC1"/>
    <w:rsid w:val="381B6EA4"/>
    <w:rsid w:val="38217013"/>
    <w:rsid w:val="38231AA0"/>
    <w:rsid w:val="38234582"/>
    <w:rsid w:val="3824516A"/>
    <w:rsid w:val="38250A37"/>
    <w:rsid w:val="38253BF6"/>
    <w:rsid w:val="38262672"/>
    <w:rsid w:val="38273EA1"/>
    <w:rsid w:val="382921FC"/>
    <w:rsid w:val="382C0865"/>
    <w:rsid w:val="382E301C"/>
    <w:rsid w:val="382F2EF4"/>
    <w:rsid w:val="382F6206"/>
    <w:rsid w:val="382F6E84"/>
    <w:rsid w:val="38313FAD"/>
    <w:rsid w:val="3831680D"/>
    <w:rsid w:val="3834188A"/>
    <w:rsid w:val="383921B5"/>
    <w:rsid w:val="383978CE"/>
    <w:rsid w:val="383B05C2"/>
    <w:rsid w:val="383C4098"/>
    <w:rsid w:val="383C6626"/>
    <w:rsid w:val="383C6AF2"/>
    <w:rsid w:val="383D0B91"/>
    <w:rsid w:val="383D1749"/>
    <w:rsid w:val="38422043"/>
    <w:rsid w:val="38430A89"/>
    <w:rsid w:val="38432702"/>
    <w:rsid w:val="38470916"/>
    <w:rsid w:val="38476D11"/>
    <w:rsid w:val="3848180D"/>
    <w:rsid w:val="38484C49"/>
    <w:rsid w:val="384A69DE"/>
    <w:rsid w:val="384B0B9C"/>
    <w:rsid w:val="384C46B7"/>
    <w:rsid w:val="384C4AEE"/>
    <w:rsid w:val="38506525"/>
    <w:rsid w:val="385067B8"/>
    <w:rsid w:val="38514FE0"/>
    <w:rsid w:val="38530492"/>
    <w:rsid w:val="385304E3"/>
    <w:rsid w:val="385305EA"/>
    <w:rsid w:val="3858176B"/>
    <w:rsid w:val="38592DF0"/>
    <w:rsid w:val="385A44A7"/>
    <w:rsid w:val="385B4A89"/>
    <w:rsid w:val="385B674D"/>
    <w:rsid w:val="385C2AE8"/>
    <w:rsid w:val="385D7212"/>
    <w:rsid w:val="385E3789"/>
    <w:rsid w:val="385F35BF"/>
    <w:rsid w:val="38600AB7"/>
    <w:rsid w:val="38603BD8"/>
    <w:rsid w:val="38610836"/>
    <w:rsid w:val="386222C7"/>
    <w:rsid w:val="386229B5"/>
    <w:rsid w:val="386511D9"/>
    <w:rsid w:val="386637CB"/>
    <w:rsid w:val="386A576A"/>
    <w:rsid w:val="386C5CFD"/>
    <w:rsid w:val="386D54B0"/>
    <w:rsid w:val="386D5924"/>
    <w:rsid w:val="386E5635"/>
    <w:rsid w:val="386F6232"/>
    <w:rsid w:val="38747AF0"/>
    <w:rsid w:val="38756C42"/>
    <w:rsid w:val="387677FD"/>
    <w:rsid w:val="387A0119"/>
    <w:rsid w:val="387A7DDA"/>
    <w:rsid w:val="387B20E9"/>
    <w:rsid w:val="38804325"/>
    <w:rsid w:val="38810B33"/>
    <w:rsid w:val="38823BAC"/>
    <w:rsid w:val="38842F4A"/>
    <w:rsid w:val="38870BDA"/>
    <w:rsid w:val="388711A0"/>
    <w:rsid w:val="38887772"/>
    <w:rsid w:val="38904FC3"/>
    <w:rsid w:val="389066A3"/>
    <w:rsid w:val="3890762B"/>
    <w:rsid w:val="38921AE2"/>
    <w:rsid w:val="38935DFC"/>
    <w:rsid w:val="389361AD"/>
    <w:rsid w:val="38950563"/>
    <w:rsid w:val="38955E8C"/>
    <w:rsid w:val="389638AC"/>
    <w:rsid w:val="389A5828"/>
    <w:rsid w:val="389D0516"/>
    <w:rsid w:val="38A20AFB"/>
    <w:rsid w:val="38A33991"/>
    <w:rsid w:val="38A36919"/>
    <w:rsid w:val="38A413E0"/>
    <w:rsid w:val="38A830F7"/>
    <w:rsid w:val="38A90138"/>
    <w:rsid w:val="38AC0818"/>
    <w:rsid w:val="38AC2346"/>
    <w:rsid w:val="38AC402F"/>
    <w:rsid w:val="38AF74B3"/>
    <w:rsid w:val="38B033A7"/>
    <w:rsid w:val="38B15157"/>
    <w:rsid w:val="38B244E6"/>
    <w:rsid w:val="38B3798B"/>
    <w:rsid w:val="38B84C03"/>
    <w:rsid w:val="38B93BD7"/>
    <w:rsid w:val="38BB1F56"/>
    <w:rsid w:val="38BE23CA"/>
    <w:rsid w:val="38BF0D4E"/>
    <w:rsid w:val="38C04A3F"/>
    <w:rsid w:val="38C06725"/>
    <w:rsid w:val="38C120AF"/>
    <w:rsid w:val="38C22609"/>
    <w:rsid w:val="38C41438"/>
    <w:rsid w:val="38C731DA"/>
    <w:rsid w:val="38C7423D"/>
    <w:rsid w:val="38C77DDD"/>
    <w:rsid w:val="38C94444"/>
    <w:rsid w:val="38CA470C"/>
    <w:rsid w:val="38CA64E6"/>
    <w:rsid w:val="38CD0562"/>
    <w:rsid w:val="38CF34E8"/>
    <w:rsid w:val="38D04DBB"/>
    <w:rsid w:val="38D14328"/>
    <w:rsid w:val="38D21368"/>
    <w:rsid w:val="38D24AC6"/>
    <w:rsid w:val="38D64E05"/>
    <w:rsid w:val="38D70530"/>
    <w:rsid w:val="38D76E43"/>
    <w:rsid w:val="38D8683E"/>
    <w:rsid w:val="38DB3BB9"/>
    <w:rsid w:val="38DD57EE"/>
    <w:rsid w:val="38DE37E8"/>
    <w:rsid w:val="38DE44A0"/>
    <w:rsid w:val="38E466E5"/>
    <w:rsid w:val="38E514F7"/>
    <w:rsid w:val="38E71F68"/>
    <w:rsid w:val="38E8224B"/>
    <w:rsid w:val="38E87747"/>
    <w:rsid w:val="38EA6FDD"/>
    <w:rsid w:val="38EB6915"/>
    <w:rsid w:val="38EC3C04"/>
    <w:rsid w:val="38EC7724"/>
    <w:rsid w:val="38ED039E"/>
    <w:rsid w:val="38ED1E5E"/>
    <w:rsid w:val="38ED4C89"/>
    <w:rsid w:val="38EF3F84"/>
    <w:rsid w:val="38F020A6"/>
    <w:rsid w:val="38F324A1"/>
    <w:rsid w:val="38F71D22"/>
    <w:rsid w:val="38FA4936"/>
    <w:rsid w:val="38FB4A70"/>
    <w:rsid w:val="38FF6945"/>
    <w:rsid w:val="39016525"/>
    <w:rsid w:val="3905169E"/>
    <w:rsid w:val="39054D28"/>
    <w:rsid w:val="39071134"/>
    <w:rsid w:val="390929BE"/>
    <w:rsid w:val="3909584F"/>
    <w:rsid w:val="390A2A0A"/>
    <w:rsid w:val="390B1E1F"/>
    <w:rsid w:val="390B6C43"/>
    <w:rsid w:val="390E1A67"/>
    <w:rsid w:val="390F44D5"/>
    <w:rsid w:val="39102C02"/>
    <w:rsid w:val="391055B4"/>
    <w:rsid w:val="391456C1"/>
    <w:rsid w:val="39157291"/>
    <w:rsid w:val="39157B8E"/>
    <w:rsid w:val="39166B0F"/>
    <w:rsid w:val="39166C9F"/>
    <w:rsid w:val="39176560"/>
    <w:rsid w:val="391A166C"/>
    <w:rsid w:val="391B2A75"/>
    <w:rsid w:val="391E7FA6"/>
    <w:rsid w:val="391F6DC1"/>
    <w:rsid w:val="39200C7A"/>
    <w:rsid w:val="3924114A"/>
    <w:rsid w:val="39265A36"/>
    <w:rsid w:val="39280A32"/>
    <w:rsid w:val="392859AE"/>
    <w:rsid w:val="392C7777"/>
    <w:rsid w:val="392D2B39"/>
    <w:rsid w:val="392E2FDD"/>
    <w:rsid w:val="39302631"/>
    <w:rsid w:val="393636E9"/>
    <w:rsid w:val="39363FB6"/>
    <w:rsid w:val="393713C5"/>
    <w:rsid w:val="39387381"/>
    <w:rsid w:val="393A4013"/>
    <w:rsid w:val="393A7149"/>
    <w:rsid w:val="393D4D3C"/>
    <w:rsid w:val="393F50C0"/>
    <w:rsid w:val="39407A02"/>
    <w:rsid w:val="39424D22"/>
    <w:rsid w:val="39426619"/>
    <w:rsid w:val="39451FF5"/>
    <w:rsid w:val="39452998"/>
    <w:rsid w:val="394F27E7"/>
    <w:rsid w:val="39551E5A"/>
    <w:rsid w:val="395846C7"/>
    <w:rsid w:val="395869EE"/>
    <w:rsid w:val="396222DA"/>
    <w:rsid w:val="39631BB3"/>
    <w:rsid w:val="39641D2D"/>
    <w:rsid w:val="39662498"/>
    <w:rsid w:val="396825C6"/>
    <w:rsid w:val="396B5051"/>
    <w:rsid w:val="396C3204"/>
    <w:rsid w:val="396C7178"/>
    <w:rsid w:val="396D61BC"/>
    <w:rsid w:val="396E7E94"/>
    <w:rsid w:val="39700204"/>
    <w:rsid w:val="397177B2"/>
    <w:rsid w:val="397325A9"/>
    <w:rsid w:val="397435B9"/>
    <w:rsid w:val="39744964"/>
    <w:rsid w:val="39763D3F"/>
    <w:rsid w:val="39774B6A"/>
    <w:rsid w:val="39782A0E"/>
    <w:rsid w:val="397F56C6"/>
    <w:rsid w:val="398101CF"/>
    <w:rsid w:val="39822086"/>
    <w:rsid w:val="39824DC8"/>
    <w:rsid w:val="39845D47"/>
    <w:rsid w:val="398A4C78"/>
    <w:rsid w:val="398B3EEF"/>
    <w:rsid w:val="398B6501"/>
    <w:rsid w:val="398C3883"/>
    <w:rsid w:val="398F3ADF"/>
    <w:rsid w:val="3992343F"/>
    <w:rsid w:val="3993139C"/>
    <w:rsid w:val="39942146"/>
    <w:rsid w:val="3995228E"/>
    <w:rsid w:val="399C0BCA"/>
    <w:rsid w:val="399C6C82"/>
    <w:rsid w:val="399C6CB3"/>
    <w:rsid w:val="399F4DFB"/>
    <w:rsid w:val="39A01C8F"/>
    <w:rsid w:val="39A03BCD"/>
    <w:rsid w:val="39A1024B"/>
    <w:rsid w:val="39A23B9C"/>
    <w:rsid w:val="39A57205"/>
    <w:rsid w:val="39A733AE"/>
    <w:rsid w:val="39A76B9C"/>
    <w:rsid w:val="39AA1790"/>
    <w:rsid w:val="39AA1D1A"/>
    <w:rsid w:val="39AA6C3D"/>
    <w:rsid w:val="39AE4868"/>
    <w:rsid w:val="39AF0414"/>
    <w:rsid w:val="39B268DA"/>
    <w:rsid w:val="39B31823"/>
    <w:rsid w:val="39B67483"/>
    <w:rsid w:val="39B758E3"/>
    <w:rsid w:val="39B918CC"/>
    <w:rsid w:val="39B94E74"/>
    <w:rsid w:val="39BE260F"/>
    <w:rsid w:val="39C010C7"/>
    <w:rsid w:val="39C10872"/>
    <w:rsid w:val="39C26389"/>
    <w:rsid w:val="39C5415D"/>
    <w:rsid w:val="39CA2E2B"/>
    <w:rsid w:val="39CB7C17"/>
    <w:rsid w:val="39CC4876"/>
    <w:rsid w:val="39CC50BC"/>
    <w:rsid w:val="39CE37B5"/>
    <w:rsid w:val="39D02507"/>
    <w:rsid w:val="39D0751C"/>
    <w:rsid w:val="39D2419A"/>
    <w:rsid w:val="39D34C1E"/>
    <w:rsid w:val="39D5355F"/>
    <w:rsid w:val="39D84336"/>
    <w:rsid w:val="39DC3956"/>
    <w:rsid w:val="39DC6A3B"/>
    <w:rsid w:val="39DE0D6E"/>
    <w:rsid w:val="39DF2212"/>
    <w:rsid w:val="39DF4815"/>
    <w:rsid w:val="39DF61B9"/>
    <w:rsid w:val="39E21C00"/>
    <w:rsid w:val="39E51CAB"/>
    <w:rsid w:val="39E74A16"/>
    <w:rsid w:val="39E91D81"/>
    <w:rsid w:val="39EA5DE4"/>
    <w:rsid w:val="39EA6B15"/>
    <w:rsid w:val="39EB2F09"/>
    <w:rsid w:val="39ED60AC"/>
    <w:rsid w:val="39EF1E3F"/>
    <w:rsid w:val="39F11379"/>
    <w:rsid w:val="39F2495F"/>
    <w:rsid w:val="39F273DC"/>
    <w:rsid w:val="39F55129"/>
    <w:rsid w:val="39F60F6C"/>
    <w:rsid w:val="39F92ED3"/>
    <w:rsid w:val="39FB1F29"/>
    <w:rsid w:val="39FD1413"/>
    <w:rsid w:val="39FD79E9"/>
    <w:rsid w:val="39FE5F2D"/>
    <w:rsid w:val="3A0103B8"/>
    <w:rsid w:val="3A0B3E76"/>
    <w:rsid w:val="3A0B6E3F"/>
    <w:rsid w:val="3A0E3B33"/>
    <w:rsid w:val="3A0F79CF"/>
    <w:rsid w:val="3A114DA1"/>
    <w:rsid w:val="3A131C03"/>
    <w:rsid w:val="3A162A27"/>
    <w:rsid w:val="3A1726F9"/>
    <w:rsid w:val="3A1772A0"/>
    <w:rsid w:val="3A21583D"/>
    <w:rsid w:val="3A2230B3"/>
    <w:rsid w:val="3A2312E2"/>
    <w:rsid w:val="3A251D44"/>
    <w:rsid w:val="3A25683E"/>
    <w:rsid w:val="3A281D3F"/>
    <w:rsid w:val="3A28694A"/>
    <w:rsid w:val="3A2D231A"/>
    <w:rsid w:val="3A2F5F1A"/>
    <w:rsid w:val="3A330F0D"/>
    <w:rsid w:val="3A377F0F"/>
    <w:rsid w:val="3A395D3B"/>
    <w:rsid w:val="3A3B5AB9"/>
    <w:rsid w:val="3A3B7CB0"/>
    <w:rsid w:val="3A40099A"/>
    <w:rsid w:val="3A4175B2"/>
    <w:rsid w:val="3A4407C8"/>
    <w:rsid w:val="3A456341"/>
    <w:rsid w:val="3A465AE6"/>
    <w:rsid w:val="3A4970D2"/>
    <w:rsid w:val="3A4A088F"/>
    <w:rsid w:val="3A4A2E27"/>
    <w:rsid w:val="3A4A2F89"/>
    <w:rsid w:val="3A4E45DC"/>
    <w:rsid w:val="3A4F6AA7"/>
    <w:rsid w:val="3A500DD9"/>
    <w:rsid w:val="3A52736B"/>
    <w:rsid w:val="3A5734FE"/>
    <w:rsid w:val="3A575961"/>
    <w:rsid w:val="3A577615"/>
    <w:rsid w:val="3A5C4D63"/>
    <w:rsid w:val="3A5E16FF"/>
    <w:rsid w:val="3A5F59F6"/>
    <w:rsid w:val="3A66035A"/>
    <w:rsid w:val="3A6648DE"/>
    <w:rsid w:val="3A692DAD"/>
    <w:rsid w:val="3A6A27B4"/>
    <w:rsid w:val="3A6B5E10"/>
    <w:rsid w:val="3A6E5E19"/>
    <w:rsid w:val="3A6F0FEB"/>
    <w:rsid w:val="3A6F5E18"/>
    <w:rsid w:val="3A72088B"/>
    <w:rsid w:val="3A7377CC"/>
    <w:rsid w:val="3A751764"/>
    <w:rsid w:val="3A7851D1"/>
    <w:rsid w:val="3A7B0A9F"/>
    <w:rsid w:val="3A7F2BAF"/>
    <w:rsid w:val="3A8124ED"/>
    <w:rsid w:val="3A832F15"/>
    <w:rsid w:val="3A866060"/>
    <w:rsid w:val="3A876336"/>
    <w:rsid w:val="3A8902FF"/>
    <w:rsid w:val="3A8E6044"/>
    <w:rsid w:val="3A8F3280"/>
    <w:rsid w:val="3A9257D1"/>
    <w:rsid w:val="3A971143"/>
    <w:rsid w:val="3A9729D3"/>
    <w:rsid w:val="3A980663"/>
    <w:rsid w:val="3A994D65"/>
    <w:rsid w:val="3A9979D6"/>
    <w:rsid w:val="3A9A60EE"/>
    <w:rsid w:val="3A9B5E85"/>
    <w:rsid w:val="3A9C31EC"/>
    <w:rsid w:val="3A9C3F3F"/>
    <w:rsid w:val="3A9D4BC4"/>
    <w:rsid w:val="3A9E1A0F"/>
    <w:rsid w:val="3A9F76A1"/>
    <w:rsid w:val="3AA3337A"/>
    <w:rsid w:val="3AA37A9E"/>
    <w:rsid w:val="3AA4526A"/>
    <w:rsid w:val="3AA52961"/>
    <w:rsid w:val="3AA6484D"/>
    <w:rsid w:val="3AA70BCA"/>
    <w:rsid w:val="3AA94186"/>
    <w:rsid w:val="3AAA55DA"/>
    <w:rsid w:val="3AAB0B8E"/>
    <w:rsid w:val="3AAE6E0D"/>
    <w:rsid w:val="3AB06DC3"/>
    <w:rsid w:val="3AB16D47"/>
    <w:rsid w:val="3AB26FB3"/>
    <w:rsid w:val="3AB458A3"/>
    <w:rsid w:val="3AB60E07"/>
    <w:rsid w:val="3AB74A9B"/>
    <w:rsid w:val="3ABB2196"/>
    <w:rsid w:val="3ABD0ED2"/>
    <w:rsid w:val="3ABE094F"/>
    <w:rsid w:val="3AC3362F"/>
    <w:rsid w:val="3AC95740"/>
    <w:rsid w:val="3ACA5650"/>
    <w:rsid w:val="3ACA70A3"/>
    <w:rsid w:val="3AD50AC0"/>
    <w:rsid w:val="3AD63826"/>
    <w:rsid w:val="3AD760B0"/>
    <w:rsid w:val="3AD9208A"/>
    <w:rsid w:val="3ADA2064"/>
    <w:rsid w:val="3ADA2A17"/>
    <w:rsid w:val="3ADB2501"/>
    <w:rsid w:val="3ADB675E"/>
    <w:rsid w:val="3ADF0679"/>
    <w:rsid w:val="3AE2534B"/>
    <w:rsid w:val="3AE346A3"/>
    <w:rsid w:val="3AE86450"/>
    <w:rsid w:val="3AE94394"/>
    <w:rsid w:val="3AEA58ED"/>
    <w:rsid w:val="3AEB4F85"/>
    <w:rsid w:val="3AEC434B"/>
    <w:rsid w:val="3AEE00C2"/>
    <w:rsid w:val="3AEE06E1"/>
    <w:rsid w:val="3AF12123"/>
    <w:rsid w:val="3AF12DDD"/>
    <w:rsid w:val="3AF3696F"/>
    <w:rsid w:val="3AF373FF"/>
    <w:rsid w:val="3AF45488"/>
    <w:rsid w:val="3AFA3C8C"/>
    <w:rsid w:val="3AFB41B0"/>
    <w:rsid w:val="3AFC1B9F"/>
    <w:rsid w:val="3AFD3C8E"/>
    <w:rsid w:val="3AFE633A"/>
    <w:rsid w:val="3B0525B9"/>
    <w:rsid w:val="3B060D4C"/>
    <w:rsid w:val="3B063158"/>
    <w:rsid w:val="3B067661"/>
    <w:rsid w:val="3B083A55"/>
    <w:rsid w:val="3B091D24"/>
    <w:rsid w:val="3B093701"/>
    <w:rsid w:val="3B094D4A"/>
    <w:rsid w:val="3B0B36D8"/>
    <w:rsid w:val="3B0D39E2"/>
    <w:rsid w:val="3B0E6860"/>
    <w:rsid w:val="3B0F029F"/>
    <w:rsid w:val="3B0F1FD7"/>
    <w:rsid w:val="3B1132B4"/>
    <w:rsid w:val="3B150726"/>
    <w:rsid w:val="3B1600C9"/>
    <w:rsid w:val="3B171E0C"/>
    <w:rsid w:val="3B1A056A"/>
    <w:rsid w:val="3B1A1414"/>
    <w:rsid w:val="3B1B6F33"/>
    <w:rsid w:val="3B1E4264"/>
    <w:rsid w:val="3B206340"/>
    <w:rsid w:val="3B214BED"/>
    <w:rsid w:val="3B2649A9"/>
    <w:rsid w:val="3B285F16"/>
    <w:rsid w:val="3B2C2C6A"/>
    <w:rsid w:val="3B2C360C"/>
    <w:rsid w:val="3B2D20FB"/>
    <w:rsid w:val="3B2E37DC"/>
    <w:rsid w:val="3B31684B"/>
    <w:rsid w:val="3B320546"/>
    <w:rsid w:val="3B3403F4"/>
    <w:rsid w:val="3B3457F1"/>
    <w:rsid w:val="3B4039A5"/>
    <w:rsid w:val="3B416972"/>
    <w:rsid w:val="3B445FFC"/>
    <w:rsid w:val="3B45336E"/>
    <w:rsid w:val="3B45381B"/>
    <w:rsid w:val="3B4853FF"/>
    <w:rsid w:val="3B49211D"/>
    <w:rsid w:val="3B4956A1"/>
    <w:rsid w:val="3B4B5C8C"/>
    <w:rsid w:val="3B4C00B4"/>
    <w:rsid w:val="3B4C7428"/>
    <w:rsid w:val="3B4E7F67"/>
    <w:rsid w:val="3B5717C0"/>
    <w:rsid w:val="3B595088"/>
    <w:rsid w:val="3B5B7F24"/>
    <w:rsid w:val="3B5F061B"/>
    <w:rsid w:val="3B5F56FB"/>
    <w:rsid w:val="3B657357"/>
    <w:rsid w:val="3B657509"/>
    <w:rsid w:val="3B685DC9"/>
    <w:rsid w:val="3B6921D6"/>
    <w:rsid w:val="3B695CFB"/>
    <w:rsid w:val="3B6B0DBE"/>
    <w:rsid w:val="3B6D22CC"/>
    <w:rsid w:val="3B6F00DD"/>
    <w:rsid w:val="3B6F3D46"/>
    <w:rsid w:val="3B6F4CB9"/>
    <w:rsid w:val="3B703490"/>
    <w:rsid w:val="3B7142FF"/>
    <w:rsid w:val="3B736625"/>
    <w:rsid w:val="3B766C62"/>
    <w:rsid w:val="3B78182E"/>
    <w:rsid w:val="3B78504F"/>
    <w:rsid w:val="3B7C77F9"/>
    <w:rsid w:val="3B7D229E"/>
    <w:rsid w:val="3B7D5750"/>
    <w:rsid w:val="3B8110E1"/>
    <w:rsid w:val="3B824D8D"/>
    <w:rsid w:val="3B89699C"/>
    <w:rsid w:val="3B8A20D1"/>
    <w:rsid w:val="3B8A4529"/>
    <w:rsid w:val="3B8C1244"/>
    <w:rsid w:val="3B8D0A66"/>
    <w:rsid w:val="3B8E783D"/>
    <w:rsid w:val="3B8F01F7"/>
    <w:rsid w:val="3B8F28CB"/>
    <w:rsid w:val="3B8F3DB6"/>
    <w:rsid w:val="3B912241"/>
    <w:rsid w:val="3B93181D"/>
    <w:rsid w:val="3B934E1B"/>
    <w:rsid w:val="3B945618"/>
    <w:rsid w:val="3B9776E9"/>
    <w:rsid w:val="3B9A542A"/>
    <w:rsid w:val="3B9B2ECA"/>
    <w:rsid w:val="3B9D3E70"/>
    <w:rsid w:val="3B9F07C8"/>
    <w:rsid w:val="3BA04E3D"/>
    <w:rsid w:val="3BA1174A"/>
    <w:rsid w:val="3BA34EDE"/>
    <w:rsid w:val="3BA6284E"/>
    <w:rsid w:val="3BA703D8"/>
    <w:rsid w:val="3BAB6A42"/>
    <w:rsid w:val="3BAB78E7"/>
    <w:rsid w:val="3BAE4041"/>
    <w:rsid w:val="3BAE68F6"/>
    <w:rsid w:val="3BAF582C"/>
    <w:rsid w:val="3BAF599C"/>
    <w:rsid w:val="3BB64BAA"/>
    <w:rsid w:val="3BB702D3"/>
    <w:rsid w:val="3BB91B64"/>
    <w:rsid w:val="3BBA36A5"/>
    <w:rsid w:val="3BBA6606"/>
    <w:rsid w:val="3BBC59C1"/>
    <w:rsid w:val="3BBE2369"/>
    <w:rsid w:val="3BBE24DC"/>
    <w:rsid w:val="3BC31687"/>
    <w:rsid w:val="3BC3558D"/>
    <w:rsid w:val="3BC631D9"/>
    <w:rsid w:val="3BC8682A"/>
    <w:rsid w:val="3BC925E2"/>
    <w:rsid w:val="3BCB6CCF"/>
    <w:rsid w:val="3BCB7FB4"/>
    <w:rsid w:val="3BCD5005"/>
    <w:rsid w:val="3BCF67C4"/>
    <w:rsid w:val="3BD542C9"/>
    <w:rsid w:val="3BD647C7"/>
    <w:rsid w:val="3BD64C44"/>
    <w:rsid w:val="3BD80C2B"/>
    <w:rsid w:val="3BD83B6E"/>
    <w:rsid w:val="3BD87232"/>
    <w:rsid w:val="3BDB5FBB"/>
    <w:rsid w:val="3BDE5EED"/>
    <w:rsid w:val="3BE02D5E"/>
    <w:rsid w:val="3BE045CC"/>
    <w:rsid w:val="3BE11489"/>
    <w:rsid w:val="3BE2153A"/>
    <w:rsid w:val="3BE970DD"/>
    <w:rsid w:val="3BEA156C"/>
    <w:rsid w:val="3BEB19D3"/>
    <w:rsid w:val="3BEF03D1"/>
    <w:rsid w:val="3BF26651"/>
    <w:rsid w:val="3BF34B0B"/>
    <w:rsid w:val="3BF851CC"/>
    <w:rsid w:val="3BFC553D"/>
    <w:rsid w:val="3BFF03C4"/>
    <w:rsid w:val="3BFF5A9A"/>
    <w:rsid w:val="3C0126E8"/>
    <w:rsid w:val="3C012C88"/>
    <w:rsid w:val="3C040C80"/>
    <w:rsid w:val="3C0628FC"/>
    <w:rsid w:val="3C083EAC"/>
    <w:rsid w:val="3C092B68"/>
    <w:rsid w:val="3C09384E"/>
    <w:rsid w:val="3C0A7548"/>
    <w:rsid w:val="3C0F7692"/>
    <w:rsid w:val="3C1340E1"/>
    <w:rsid w:val="3C154DCF"/>
    <w:rsid w:val="3C173F33"/>
    <w:rsid w:val="3C177248"/>
    <w:rsid w:val="3C1871C0"/>
    <w:rsid w:val="3C1A2CF7"/>
    <w:rsid w:val="3C1A4915"/>
    <w:rsid w:val="3C1A63D5"/>
    <w:rsid w:val="3C1B17C5"/>
    <w:rsid w:val="3C1C16A5"/>
    <w:rsid w:val="3C1C3272"/>
    <w:rsid w:val="3C1C675F"/>
    <w:rsid w:val="3C1E5258"/>
    <w:rsid w:val="3C20350D"/>
    <w:rsid w:val="3C206597"/>
    <w:rsid w:val="3C222A45"/>
    <w:rsid w:val="3C244F86"/>
    <w:rsid w:val="3C254470"/>
    <w:rsid w:val="3C2827D4"/>
    <w:rsid w:val="3C30128C"/>
    <w:rsid w:val="3C306887"/>
    <w:rsid w:val="3C340E8D"/>
    <w:rsid w:val="3C34635A"/>
    <w:rsid w:val="3C396450"/>
    <w:rsid w:val="3C397032"/>
    <w:rsid w:val="3C3A2BB2"/>
    <w:rsid w:val="3C3A3B7D"/>
    <w:rsid w:val="3C3F149D"/>
    <w:rsid w:val="3C410674"/>
    <w:rsid w:val="3C414EFA"/>
    <w:rsid w:val="3C450594"/>
    <w:rsid w:val="3C453CAD"/>
    <w:rsid w:val="3C47638C"/>
    <w:rsid w:val="3C477BC9"/>
    <w:rsid w:val="3C49797B"/>
    <w:rsid w:val="3C4A6ABF"/>
    <w:rsid w:val="3C4C6690"/>
    <w:rsid w:val="3C4F7379"/>
    <w:rsid w:val="3C523630"/>
    <w:rsid w:val="3C56248F"/>
    <w:rsid w:val="3C573C2A"/>
    <w:rsid w:val="3C58094F"/>
    <w:rsid w:val="3C58186A"/>
    <w:rsid w:val="3C5B4522"/>
    <w:rsid w:val="3C5C100C"/>
    <w:rsid w:val="3C5D3E88"/>
    <w:rsid w:val="3C601A47"/>
    <w:rsid w:val="3C64463C"/>
    <w:rsid w:val="3C6503FB"/>
    <w:rsid w:val="3C66139E"/>
    <w:rsid w:val="3C67374A"/>
    <w:rsid w:val="3C6C0147"/>
    <w:rsid w:val="3C6D1DB0"/>
    <w:rsid w:val="3C6E64AE"/>
    <w:rsid w:val="3C6F0E38"/>
    <w:rsid w:val="3C7203D9"/>
    <w:rsid w:val="3C7249F7"/>
    <w:rsid w:val="3C774849"/>
    <w:rsid w:val="3C797699"/>
    <w:rsid w:val="3C7977A5"/>
    <w:rsid w:val="3C7E413E"/>
    <w:rsid w:val="3C7E5AAD"/>
    <w:rsid w:val="3C7F7986"/>
    <w:rsid w:val="3C84201B"/>
    <w:rsid w:val="3C846AD0"/>
    <w:rsid w:val="3C860BE4"/>
    <w:rsid w:val="3C863E44"/>
    <w:rsid w:val="3C872275"/>
    <w:rsid w:val="3C887A72"/>
    <w:rsid w:val="3C8A6827"/>
    <w:rsid w:val="3C8A6AFB"/>
    <w:rsid w:val="3C8B20C8"/>
    <w:rsid w:val="3C8C2744"/>
    <w:rsid w:val="3C8F6AAA"/>
    <w:rsid w:val="3C902811"/>
    <w:rsid w:val="3C91128E"/>
    <w:rsid w:val="3C936277"/>
    <w:rsid w:val="3C952BB0"/>
    <w:rsid w:val="3C961BC4"/>
    <w:rsid w:val="3C9C7068"/>
    <w:rsid w:val="3C9E1C46"/>
    <w:rsid w:val="3C9E25F8"/>
    <w:rsid w:val="3CA1258C"/>
    <w:rsid w:val="3CA46CEA"/>
    <w:rsid w:val="3CA664DD"/>
    <w:rsid w:val="3CA67D7E"/>
    <w:rsid w:val="3CB06DAA"/>
    <w:rsid w:val="3CB1056D"/>
    <w:rsid w:val="3CB131CB"/>
    <w:rsid w:val="3CB22848"/>
    <w:rsid w:val="3CB36CB2"/>
    <w:rsid w:val="3CB374E7"/>
    <w:rsid w:val="3CB375D1"/>
    <w:rsid w:val="3CB400CA"/>
    <w:rsid w:val="3CB476FA"/>
    <w:rsid w:val="3CB50EBF"/>
    <w:rsid w:val="3CB75E46"/>
    <w:rsid w:val="3CBC3DEA"/>
    <w:rsid w:val="3CBD26A0"/>
    <w:rsid w:val="3CBE1714"/>
    <w:rsid w:val="3CBF72F7"/>
    <w:rsid w:val="3CC261C3"/>
    <w:rsid w:val="3CC30EB2"/>
    <w:rsid w:val="3CC31E44"/>
    <w:rsid w:val="3CC43F3E"/>
    <w:rsid w:val="3CC85FB3"/>
    <w:rsid w:val="3CCA6137"/>
    <w:rsid w:val="3CCB38E6"/>
    <w:rsid w:val="3CCD7590"/>
    <w:rsid w:val="3CCE62E7"/>
    <w:rsid w:val="3CD247EE"/>
    <w:rsid w:val="3CD32BBE"/>
    <w:rsid w:val="3CD41597"/>
    <w:rsid w:val="3CD56925"/>
    <w:rsid w:val="3CD73624"/>
    <w:rsid w:val="3CD75AA7"/>
    <w:rsid w:val="3CD77EBD"/>
    <w:rsid w:val="3CD9046F"/>
    <w:rsid w:val="3CD95043"/>
    <w:rsid w:val="3CDA65EF"/>
    <w:rsid w:val="3CDD1201"/>
    <w:rsid w:val="3CDD61A5"/>
    <w:rsid w:val="3CDE0E08"/>
    <w:rsid w:val="3CE10D9B"/>
    <w:rsid w:val="3CE20352"/>
    <w:rsid w:val="3CE3175D"/>
    <w:rsid w:val="3CE3191D"/>
    <w:rsid w:val="3CE67D95"/>
    <w:rsid w:val="3CEC472C"/>
    <w:rsid w:val="3CEE05FA"/>
    <w:rsid w:val="3CEF03EC"/>
    <w:rsid w:val="3CF026FA"/>
    <w:rsid w:val="3CF03114"/>
    <w:rsid w:val="3CF0761A"/>
    <w:rsid w:val="3CF1477F"/>
    <w:rsid w:val="3CF33310"/>
    <w:rsid w:val="3CF522D1"/>
    <w:rsid w:val="3CF65243"/>
    <w:rsid w:val="3CF9371D"/>
    <w:rsid w:val="3CFB1754"/>
    <w:rsid w:val="3CFC2169"/>
    <w:rsid w:val="3CFD209C"/>
    <w:rsid w:val="3D091938"/>
    <w:rsid w:val="3D095B2A"/>
    <w:rsid w:val="3D0B0DC6"/>
    <w:rsid w:val="3D0B245F"/>
    <w:rsid w:val="3D0B6C2F"/>
    <w:rsid w:val="3D0D05FD"/>
    <w:rsid w:val="3D0D0785"/>
    <w:rsid w:val="3D0D6695"/>
    <w:rsid w:val="3D0E596E"/>
    <w:rsid w:val="3D0F6357"/>
    <w:rsid w:val="3D121181"/>
    <w:rsid w:val="3D127027"/>
    <w:rsid w:val="3D1634DF"/>
    <w:rsid w:val="3D1732A6"/>
    <w:rsid w:val="3D18043F"/>
    <w:rsid w:val="3D1A1E4D"/>
    <w:rsid w:val="3D1B0DC5"/>
    <w:rsid w:val="3D1E1FAF"/>
    <w:rsid w:val="3D207C37"/>
    <w:rsid w:val="3D21571B"/>
    <w:rsid w:val="3D224BC8"/>
    <w:rsid w:val="3D256F91"/>
    <w:rsid w:val="3D2921EA"/>
    <w:rsid w:val="3D2C71D8"/>
    <w:rsid w:val="3D2D2FA3"/>
    <w:rsid w:val="3D2F41C4"/>
    <w:rsid w:val="3D2F49E4"/>
    <w:rsid w:val="3D2F4AA3"/>
    <w:rsid w:val="3D350862"/>
    <w:rsid w:val="3D3A3C6C"/>
    <w:rsid w:val="3D3A4680"/>
    <w:rsid w:val="3D3A5D22"/>
    <w:rsid w:val="3D3A6222"/>
    <w:rsid w:val="3D3E2CB4"/>
    <w:rsid w:val="3D3F4BBD"/>
    <w:rsid w:val="3D3F7614"/>
    <w:rsid w:val="3D41377A"/>
    <w:rsid w:val="3D4502F9"/>
    <w:rsid w:val="3D49318C"/>
    <w:rsid w:val="3D494903"/>
    <w:rsid w:val="3D4A2877"/>
    <w:rsid w:val="3D4B4A9E"/>
    <w:rsid w:val="3D4B5123"/>
    <w:rsid w:val="3D4F1D8A"/>
    <w:rsid w:val="3D55379D"/>
    <w:rsid w:val="3D566D43"/>
    <w:rsid w:val="3D5825D4"/>
    <w:rsid w:val="3D5A013B"/>
    <w:rsid w:val="3D5B71A3"/>
    <w:rsid w:val="3D5C6C8F"/>
    <w:rsid w:val="3D5F61ED"/>
    <w:rsid w:val="3D5F779F"/>
    <w:rsid w:val="3D616EE3"/>
    <w:rsid w:val="3D635518"/>
    <w:rsid w:val="3D662184"/>
    <w:rsid w:val="3D6B416B"/>
    <w:rsid w:val="3D6D477C"/>
    <w:rsid w:val="3D6E62F7"/>
    <w:rsid w:val="3D716F05"/>
    <w:rsid w:val="3D720CE4"/>
    <w:rsid w:val="3D734ED8"/>
    <w:rsid w:val="3D746983"/>
    <w:rsid w:val="3D766A01"/>
    <w:rsid w:val="3D7A15CB"/>
    <w:rsid w:val="3D7B54B1"/>
    <w:rsid w:val="3D7D47B2"/>
    <w:rsid w:val="3D832629"/>
    <w:rsid w:val="3D8333C3"/>
    <w:rsid w:val="3D862B35"/>
    <w:rsid w:val="3D881FA0"/>
    <w:rsid w:val="3D884D53"/>
    <w:rsid w:val="3D891918"/>
    <w:rsid w:val="3D8946D2"/>
    <w:rsid w:val="3D8B0B5C"/>
    <w:rsid w:val="3D8B5616"/>
    <w:rsid w:val="3D8E0015"/>
    <w:rsid w:val="3D8E3313"/>
    <w:rsid w:val="3D8E4389"/>
    <w:rsid w:val="3D91272F"/>
    <w:rsid w:val="3D926240"/>
    <w:rsid w:val="3D943639"/>
    <w:rsid w:val="3D987B99"/>
    <w:rsid w:val="3D993DB9"/>
    <w:rsid w:val="3D9948F6"/>
    <w:rsid w:val="3D9C0D7E"/>
    <w:rsid w:val="3D9C503B"/>
    <w:rsid w:val="3D9D5680"/>
    <w:rsid w:val="3DA065CA"/>
    <w:rsid w:val="3DA11EBF"/>
    <w:rsid w:val="3DA33860"/>
    <w:rsid w:val="3DA642C3"/>
    <w:rsid w:val="3DA66337"/>
    <w:rsid w:val="3DA709AF"/>
    <w:rsid w:val="3DA71498"/>
    <w:rsid w:val="3DA9064B"/>
    <w:rsid w:val="3DA95331"/>
    <w:rsid w:val="3DA979D7"/>
    <w:rsid w:val="3DAC07F0"/>
    <w:rsid w:val="3DAF4514"/>
    <w:rsid w:val="3DB04716"/>
    <w:rsid w:val="3DB22805"/>
    <w:rsid w:val="3DB22D26"/>
    <w:rsid w:val="3DB5056A"/>
    <w:rsid w:val="3DB52DCC"/>
    <w:rsid w:val="3DB64730"/>
    <w:rsid w:val="3DBB1FB4"/>
    <w:rsid w:val="3DBC1805"/>
    <w:rsid w:val="3DBD101B"/>
    <w:rsid w:val="3DBD7954"/>
    <w:rsid w:val="3DBF4170"/>
    <w:rsid w:val="3DC0067C"/>
    <w:rsid w:val="3DC25A7A"/>
    <w:rsid w:val="3DC610CA"/>
    <w:rsid w:val="3DC740E6"/>
    <w:rsid w:val="3DC7556B"/>
    <w:rsid w:val="3DCB46DE"/>
    <w:rsid w:val="3DCC1CBE"/>
    <w:rsid w:val="3DCE367C"/>
    <w:rsid w:val="3DCF5854"/>
    <w:rsid w:val="3DD328CC"/>
    <w:rsid w:val="3DD34B4F"/>
    <w:rsid w:val="3DD35F84"/>
    <w:rsid w:val="3DD6550E"/>
    <w:rsid w:val="3DD72C1B"/>
    <w:rsid w:val="3DD765FE"/>
    <w:rsid w:val="3DD80221"/>
    <w:rsid w:val="3DD85451"/>
    <w:rsid w:val="3DDE467B"/>
    <w:rsid w:val="3DDF218B"/>
    <w:rsid w:val="3DE12097"/>
    <w:rsid w:val="3DE16750"/>
    <w:rsid w:val="3DE2315B"/>
    <w:rsid w:val="3DE31F43"/>
    <w:rsid w:val="3DE57B38"/>
    <w:rsid w:val="3DE9299E"/>
    <w:rsid w:val="3DEA198B"/>
    <w:rsid w:val="3DEB52E2"/>
    <w:rsid w:val="3DEC75D4"/>
    <w:rsid w:val="3DEE2927"/>
    <w:rsid w:val="3DEF7E08"/>
    <w:rsid w:val="3DF21ECE"/>
    <w:rsid w:val="3DF228D7"/>
    <w:rsid w:val="3DF42553"/>
    <w:rsid w:val="3DF5368A"/>
    <w:rsid w:val="3DF92BDB"/>
    <w:rsid w:val="3DF963CD"/>
    <w:rsid w:val="3DFA6062"/>
    <w:rsid w:val="3DFC2D31"/>
    <w:rsid w:val="3DFF3973"/>
    <w:rsid w:val="3E002229"/>
    <w:rsid w:val="3E02543E"/>
    <w:rsid w:val="3E030F84"/>
    <w:rsid w:val="3E0B1474"/>
    <w:rsid w:val="3E0E2FE0"/>
    <w:rsid w:val="3E0F2C25"/>
    <w:rsid w:val="3E0F45A4"/>
    <w:rsid w:val="3E143DB6"/>
    <w:rsid w:val="3E155E4E"/>
    <w:rsid w:val="3E1821D3"/>
    <w:rsid w:val="3E190BD8"/>
    <w:rsid w:val="3E19561D"/>
    <w:rsid w:val="3E1A4752"/>
    <w:rsid w:val="3E1B54D9"/>
    <w:rsid w:val="3E1C4457"/>
    <w:rsid w:val="3E1D5414"/>
    <w:rsid w:val="3E1F141A"/>
    <w:rsid w:val="3E204489"/>
    <w:rsid w:val="3E204BA6"/>
    <w:rsid w:val="3E22131A"/>
    <w:rsid w:val="3E24046D"/>
    <w:rsid w:val="3E24203F"/>
    <w:rsid w:val="3E26460A"/>
    <w:rsid w:val="3E27080B"/>
    <w:rsid w:val="3E27369B"/>
    <w:rsid w:val="3E287BEF"/>
    <w:rsid w:val="3E2A2D80"/>
    <w:rsid w:val="3E2B178D"/>
    <w:rsid w:val="3E2C75DA"/>
    <w:rsid w:val="3E2D2629"/>
    <w:rsid w:val="3E2F78D8"/>
    <w:rsid w:val="3E3037C9"/>
    <w:rsid w:val="3E313A39"/>
    <w:rsid w:val="3E324D1E"/>
    <w:rsid w:val="3E325661"/>
    <w:rsid w:val="3E3312AB"/>
    <w:rsid w:val="3E3413E6"/>
    <w:rsid w:val="3E346F6B"/>
    <w:rsid w:val="3E373080"/>
    <w:rsid w:val="3E382BE3"/>
    <w:rsid w:val="3E383B06"/>
    <w:rsid w:val="3E392A27"/>
    <w:rsid w:val="3E3A51F4"/>
    <w:rsid w:val="3E3B3DAE"/>
    <w:rsid w:val="3E3D099D"/>
    <w:rsid w:val="3E3D40BB"/>
    <w:rsid w:val="3E3D65D1"/>
    <w:rsid w:val="3E3D7623"/>
    <w:rsid w:val="3E415BB5"/>
    <w:rsid w:val="3E446B98"/>
    <w:rsid w:val="3E466616"/>
    <w:rsid w:val="3E4811A4"/>
    <w:rsid w:val="3E4A1BF3"/>
    <w:rsid w:val="3E4C1C95"/>
    <w:rsid w:val="3E4C566C"/>
    <w:rsid w:val="3E4D24E6"/>
    <w:rsid w:val="3E4E63A1"/>
    <w:rsid w:val="3E502129"/>
    <w:rsid w:val="3E5578DD"/>
    <w:rsid w:val="3E5963F0"/>
    <w:rsid w:val="3E5F10A3"/>
    <w:rsid w:val="3E613456"/>
    <w:rsid w:val="3E627C05"/>
    <w:rsid w:val="3E6742F6"/>
    <w:rsid w:val="3E675D71"/>
    <w:rsid w:val="3E686EBD"/>
    <w:rsid w:val="3E6950F6"/>
    <w:rsid w:val="3E7079B2"/>
    <w:rsid w:val="3E714DA3"/>
    <w:rsid w:val="3E734FA6"/>
    <w:rsid w:val="3E740392"/>
    <w:rsid w:val="3E7A72E1"/>
    <w:rsid w:val="3E7B759A"/>
    <w:rsid w:val="3E7E7DE5"/>
    <w:rsid w:val="3E821806"/>
    <w:rsid w:val="3E82493B"/>
    <w:rsid w:val="3E830147"/>
    <w:rsid w:val="3E830FFB"/>
    <w:rsid w:val="3E885B70"/>
    <w:rsid w:val="3E8A0F29"/>
    <w:rsid w:val="3E8B2A7D"/>
    <w:rsid w:val="3E8F4466"/>
    <w:rsid w:val="3E8F63B4"/>
    <w:rsid w:val="3E9211C0"/>
    <w:rsid w:val="3E927880"/>
    <w:rsid w:val="3E990FAE"/>
    <w:rsid w:val="3E9A044A"/>
    <w:rsid w:val="3E9A6D6A"/>
    <w:rsid w:val="3E9B7FAA"/>
    <w:rsid w:val="3E9D61A5"/>
    <w:rsid w:val="3E9F56B6"/>
    <w:rsid w:val="3EA030D7"/>
    <w:rsid w:val="3EA14A98"/>
    <w:rsid w:val="3EA66477"/>
    <w:rsid w:val="3EA81158"/>
    <w:rsid w:val="3EA85576"/>
    <w:rsid w:val="3EA97133"/>
    <w:rsid w:val="3EAA5599"/>
    <w:rsid w:val="3EAB0119"/>
    <w:rsid w:val="3EAE7AF2"/>
    <w:rsid w:val="3EB179E2"/>
    <w:rsid w:val="3EB25DBF"/>
    <w:rsid w:val="3EB4301A"/>
    <w:rsid w:val="3EB94DF2"/>
    <w:rsid w:val="3EBB2CC3"/>
    <w:rsid w:val="3EBC14C3"/>
    <w:rsid w:val="3EBC6B31"/>
    <w:rsid w:val="3EC134FD"/>
    <w:rsid w:val="3EC1393B"/>
    <w:rsid w:val="3EC21817"/>
    <w:rsid w:val="3EC279AA"/>
    <w:rsid w:val="3EC310D3"/>
    <w:rsid w:val="3EC71BAD"/>
    <w:rsid w:val="3EC96430"/>
    <w:rsid w:val="3ECB2B5B"/>
    <w:rsid w:val="3ECE78C4"/>
    <w:rsid w:val="3ED064FB"/>
    <w:rsid w:val="3ED17B1A"/>
    <w:rsid w:val="3ED17B4C"/>
    <w:rsid w:val="3ED46033"/>
    <w:rsid w:val="3ED512DD"/>
    <w:rsid w:val="3ED5152C"/>
    <w:rsid w:val="3ED83C8D"/>
    <w:rsid w:val="3ED96245"/>
    <w:rsid w:val="3ED97CF9"/>
    <w:rsid w:val="3EDD2431"/>
    <w:rsid w:val="3EE113AE"/>
    <w:rsid w:val="3EE116B3"/>
    <w:rsid w:val="3EE207CD"/>
    <w:rsid w:val="3EE360CA"/>
    <w:rsid w:val="3EE52A49"/>
    <w:rsid w:val="3EE559AE"/>
    <w:rsid w:val="3EE90565"/>
    <w:rsid w:val="3EE90EF8"/>
    <w:rsid w:val="3EE9187B"/>
    <w:rsid w:val="3EED2E3E"/>
    <w:rsid w:val="3EED5ACF"/>
    <w:rsid w:val="3EEE1FF6"/>
    <w:rsid w:val="3EEE69E3"/>
    <w:rsid w:val="3EF254C5"/>
    <w:rsid w:val="3EF303BC"/>
    <w:rsid w:val="3EF45DD1"/>
    <w:rsid w:val="3EF6337F"/>
    <w:rsid w:val="3EF644C7"/>
    <w:rsid w:val="3EF70BB3"/>
    <w:rsid w:val="3EF84B36"/>
    <w:rsid w:val="3EF870E7"/>
    <w:rsid w:val="3EF872E7"/>
    <w:rsid w:val="3EFA40C0"/>
    <w:rsid w:val="3EFC218A"/>
    <w:rsid w:val="3EFE5F22"/>
    <w:rsid w:val="3F0310EA"/>
    <w:rsid w:val="3F0324E4"/>
    <w:rsid w:val="3F05741D"/>
    <w:rsid w:val="3F0A3C29"/>
    <w:rsid w:val="3F0C45E7"/>
    <w:rsid w:val="3F0D496F"/>
    <w:rsid w:val="3F110C38"/>
    <w:rsid w:val="3F1113BD"/>
    <w:rsid w:val="3F115D33"/>
    <w:rsid w:val="3F153CA7"/>
    <w:rsid w:val="3F1B1C75"/>
    <w:rsid w:val="3F1C7737"/>
    <w:rsid w:val="3F1F54C0"/>
    <w:rsid w:val="3F236B9B"/>
    <w:rsid w:val="3F2545E8"/>
    <w:rsid w:val="3F2767C5"/>
    <w:rsid w:val="3F27772F"/>
    <w:rsid w:val="3F282548"/>
    <w:rsid w:val="3F2A48D8"/>
    <w:rsid w:val="3F2A68ED"/>
    <w:rsid w:val="3F2B174F"/>
    <w:rsid w:val="3F2B42E2"/>
    <w:rsid w:val="3F2C1C80"/>
    <w:rsid w:val="3F2D0000"/>
    <w:rsid w:val="3F2E0168"/>
    <w:rsid w:val="3F2F4624"/>
    <w:rsid w:val="3F354FFD"/>
    <w:rsid w:val="3F375D39"/>
    <w:rsid w:val="3F382B7A"/>
    <w:rsid w:val="3F392F83"/>
    <w:rsid w:val="3F3B2054"/>
    <w:rsid w:val="3F3D3EB4"/>
    <w:rsid w:val="3F3E40E1"/>
    <w:rsid w:val="3F3E78C5"/>
    <w:rsid w:val="3F415C0B"/>
    <w:rsid w:val="3F435B0B"/>
    <w:rsid w:val="3F443846"/>
    <w:rsid w:val="3F444920"/>
    <w:rsid w:val="3F47016F"/>
    <w:rsid w:val="3F47571A"/>
    <w:rsid w:val="3F48286B"/>
    <w:rsid w:val="3F494135"/>
    <w:rsid w:val="3F4A35AF"/>
    <w:rsid w:val="3F4B5210"/>
    <w:rsid w:val="3F4C1A5D"/>
    <w:rsid w:val="3F530523"/>
    <w:rsid w:val="3F53296D"/>
    <w:rsid w:val="3F54240E"/>
    <w:rsid w:val="3F576828"/>
    <w:rsid w:val="3F5839EB"/>
    <w:rsid w:val="3F59419D"/>
    <w:rsid w:val="3F596F23"/>
    <w:rsid w:val="3F5C22EF"/>
    <w:rsid w:val="3F5C6731"/>
    <w:rsid w:val="3F626124"/>
    <w:rsid w:val="3F64107B"/>
    <w:rsid w:val="3F650584"/>
    <w:rsid w:val="3F656C87"/>
    <w:rsid w:val="3F670A47"/>
    <w:rsid w:val="3F67197B"/>
    <w:rsid w:val="3F674BAE"/>
    <w:rsid w:val="3F6C7FC4"/>
    <w:rsid w:val="3F6D6068"/>
    <w:rsid w:val="3F6F0226"/>
    <w:rsid w:val="3F6F1A08"/>
    <w:rsid w:val="3F70471A"/>
    <w:rsid w:val="3F71672D"/>
    <w:rsid w:val="3F7230B2"/>
    <w:rsid w:val="3F755458"/>
    <w:rsid w:val="3F787C33"/>
    <w:rsid w:val="3F7C5AC6"/>
    <w:rsid w:val="3F7D2234"/>
    <w:rsid w:val="3F801AB6"/>
    <w:rsid w:val="3F805A17"/>
    <w:rsid w:val="3F862A9B"/>
    <w:rsid w:val="3F8818EF"/>
    <w:rsid w:val="3F883712"/>
    <w:rsid w:val="3F8C02FF"/>
    <w:rsid w:val="3F8E2C47"/>
    <w:rsid w:val="3F8E41DD"/>
    <w:rsid w:val="3F900350"/>
    <w:rsid w:val="3F9460CD"/>
    <w:rsid w:val="3F95046E"/>
    <w:rsid w:val="3F951627"/>
    <w:rsid w:val="3F966B2C"/>
    <w:rsid w:val="3F9A5E7D"/>
    <w:rsid w:val="3F9C175F"/>
    <w:rsid w:val="3F9F6219"/>
    <w:rsid w:val="3FA11BCD"/>
    <w:rsid w:val="3FA32B5F"/>
    <w:rsid w:val="3FA50D30"/>
    <w:rsid w:val="3FA555BA"/>
    <w:rsid w:val="3FA86146"/>
    <w:rsid w:val="3FAA78ED"/>
    <w:rsid w:val="3FAB135E"/>
    <w:rsid w:val="3FB0441D"/>
    <w:rsid w:val="3FB527B3"/>
    <w:rsid w:val="3FB80252"/>
    <w:rsid w:val="3FB87E8C"/>
    <w:rsid w:val="3FBD2393"/>
    <w:rsid w:val="3FC13700"/>
    <w:rsid w:val="3FC5215E"/>
    <w:rsid w:val="3FC54423"/>
    <w:rsid w:val="3FC8622A"/>
    <w:rsid w:val="3FCB5C36"/>
    <w:rsid w:val="3FCB6A74"/>
    <w:rsid w:val="3FCD1D2C"/>
    <w:rsid w:val="3FCE41AD"/>
    <w:rsid w:val="3FD118B3"/>
    <w:rsid w:val="3FD31A1A"/>
    <w:rsid w:val="3FD47A86"/>
    <w:rsid w:val="3FD61969"/>
    <w:rsid w:val="3FD67C84"/>
    <w:rsid w:val="3FD80309"/>
    <w:rsid w:val="3FD83B7D"/>
    <w:rsid w:val="3FDB250A"/>
    <w:rsid w:val="3FDC77D0"/>
    <w:rsid w:val="3FDE289F"/>
    <w:rsid w:val="3FDE5EC3"/>
    <w:rsid w:val="3FE05AE0"/>
    <w:rsid w:val="3FE55BF5"/>
    <w:rsid w:val="3FE7647B"/>
    <w:rsid w:val="3FE91CB1"/>
    <w:rsid w:val="3FE94E63"/>
    <w:rsid w:val="3FEC53A2"/>
    <w:rsid w:val="3FED4DAA"/>
    <w:rsid w:val="3FEF166E"/>
    <w:rsid w:val="3FEF3B39"/>
    <w:rsid w:val="3FEF75C6"/>
    <w:rsid w:val="3FF018B3"/>
    <w:rsid w:val="3FF02C16"/>
    <w:rsid w:val="3FF2374A"/>
    <w:rsid w:val="3FF25F14"/>
    <w:rsid w:val="3FF2646B"/>
    <w:rsid w:val="3FF433D4"/>
    <w:rsid w:val="3FFB57D0"/>
    <w:rsid w:val="3FFC478A"/>
    <w:rsid w:val="3FFC7E57"/>
    <w:rsid w:val="40001059"/>
    <w:rsid w:val="400317D8"/>
    <w:rsid w:val="400377D1"/>
    <w:rsid w:val="40056A19"/>
    <w:rsid w:val="4008062D"/>
    <w:rsid w:val="40090D4A"/>
    <w:rsid w:val="400A3EB4"/>
    <w:rsid w:val="400B4695"/>
    <w:rsid w:val="40103BBE"/>
    <w:rsid w:val="40105697"/>
    <w:rsid w:val="401258AF"/>
    <w:rsid w:val="401649BC"/>
    <w:rsid w:val="401840AE"/>
    <w:rsid w:val="401841E5"/>
    <w:rsid w:val="401A4830"/>
    <w:rsid w:val="401C2F74"/>
    <w:rsid w:val="401F5986"/>
    <w:rsid w:val="401F6010"/>
    <w:rsid w:val="402021D6"/>
    <w:rsid w:val="40215181"/>
    <w:rsid w:val="40230A4F"/>
    <w:rsid w:val="4023154E"/>
    <w:rsid w:val="4026471A"/>
    <w:rsid w:val="40275713"/>
    <w:rsid w:val="402E1879"/>
    <w:rsid w:val="402F00D2"/>
    <w:rsid w:val="402F5526"/>
    <w:rsid w:val="402F5A87"/>
    <w:rsid w:val="403047E2"/>
    <w:rsid w:val="4030654A"/>
    <w:rsid w:val="40314006"/>
    <w:rsid w:val="40314B47"/>
    <w:rsid w:val="40346644"/>
    <w:rsid w:val="4038397B"/>
    <w:rsid w:val="403B73BF"/>
    <w:rsid w:val="403C7510"/>
    <w:rsid w:val="403F78A8"/>
    <w:rsid w:val="40442FDC"/>
    <w:rsid w:val="40443455"/>
    <w:rsid w:val="40453E06"/>
    <w:rsid w:val="404C56CA"/>
    <w:rsid w:val="40562D69"/>
    <w:rsid w:val="40576373"/>
    <w:rsid w:val="405C55A6"/>
    <w:rsid w:val="405E0867"/>
    <w:rsid w:val="405E1CBF"/>
    <w:rsid w:val="405F3678"/>
    <w:rsid w:val="406046A4"/>
    <w:rsid w:val="40612769"/>
    <w:rsid w:val="40624420"/>
    <w:rsid w:val="40647AB4"/>
    <w:rsid w:val="40677D8F"/>
    <w:rsid w:val="406A127F"/>
    <w:rsid w:val="406B3DF9"/>
    <w:rsid w:val="406C2311"/>
    <w:rsid w:val="406D1212"/>
    <w:rsid w:val="406D62A7"/>
    <w:rsid w:val="406D76DD"/>
    <w:rsid w:val="406F322D"/>
    <w:rsid w:val="406F4D1D"/>
    <w:rsid w:val="407105D5"/>
    <w:rsid w:val="40715E7E"/>
    <w:rsid w:val="40740ACE"/>
    <w:rsid w:val="40742F1A"/>
    <w:rsid w:val="407534F3"/>
    <w:rsid w:val="40755505"/>
    <w:rsid w:val="40762CE6"/>
    <w:rsid w:val="40763EBE"/>
    <w:rsid w:val="407835D9"/>
    <w:rsid w:val="407A6EA0"/>
    <w:rsid w:val="407C474F"/>
    <w:rsid w:val="407C69CF"/>
    <w:rsid w:val="407F43D4"/>
    <w:rsid w:val="40820C1E"/>
    <w:rsid w:val="4083438D"/>
    <w:rsid w:val="40870DCE"/>
    <w:rsid w:val="40890C91"/>
    <w:rsid w:val="408A73F3"/>
    <w:rsid w:val="40906067"/>
    <w:rsid w:val="40912AB9"/>
    <w:rsid w:val="409269E2"/>
    <w:rsid w:val="40980A4C"/>
    <w:rsid w:val="409A0FC4"/>
    <w:rsid w:val="409B467F"/>
    <w:rsid w:val="409C70C4"/>
    <w:rsid w:val="409D323C"/>
    <w:rsid w:val="409E12CF"/>
    <w:rsid w:val="409F0D01"/>
    <w:rsid w:val="409F3256"/>
    <w:rsid w:val="409F41E5"/>
    <w:rsid w:val="40A1050F"/>
    <w:rsid w:val="40A32162"/>
    <w:rsid w:val="40A41BB2"/>
    <w:rsid w:val="40A533D0"/>
    <w:rsid w:val="40A5564C"/>
    <w:rsid w:val="40A678C8"/>
    <w:rsid w:val="40A77A76"/>
    <w:rsid w:val="40A8651E"/>
    <w:rsid w:val="40AA3C11"/>
    <w:rsid w:val="40AB5C0B"/>
    <w:rsid w:val="40AB7429"/>
    <w:rsid w:val="40AC4AEC"/>
    <w:rsid w:val="40AD4A56"/>
    <w:rsid w:val="40B17ADF"/>
    <w:rsid w:val="40B260F8"/>
    <w:rsid w:val="40B311A1"/>
    <w:rsid w:val="40B50C1F"/>
    <w:rsid w:val="40B6609D"/>
    <w:rsid w:val="40B73014"/>
    <w:rsid w:val="40B739D2"/>
    <w:rsid w:val="40B86D87"/>
    <w:rsid w:val="40BB2579"/>
    <w:rsid w:val="40BD70A8"/>
    <w:rsid w:val="40BE778D"/>
    <w:rsid w:val="40C014ED"/>
    <w:rsid w:val="40C02E00"/>
    <w:rsid w:val="40C1715D"/>
    <w:rsid w:val="40C45B8F"/>
    <w:rsid w:val="40C53B13"/>
    <w:rsid w:val="40C623A6"/>
    <w:rsid w:val="40C821E9"/>
    <w:rsid w:val="40CD3627"/>
    <w:rsid w:val="40CE0499"/>
    <w:rsid w:val="40D2000B"/>
    <w:rsid w:val="40D5079F"/>
    <w:rsid w:val="40D71521"/>
    <w:rsid w:val="40D86BD6"/>
    <w:rsid w:val="40D8736E"/>
    <w:rsid w:val="40DA75E5"/>
    <w:rsid w:val="40DA798B"/>
    <w:rsid w:val="40DC2388"/>
    <w:rsid w:val="40E07550"/>
    <w:rsid w:val="40E17A3D"/>
    <w:rsid w:val="40E3482C"/>
    <w:rsid w:val="40E4006A"/>
    <w:rsid w:val="40E718AA"/>
    <w:rsid w:val="40E74787"/>
    <w:rsid w:val="40E84067"/>
    <w:rsid w:val="40EA234E"/>
    <w:rsid w:val="40EB003B"/>
    <w:rsid w:val="40ED1F0B"/>
    <w:rsid w:val="40EF3C53"/>
    <w:rsid w:val="40EF5F42"/>
    <w:rsid w:val="40F0799C"/>
    <w:rsid w:val="40F20E65"/>
    <w:rsid w:val="40F21076"/>
    <w:rsid w:val="40F22BD3"/>
    <w:rsid w:val="40F27791"/>
    <w:rsid w:val="40F5130E"/>
    <w:rsid w:val="40F87C02"/>
    <w:rsid w:val="40FA31D5"/>
    <w:rsid w:val="40FA3BD1"/>
    <w:rsid w:val="40FA5FEF"/>
    <w:rsid w:val="40FB3291"/>
    <w:rsid w:val="40FB70C0"/>
    <w:rsid w:val="40FC2C37"/>
    <w:rsid w:val="40FC7652"/>
    <w:rsid w:val="40FD4846"/>
    <w:rsid w:val="40FD4BBC"/>
    <w:rsid w:val="40FF5667"/>
    <w:rsid w:val="41000E55"/>
    <w:rsid w:val="41011275"/>
    <w:rsid w:val="410312E4"/>
    <w:rsid w:val="41034EEB"/>
    <w:rsid w:val="41035BED"/>
    <w:rsid w:val="41087FEB"/>
    <w:rsid w:val="410C7DDB"/>
    <w:rsid w:val="410D49D8"/>
    <w:rsid w:val="41127945"/>
    <w:rsid w:val="411644DC"/>
    <w:rsid w:val="41177A30"/>
    <w:rsid w:val="41177F7D"/>
    <w:rsid w:val="4118387E"/>
    <w:rsid w:val="41193083"/>
    <w:rsid w:val="411B6E55"/>
    <w:rsid w:val="412179AE"/>
    <w:rsid w:val="41220D81"/>
    <w:rsid w:val="412552A3"/>
    <w:rsid w:val="412668F9"/>
    <w:rsid w:val="41274E32"/>
    <w:rsid w:val="4127706B"/>
    <w:rsid w:val="41291A67"/>
    <w:rsid w:val="412E6F2B"/>
    <w:rsid w:val="413055BF"/>
    <w:rsid w:val="41343B7A"/>
    <w:rsid w:val="41344677"/>
    <w:rsid w:val="413936AC"/>
    <w:rsid w:val="413939D1"/>
    <w:rsid w:val="413A26EE"/>
    <w:rsid w:val="413A6F09"/>
    <w:rsid w:val="413D7D60"/>
    <w:rsid w:val="413D7F03"/>
    <w:rsid w:val="413E4915"/>
    <w:rsid w:val="413F7AA1"/>
    <w:rsid w:val="41413DF5"/>
    <w:rsid w:val="414638B4"/>
    <w:rsid w:val="41483027"/>
    <w:rsid w:val="414A4495"/>
    <w:rsid w:val="414E2670"/>
    <w:rsid w:val="41521302"/>
    <w:rsid w:val="4152400E"/>
    <w:rsid w:val="41533027"/>
    <w:rsid w:val="41557F2C"/>
    <w:rsid w:val="415871BD"/>
    <w:rsid w:val="41596E28"/>
    <w:rsid w:val="415B3D16"/>
    <w:rsid w:val="4160574E"/>
    <w:rsid w:val="416078F3"/>
    <w:rsid w:val="41615B33"/>
    <w:rsid w:val="41616532"/>
    <w:rsid w:val="41666FA1"/>
    <w:rsid w:val="41684924"/>
    <w:rsid w:val="4169555B"/>
    <w:rsid w:val="416F3EBB"/>
    <w:rsid w:val="41705DD1"/>
    <w:rsid w:val="4172335A"/>
    <w:rsid w:val="41744066"/>
    <w:rsid w:val="4174734A"/>
    <w:rsid w:val="41747FDA"/>
    <w:rsid w:val="41760193"/>
    <w:rsid w:val="41771460"/>
    <w:rsid w:val="41777E9F"/>
    <w:rsid w:val="417807E7"/>
    <w:rsid w:val="417B799F"/>
    <w:rsid w:val="41806395"/>
    <w:rsid w:val="41837048"/>
    <w:rsid w:val="41840E20"/>
    <w:rsid w:val="41865952"/>
    <w:rsid w:val="4189324B"/>
    <w:rsid w:val="41893950"/>
    <w:rsid w:val="418A65A3"/>
    <w:rsid w:val="418C36CA"/>
    <w:rsid w:val="41920475"/>
    <w:rsid w:val="41920FC5"/>
    <w:rsid w:val="41936900"/>
    <w:rsid w:val="41943C21"/>
    <w:rsid w:val="4197444A"/>
    <w:rsid w:val="41987CCD"/>
    <w:rsid w:val="419A274F"/>
    <w:rsid w:val="419B471A"/>
    <w:rsid w:val="419B6EAD"/>
    <w:rsid w:val="419C353E"/>
    <w:rsid w:val="419C71A4"/>
    <w:rsid w:val="419E2F3E"/>
    <w:rsid w:val="419F5E4F"/>
    <w:rsid w:val="419F6224"/>
    <w:rsid w:val="41A07C95"/>
    <w:rsid w:val="41A370C6"/>
    <w:rsid w:val="41A47E61"/>
    <w:rsid w:val="41A54585"/>
    <w:rsid w:val="41A55BF7"/>
    <w:rsid w:val="41A8564D"/>
    <w:rsid w:val="41A930E6"/>
    <w:rsid w:val="41AD2527"/>
    <w:rsid w:val="41AF1CB3"/>
    <w:rsid w:val="41AF2088"/>
    <w:rsid w:val="41B02BBB"/>
    <w:rsid w:val="41B02D2B"/>
    <w:rsid w:val="41B045AE"/>
    <w:rsid w:val="41B222E0"/>
    <w:rsid w:val="41B617C6"/>
    <w:rsid w:val="41B63103"/>
    <w:rsid w:val="41B84234"/>
    <w:rsid w:val="41B95A7E"/>
    <w:rsid w:val="41BB0823"/>
    <w:rsid w:val="41BB7098"/>
    <w:rsid w:val="41BF4724"/>
    <w:rsid w:val="41C102D0"/>
    <w:rsid w:val="41C508E9"/>
    <w:rsid w:val="41C60BCB"/>
    <w:rsid w:val="41C75843"/>
    <w:rsid w:val="41C96069"/>
    <w:rsid w:val="41C97A45"/>
    <w:rsid w:val="41CA28FC"/>
    <w:rsid w:val="41CA6FD5"/>
    <w:rsid w:val="41CC1DFF"/>
    <w:rsid w:val="41CD4B67"/>
    <w:rsid w:val="41CF312A"/>
    <w:rsid w:val="41D25CEE"/>
    <w:rsid w:val="41D50421"/>
    <w:rsid w:val="41D53C96"/>
    <w:rsid w:val="41D54E2E"/>
    <w:rsid w:val="41D71321"/>
    <w:rsid w:val="41D71DFB"/>
    <w:rsid w:val="41D86803"/>
    <w:rsid w:val="41DC0430"/>
    <w:rsid w:val="41DC2362"/>
    <w:rsid w:val="41DE2008"/>
    <w:rsid w:val="41E027A7"/>
    <w:rsid w:val="41E1267D"/>
    <w:rsid w:val="41E17FB4"/>
    <w:rsid w:val="41E3502C"/>
    <w:rsid w:val="41E416AE"/>
    <w:rsid w:val="41E46005"/>
    <w:rsid w:val="41E50E22"/>
    <w:rsid w:val="41E623F6"/>
    <w:rsid w:val="41E81139"/>
    <w:rsid w:val="41ED5306"/>
    <w:rsid w:val="41EE200C"/>
    <w:rsid w:val="41EF5D74"/>
    <w:rsid w:val="41F23D3D"/>
    <w:rsid w:val="41F3549F"/>
    <w:rsid w:val="41F4624D"/>
    <w:rsid w:val="41F74276"/>
    <w:rsid w:val="41F8300B"/>
    <w:rsid w:val="41FA2D7F"/>
    <w:rsid w:val="41FC6260"/>
    <w:rsid w:val="41FC7A73"/>
    <w:rsid w:val="4201363F"/>
    <w:rsid w:val="420415BA"/>
    <w:rsid w:val="420C4FDA"/>
    <w:rsid w:val="420E02C9"/>
    <w:rsid w:val="420E4C9F"/>
    <w:rsid w:val="42126F15"/>
    <w:rsid w:val="42152319"/>
    <w:rsid w:val="421711CF"/>
    <w:rsid w:val="421768A5"/>
    <w:rsid w:val="42183236"/>
    <w:rsid w:val="42186EF5"/>
    <w:rsid w:val="421907F1"/>
    <w:rsid w:val="42195B66"/>
    <w:rsid w:val="421B7AC0"/>
    <w:rsid w:val="421F0A17"/>
    <w:rsid w:val="42206821"/>
    <w:rsid w:val="42212767"/>
    <w:rsid w:val="42214843"/>
    <w:rsid w:val="422408F3"/>
    <w:rsid w:val="42245972"/>
    <w:rsid w:val="422511D9"/>
    <w:rsid w:val="42261834"/>
    <w:rsid w:val="42291F6B"/>
    <w:rsid w:val="422E3538"/>
    <w:rsid w:val="42314DCD"/>
    <w:rsid w:val="4232212B"/>
    <w:rsid w:val="42323B58"/>
    <w:rsid w:val="42330B8D"/>
    <w:rsid w:val="42333C67"/>
    <w:rsid w:val="42333D81"/>
    <w:rsid w:val="42363FA1"/>
    <w:rsid w:val="4237206E"/>
    <w:rsid w:val="423826EC"/>
    <w:rsid w:val="42390BD0"/>
    <w:rsid w:val="423C6F45"/>
    <w:rsid w:val="4241134C"/>
    <w:rsid w:val="42417B23"/>
    <w:rsid w:val="42442E49"/>
    <w:rsid w:val="42462B6D"/>
    <w:rsid w:val="424714D0"/>
    <w:rsid w:val="42474934"/>
    <w:rsid w:val="42480A60"/>
    <w:rsid w:val="42491E5F"/>
    <w:rsid w:val="424B3DF8"/>
    <w:rsid w:val="424C79A4"/>
    <w:rsid w:val="424F0F5E"/>
    <w:rsid w:val="424F5240"/>
    <w:rsid w:val="424F71D0"/>
    <w:rsid w:val="425466B4"/>
    <w:rsid w:val="42550284"/>
    <w:rsid w:val="42556AC2"/>
    <w:rsid w:val="42564034"/>
    <w:rsid w:val="42564400"/>
    <w:rsid w:val="42572A1D"/>
    <w:rsid w:val="425A3818"/>
    <w:rsid w:val="425F1B7D"/>
    <w:rsid w:val="425F1DE4"/>
    <w:rsid w:val="425F6007"/>
    <w:rsid w:val="42612479"/>
    <w:rsid w:val="4263779C"/>
    <w:rsid w:val="4264045E"/>
    <w:rsid w:val="42672E61"/>
    <w:rsid w:val="426978BC"/>
    <w:rsid w:val="426B5C2B"/>
    <w:rsid w:val="426D403C"/>
    <w:rsid w:val="426F2956"/>
    <w:rsid w:val="42707AB5"/>
    <w:rsid w:val="42711392"/>
    <w:rsid w:val="42713226"/>
    <w:rsid w:val="42714287"/>
    <w:rsid w:val="4271605A"/>
    <w:rsid w:val="42716763"/>
    <w:rsid w:val="4272280E"/>
    <w:rsid w:val="427637E1"/>
    <w:rsid w:val="42765B8C"/>
    <w:rsid w:val="427724CE"/>
    <w:rsid w:val="42795BB4"/>
    <w:rsid w:val="427C5E1C"/>
    <w:rsid w:val="427C7CDC"/>
    <w:rsid w:val="42820441"/>
    <w:rsid w:val="42824CEB"/>
    <w:rsid w:val="428335E9"/>
    <w:rsid w:val="42852E40"/>
    <w:rsid w:val="42897183"/>
    <w:rsid w:val="428A3864"/>
    <w:rsid w:val="428A6697"/>
    <w:rsid w:val="428D0359"/>
    <w:rsid w:val="428E2A40"/>
    <w:rsid w:val="428F4432"/>
    <w:rsid w:val="42901655"/>
    <w:rsid w:val="4291118D"/>
    <w:rsid w:val="429275D8"/>
    <w:rsid w:val="42947E56"/>
    <w:rsid w:val="429628EC"/>
    <w:rsid w:val="42965F5E"/>
    <w:rsid w:val="4297063C"/>
    <w:rsid w:val="429B71DB"/>
    <w:rsid w:val="429C7E37"/>
    <w:rsid w:val="429D06F0"/>
    <w:rsid w:val="429D60A3"/>
    <w:rsid w:val="429F6411"/>
    <w:rsid w:val="42A26C7B"/>
    <w:rsid w:val="42A35F7E"/>
    <w:rsid w:val="42A40DAD"/>
    <w:rsid w:val="42A570C4"/>
    <w:rsid w:val="42A715E4"/>
    <w:rsid w:val="42A870B9"/>
    <w:rsid w:val="42AB2F53"/>
    <w:rsid w:val="42AB3C79"/>
    <w:rsid w:val="42AC4E38"/>
    <w:rsid w:val="42AD7354"/>
    <w:rsid w:val="42B0200F"/>
    <w:rsid w:val="42B14DD2"/>
    <w:rsid w:val="42B343AD"/>
    <w:rsid w:val="42B407FC"/>
    <w:rsid w:val="42B47C07"/>
    <w:rsid w:val="42B55964"/>
    <w:rsid w:val="42B756EE"/>
    <w:rsid w:val="42B76F9D"/>
    <w:rsid w:val="42B81865"/>
    <w:rsid w:val="42BA05F0"/>
    <w:rsid w:val="42BA2D76"/>
    <w:rsid w:val="42BA68E7"/>
    <w:rsid w:val="42BC3DF8"/>
    <w:rsid w:val="42BC5211"/>
    <w:rsid w:val="42BE0E23"/>
    <w:rsid w:val="42BF2005"/>
    <w:rsid w:val="42C33FF5"/>
    <w:rsid w:val="42C46DF7"/>
    <w:rsid w:val="42C72316"/>
    <w:rsid w:val="42C95F74"/>
    <w:rsid w:val="42CC0B0C"/>
    <w:rsid w:val="42CD5413"/>
    <w:rsid w:val="42D21B94"/>
    <w:rsid w:val="42D44917"/>
    <w:rsid w:val="42D47AFE"/>
    <w:rsid w:val="42D8417B"/>
    <w:rsid w:val="42D90A13"/>
    <w:rsid w:val="42DB5483"/>
    <w:rsid w:val="42DC48F2"/>
    <w:rsid w:val="42DD3F92"/>
    <w:rsid w:val="42E01D10"/>
    <w:rsid w:val="42E33B00"/>
    <w:rsid w:val="42E36F78"/>
    <w:rsid w:val="42E55F87"/>
    <w:rsid w:val="42E6418E"/>
    <w:rsid w:val="42E67BE4"/>
    <w:rsid w:val="42EB7281"/>
    <w:rsid w:val="42ED1148"/>
    <w:rsid w:val="42F135B6"/>
    <w:rsid w:val="42F450D3"/>
    <w:rsid w:val="42F51F49"/>
    <w:rsid w:val="42FA3A77"/>
    <w:rsid w:val="42FF57D2"/>
    <w:rsid w:val="430456D2"/>
    <w:rsid w:val="43090FFA"/>
    <w:rsid w:val="430A63E9"/>
    <w:rsid w:val="430F13C2"/>
    <w:rsid w:val="430F176B"/>
    <w:rsid w:val="431037B2"/>
    <w:rsid w:val="431221DF"/>
    <w:rsid w:val="43132330"/>
    <w:rsid w:val="43143301"/>
    <w:rsid w:val="431542B8"/>
    <w:rsid w:val="43166415"/>
    <w:rsid w:val="431763F4"/>
    <w:rsid w:val="431B25DA"/>
    <w:rsid w:val="431C13FF"/>
    <w:rsid w:val="431E2179"/>
    <w:rsid w:val="431E5EB2"/>
    <w:rsid w:val="43210EF8"/>
    <w:rsid w:val="43233BF3"/>
    <w:rsid w:val="43237AE1"/>
    <w:rsid w:val="432745DA"/>
    <w:rsid w:val="432A7FBA"/>
    <w:rsid w:val="432B0698"/>
    <w:rsid w:val="432D4B9C"/>
    <w:rsid w:val="4332325B"/>
    <w:rsid w:val="4332653D"/>
    <w:rsid w:val="43331605"/>
    <w:rsid w:val="43337FAA"/>
    <w:rsid w:val="4334204B"/>
    <w:rsid w:val="43345A31"/>
    <w:rsid w:val="43347C4E"/>
    <w:rsid w:val="43356C87"/>
    <w:rsid w:val="43361D0B"/>
    <w:rsid w:val="433A3528"/>
    <w:rsid w:val="433A76D1"/>
    <w:rsid w:val="433D50A0"/>
    <w:rsid w:val="433D5614"/>
    <w:rsid w:val="433F4D89"/>
    <w:rsid w:val="434120E0"/>
    <w:rsid w:val="43423937"/>
    <w:rsid w:val="43450E50"/>
    <w:rsid w:val="4346769C"/>
    <w:rsid w:val="43487225"/>
    <w:rsid w:val="4348727A"/>
    <w:rsid w:val="434930AE"/>
    <w:rsid w:val="434953CB"/>
    <w:rsid w:val="434B5ED0"/>
    <w:rsid w:val="434C0011"/>
    <w:rsid w:val="434C68FD"/>
    <w:rsid w:val="434D09F7"/>
    <w:rsid w:val="434F0BCF"/>
    <w:rsid w:val="4350104D"/>
    <w:rsid w:val="435052E0"/>
    <w:rsid w:val="435233E4"/>
    <w:rsid w:val="43534E5E"/>
    <w:rsid w:val="43542E4D"/>
    <w:rsid w:val="43553849"/>
    <w:rsid w:val="43557ADD"/>
    <w:rsid w:val="435F037C"/>
    <w:rsid w:val="435F22A6"/>
    <w:rsid w:val="43622A7D"/>
    <w:rsid w:val="43625F44"/>
    <w:rsid w:val="4362732A"/>
    <w:rsid w:val="43630DAB"/>
    <w:rsid w:val="43640742"/>
    <w:rsid w:val="43665686"/>
    <w:rsid w:val="436731C5"/>
    <w:rsid w:val="43694311"/>
    <w:rsid w:val="436A3B2D"/>
    <w:rsid w:val="43745C21"/>
    <w:rsid w:val="43767AB9"/>
    <w:rsid w:val="437A10BE"/>
    <w:rsid w:val="437A2976"/>
    <w:rsid w:val="437A475E"/>
    <w:rsid w:val="437B5180"/>
    <w:rsid w:val="437C43C4"/>
    <w:rsid w:val="437E5F84"/>
    <w:rsid w:val="438249C9"/>
    <w:rsid w:val="43833DB8"/>
    <w:rsid w:val="43862DD6"/>
    <w:rsid w:val="43870430"/>
    <w:rsid w:val="438C337A"/>
    <w:rsid w:val="438E31A1"/>
    <w:rsid w:val="438F453D"/>
    <w:rsid w:val="43901F3B"/>
    <w:rsid w:val="43936B97"/>
    <w:rsid w:val="439A09F0"/>
    <w:rsid w:val="439B7280"/>
    <w:rsid w:val="439E334A"/>
    <w:rsid w:val="43A06D87"/>
    <w:rsid w:val="43A512EA"/>
    <w:rsid w:val="43AC1300"/>
    <w:rsid w:val="43AC3476"/>
    <w:rsid w:val="43AD01F7"/>
    <w:rsid w:val="43B238A7"/>
    <w:rsid w:val="43B30604"/>
    <w:rsid w:val="43B33F97"/>
    <w:rsid w:val="43B77546"/>
    <w:rsid w:val="43B840D5"/>
    <w:rsid w:val="43B915D1"/>
    <w:rsid w:val="43BA768B"/>
    <w:rsid w:val="43BD5CC6"/>
    <w:rsid w:val="43BE42F6"/>
    <w:rsid w:val="43BE6906"/>
    <w:rsid w:val="43BF6BD9"/>
    <w:rsid w:val="43C405C7"/>
    <w:rsid w:val="43C4288C"/>
    <w:rsid w:val="43C460CC"/>
    <w:rsid w:val="43CF6F42"/>
    <w:rsid w:val="43D010F9"/>
    <w:rsid w:val="43D20175"/>
    <w:rsid w:val="43D56986"/>
    <w:rsid w:val="43D66614"/>
    <w:rsid w:val="43D8053F"/>
    <w:rsid w:val="43D87366"/>
    <w:rsid w:val="43DC4963"/>
    <w:rsid w:val="43E34554"/>
    <w:rsid w:val="43E64CE1"/>
    <w:rsid w:val="43EB130C"/>
    <w:rsid w:val="43EE7064"/>
    <w:rsid w:val="43EF1020"/>
    <w:rsid w:val="43EF4A03"/>
    <w:rsid w:val="43F25830"/>
    <w:rsid w:val="43F30BBE"/>
    <w:rsid w:val="43F37469"/>
    <w:rsid w:val="43F67E84"/>
    <w:rsid w:val="43FA1383"/>
    <w:rsid w:val="43FB239A"/>
    <w:rsid w:val="43FC4C2A"/>
    <w:rsid w:val="4400104C"/>
    <w:rsid w:val="44004EFA"/>
    <w:rsid w:val="440300AE"/>
    <w:rsid w:val="4405439E"/>
    <w:rsid w:val="44071622"/>
    <w:rsid w:val="440D76C0"/>
    <w:rsid w:val="440E7D04"/>
    <w:rsid w:val="440F7132"/>
    <w:rsid w:val="44106387"/>
    <w:rsid w:val="44116FDE"/>
    <w:rsid w:val="44133993"/>
    <w:rsid w:val="4416593D"/>
    <w:rsid w:val="441671C9"/>
    <w:rsid w:val="44195457"/>
    <w:rsid w:val="441A6769"/>
    <w:rsid w:val="441C007B"/>
    <w:rsid w:val="441C71F3"/>
    <w:rsid w:val="441D70C7"/>
    <w:rsid w:val="441F388E"/>
    <w:rsid w:val="44215A99"/>
    <w:rsid w:val="44216003"/>
    <w:rsid w:val="44225366"/>
    <w:rsid w:val="44225406"/>
    <w:rsid w:val="44236AA8"/>
    <w:rsid w:val="44273C5B"/>
    <w:rsid w:val="442F58FD"/>
    <w:rsid w:val="443027F6"/>
    <w:rsid w:val="4430553E"/>
    <w:rsid w:val="44322106"/>
    <w:rsid w:val="44353D17"/>
    <w:rsid w:val="44354A29"/>
    <w:rsid w:val="443C28BE"/>
    <w:rsid w:val="443F12CA"/>
    <w:rsid w:val="443F13BE"/>
    <w:rsid w:val="443F3807"/>
    <w:rsid w:val="44434E7E"/>
    <w:rsid w:val="44452B11"/>
    <w:rsid w:val="444578C8"/>
    <w:rsid w:val="44465CFA"/>
    <w:rsid w:val="44477868"/>
    <w:rsid w:val="44483A38"/>
    <w:rsid w:val="4448479E"/>
    <w:rsid w:val="444913F2"/>
    <w:rsid w:val="444A56BB"/>
    <w:rsid w:val="444F37C6"/>
    <w:rsid w:val="44513B11"/>
    <w:rsid w:val="44530B7B"/>
    <w:rsid w:val="44545357"/>
    <w:rsid w:val="44557C2A"/>
    <w:rsid w:val="44591663"/>
    <w:rsid w:val="445A2F71"/>
    <w:rsid w:val="445C3168"/>
    <w:rsid w:val="445D2D5D"/>
    <w:rsid w:val="44604440"/>
    <w:rsid w:val="44616D27"/>
    <w:rsid w:val="4461721D"/>
    <w:rsid w:val="44666B71"/>
    <w:rsid w:val="4467481C"/>
    <w:rsid w:val="446774D1"/>
    <w:rsid w:val="44681A9D"/>
    <w:rsid w:val="44685581"/>
    <w:rsid w:val="446C5B28"/>
    <w:rsid w:val="4470069D"/>
    <w:rsid w:val="44715080"/>
    <w:rsid w:val="44751835"/>
    <w:rsid w:val="44765ACD"/>
    <w:rsid w:val="44783B5D"/>
    <w:rsid w:val="44787752"/>
    <w:rsid w:val="447E3F64"/>
    <w:rsid w:val="44847F85"/>
    <w:rsid w:val="44866064"/>
    <w:rsid w:val="44870F92"/>
    <w:rsid w:val="44872DBB"/>
    <w:rsid w:val="44893D9F"/>
    <w:rsid w:val="448A76E9"/>
    <w:rsid w:val="448D1382"/>
    <w:rsid w:val="448F1ED5"/>
    <w:rsid w:val="44906373"/>
    <w:rsid w:val="44907BB3"/>
    <w:rsid w:val="44911407"/>
    <w:rsid w:val="4491593A"/>
    <w:rsid w:val="44935D9B"/>
    <w:rsid w:val="4497392B"/>
    <w:rsid w:val="44995BD1"/>
    <w:rsid w:val="449B293E"/>
    <w:rsid w:val="449C57E4"/>
    <w:rsid w:val="449D70A4"/>
    <w:rsid w:val="449F7364"/>
    <w:rsid w:val="44A12B88"/>
    <w:rsid w:val="44A408D1"/>
    <w:rsid w:val="44A46685"/>
    <w:rsid w:val="44A71E77"/>
    <w:rsid w:val="44AA0055"/>
    <w:rsid w:val="44AA7CEA"/>
    <w:rsid w:val="44AC07A8"/>
    <w:rsid w:val="44AD2431"/>
    <w:rsid w:val="44AE1670"/>
    <w:rsid w:val="44B05DED"/>
    <w:rsid w:val="44B22D48"/>
    <w:rsid w:val="44B312AA"/>
    <w:rsid w:val="44B43750"/>
    <w:rsid w:val="44B5025F"/>
    <w:rsid w:val="44B57735"/>
    <w:rsid w:val="44B650F7"/>
    <w:rsid w:val="44BA4C94"/>
    <w:rsid w:val="44BB47C3"/>
    <w:rsid w:val="44BC530D"/>
    <w:rsid w:val="44BE0423"/>
    <w:rsid w:val="44BE3524"/>
    <w:rsid w:val="44BE541D"/>
    <w:rsid w:val="44BF01AD"/>
    <w:rsid w:val="44BF2719"/>
    <w:rsid w:val="44BF72DA"/>
    <w:rsid w:val="44C00865"/>
    <w:rsid w:val="44C5656C"/>
    <w:rsid w:val="44C64E6D"/>
    <w:rsid w:val="44C7107A"/>
    <w:rsid w:val="44C80322"/>
    <w:rsid w:val="44C814EF"/>
    <w:rsid w:val="44CB29C7"/>
    <w:rsid w:val="44CC255E"/>
    <w:rsid w:val="44CE1DCD"/>
    <w:rsid w:val="44D2112A"/>
    <w:rsid w:val="44D3209B"/>
    <w:rsid w:val="44D519C6"/>
    <w:rsid w:val="44D53E4B"/>
    <w:rsid w:val="44D72422"/>
    <w:rsid w:val="44D90430"/>
    <w:rsid w:val="44DA184C"/>
    <w:rsid w:val="44DD02B9"/>
    <w:rsid w:val="44DE720B"/>
    <w:rsid w:val="44DF722A"/>
    <w:rsid w:val="44E12FD5"/>
    <w:rsid w:val="44E13769"/>
    <w:rsid w:val="44E23DC9"/>
    <w:rsid w:val="44E42E11"/>
    <w:rsid w:val="44E50DC6"/>
    <w:rsid w:val="44E72171"/>
    <w:rsid w:val="44E93AC9"/>
    <w:rsid w:val="44E97DB0"/>
    <w:rsid w:val="44EA144A"/>
    <w:rsid w:val="44ED0BFF"/>
    <w:rsid w:val="44F10FE3"/>
    <w:rsid w:val="44F2588F"/>
    <w:rsid w:val="44F301A1"/>
    <w:rsid w:val="44F34CD4"/>
    <w:rsid w:val="44F51E44"/>
    <w:rsid w:val="44F947CC"/>
    <w:rsid w:val="44F956EA"/>
    <w:rsid w:val="44FB3F39"/>
    <w:rsid w:val="4503094F"/>
    <w:rsid w:val="45036138"/>
    <w:rsid w:val="45041429"/>
    <w:rsid w:val="45057BA8"/>
    <w:rsid w:val="45070B95"/>
    <w:rsid w:val="450961DD"/>
    <w:rsid w:val="450D19B2"/>
    <w:rsid w:val="450E1443"/>
    <w:rsid w:val="450E5B10"/>
    <w:rsid w:val="450F6361"/>
    <w:rsid w:val="45105B74"/>
    <w:rsid w:val="451278A2"/>
    <w:rsid w:val="45133901"/>
    <w:rsid w:val="45146FD1"/>
    <w:rsid w:val="45157B9C"/>
    <w:rsid w:val="45160075"/>
    <w:rsid w:val="451628F2"/>
    <w:rsid w:val="451650D3"/>
    <w:rsid w:val="45165C3D"/>
    <w:rsid w:val="4519500C"/>
    <w:rsid w:val="45197384"/>
    <w:rsid w:val="451A0BEC"/>
    <w:rsid w:val="451A32D5"/>
    <w:rsid w:val="451E4F6E"/>
    <w:rsid w:val="45203756"/>
    <w:rsid w:val="45246AC6"/>
    <w:rsid w:val="45262283"/>
    <w:rsid w:val="4527635F"/>
    <w:rsid w:val="4528458B"/>
    <w:rsid w:val="452B1C8D"/>
    <w:rsid w:val="452D0813"/>
    <w:rsid w:val="452E71A6"/>
    <w:rsid w:val="452F1DB0"/>
    <w:rsid w:val="453115EF"/>
    <w:rsid w:val="45326684"/>
    <w:rsid w:val="453324A4"/>
    <w:rsid w:val="453554C0"/>
    <w:rsid w:val="45375286"/>
    <w:rsid w:val="453C1623"/>
    <w:rsid w:val="453D1AD7"/>
    <w:rsid w:val="453E24DD"/>
    <w:rsid w:val="453E403A"/>
    <w:rsid w:val="453F0EFD"/>
    <w:rsid w:val="453F710F"/>
    <w:rsid w:val="45481CC5"/>
    <w:rsid w:val="45493B0D"/>
    <w:rsid w:val="454D130F"/>
    <w:rsid w:val="454D1A31"/>
    <w:rsid w:val="45507F3F"/>
    <w:rsid w:val="455620BA"/>
    <w:rsid w:val="45566382"/>
    <w:rsid w:val="45570078"/>
    <w:rsid w:val="45590E15"/>
    <w:rsid w:val="455A0AF9"/>
    <w:rsid w:val="455A5AE7"/>
    <w:rsid w:val="456140A0"/>
    <w:rsid w:val="4561626C"/>
    <w:rsid w:val="456406D2"/>
    <w:rsid w:val="45657716"/>
    <w:rsid w:val="45657AF0"/>
    <w:rsid w:val="456628BA"/>
    <w:rsid w:val="456A4B2C"/>
    <w:rsid w:val="456A71F0"/>
    <w:rsid w:val="456C246B"/>
    <w:rsid w:val="456F40D3"/>
    <w:rsid w:val="456F535C"/>
    <w:rsid w:val="457222E2"/>
    <w:rsid w:val="45726D33"/>
    <w:rsid w:val="45731CBE"/>
    <w:rsid w:val="45754CAC"/>
    <w:rsid w:val="45787451"/>
    <w:rsid w:val="45796DE5"/>
    <w:rsid w:val="457A475C"/>
    <w:rsid w:val="457C198E"/>
    <w:rsid w:val="457C554F"/>
    <w:rsid w:val="458040B1"/>
    <w:rsid w:val="4581463E"/>
    <w:rsid w:val="458509BC"/>
    <w:rsid w:val="45856AE8"/>
    <w:rsid w:val="45887535"/>
    <w:rsid w:val="45892A35"/>
    <w:rsid w:val="458C3343"/>
    <w:rsid w:val="458C6CF3"/>
    <w:rsid w:val="458E2DEA"/>
    <w:rsid w:val="45913E8C"/>
    <w:rsid w:val="45933484"/>
    <w:rsid w:val="45952841"/>
    <w:rsid w:val="4595612D"/>
    <w:rsid w:val="45976C3D"/>
    <w:rsid w:val="45993408"/>
    <w:rsid w:val="45994620"/>
    <w:rsid w:val="459C43F3"/>
    <w:rsid w:val="45A07EE1"/>
    <w:rsid w:val="45A12CAA"/>
    <w:rsid w:val="45A13CAF"/>
    <w:rsid w:val="45A21933"/>
    <w:rsid w:val="45A309CD"/>
    <w:rsid w:val="45A576E0"/>
    <w:rsid w:val="45A618A7"/>
    <w:rsid w:val="45A63B61"/>
    <w:rsid w:val="45A96546"/>
    <w:rsid w:val="45AC0E75"/>
    <w:rsid w:val="45AC26A6"/>
    <w:rsid w:val="45AC2766"/>
    <w:rsid w:val="45AF7C35"/>
    <w:rsid w:val="45B000FA"/>
    <w:rsid w:val="45B2626C"/>
    <w:rsid w:val="45B36994"/>
    <w:rsid w:val="45B55257"/>
    <w:rsid w:val="45B86B9E"/>
    <w:rsid w:val="45BB04B3"/>
    <w:rsid w:val="45BB2405"/>
    <w:rsid w:val="45BB7653"/>
    <w:rsid w:val="45BC0883"/>
    <w:rsid w:val="45BC623A"/>
    <w:rsid w:val="45BF462B"/>
    <w:rsid w:val="45C07D2C"/>
    <w:rsid w:val="45C21BB0"/>
    <w:rsid w:val="45C370EF"/>
    <w:rsid w:val="45C45D70"/>
    <w:rsid w:val="45C47080"/>
    <w:rsid w:val="45C520FA"/>
    <w:rsid w:val="45CC747B"/>
    <w:rsid w:val="45CD2AED"/>
    <w:rsid w:val="45CE5161"/>
    <w:rsid w:val="45D03F27"/>
    <w:rsid w:val="45D07DEC"/>
    <w:rsid w:val="45D11A83"/>
    <w:rsid w:val="45D4186C"/>
    <w:rsid w:val="45D452F3"/>
    <w:rsid w:val="45D54EE2"/>
    <w:rsid w:val="45D67D84"/>
    <w:rsid w:val="45D776CB"/>
    <w:rsid w:val="45D80249"/>
    <w:rsid w:val="45DA5A92"/>
    <w:rsid w:val="45DB24B1"/>
    <w:rsid w:val="45DE2F89"/>
    <w:rsid w:val="45E11F15"/>
    <w:rsid w:val="45E16176"/>
    <w:rsid w:val="45E2273B"/>
    <w:rsid w:val="45E33740"/>
    <w:rsid w:val="45E5493D"/>
    <w:rsid w:val="45E66131"/>
    <w:rsid w:val="45E6633A"/>
    <w:rsid w:val="45E9039A"/>
    <w:rsid w:val="45EF65B4"/>
    <w:rsid w:val="45EF6E45"/>
    <w:rsid w:val="45F31C22"/>
    <w:rsid w:val="45F35846"/>
    <w:rsid w:val="45F96326"/>
    <w:rsid w:val="45FC0625"/>
    <w:rsid w:val="46002CCC"/>
    <w:rsid w:val="46006031"/>
    <w:rsid w:val="46011E33"/>
    <w:rsid w:val="46045C49"/>
    <w:rsid w:val="46052DD5"/>
    <w:rsid w:val="460618C3"/>
    <w:rsid w:val="46090166"/>
    <w:rsid w:val="460A44EA"/>
    <w:rsid w:val="460C316C"/>
    <w:rsid w:val="460C3348"/>
    <w:rsid w:val="460D4F49"/>
    <w:rsid w:val="460D5E74"/>
    <w:rsid w:val="4610230A"/>
    <w:rsid w:val="461051DB"/>
    <w:rsid w:val="461142C3"/>
    <w:rsid w:val="461243ED"/>
    <w:rsid w:val="46125647"/>
    <w:rsid w:val="461372F6"/>
    <w:rsid w:val="461737BB"/>
    <w:rsid w:val="46185AAF"/>
    <w:rsid w:val="461947ED"/>
    <w:rsid w:val="461B18EE"/>
    <w:rsid w:val="461D7395"/>
    <w:rsid w:val="46226AEB"/>
    <w:rsid w:val="46244C54"/>
    <w:rsid w:val="4628033D"/>
    <w:rsid w:val="462A7070"/>
    <w:rsid w:val="462A7A81"/>
    <w:rsid w:val="462B1B1F"/>
    <w:rsid w:val="4632289D"/>
    <w:rsid w:val="46323E48"/>
    <w:rsid w:val="46326FC1"/>
    <w:rsid w:val="463305E6"/>
    <w:rsid w:val="463329DD"/>
    <w:rsid w:val="46352871"/>
    <w:rsid w:val="4637258F"/>
    <w:rsid w:val="463A52DC"/>
    <w:rsid w:val="463A6817"/>
    <w:rsid w:val="463A7490"/>
    <w:rsid w:val="463B1E84"/>
    <w:rsid w:val="463D1B8B"/>
    <w:rsid w:val="463D67D4"/>
    <w:rsid w:val="463E3058"/>
    <w:rsid w:val="463F281E"/>
    <w:rsid w:val="46406957"/>
    <w:rsid w:val="46436BC5"/>
    <w:rsid w:val="4644666D"/>
    <w:rsid w:val="4648333E"/>
    <w:rsid w:val="46486FE2"/>
    <w:rsid w:val="464B1024"/>
    <w:rsid w:val="464E461C"/>
    <w:rsid w:val="464F28FA"/>
    <w:rsid w:val="465209B2"/>
    <w:rsid w:val="4653066B"/>
    <w:rsid w:val="465355B8"/>
    <w:rsid w:val="4656575F"/>
    <w:rsid w:val="465701DD"/>
    <w:rsid w:val="465A7358"/>
    <w:rsid w:val="465B7764"/>
    <w:rsid w:val="465B7E62"/>
    <w:rsid w:val="465C0493"/>
    <w:rsid w:val="465C77A7"/>
    <w:rsid w:val="466132EE"/>
    <w:rsid w:val="4661541F"/>
    <w:rsid w:val="466201EA"/>
    <w:rsid w:val="4663586C"/>
    <w:rsid w:val="4668609A"/>
    <w:rsid w:val="466C024E"/>
    <w:rsid w:val="466C1AF7"/>
    <w:rsid w:val="466C35CC"/>
    <w:rsid w:val="466D0F4C"/>
    <w:rsid w:val="466D687B"/>
    <w:rsid w:val="466D7B38"/>
    <w:rsid w:val="46705539"/>
    <w:rsid w:val="46711E0D"/>
    <w:rsid w:val="467479E4"/>
    <w:rsid w:val="46761652"/>
    <w:rsid w:val="46762DF4"/>
    <w:rsid w:val="46771C6C"/>
    <w:rsid w:val="46774642"/>
    <w:rsid w:val="467C33AA"/>
    <w:rsid w:val="467C34C0"/>
    <w:rsid w:val="467D1162"/>
    <w:rsid w:val="467D2D43"/>
    <w:rsid w:val="467D3CA8"/>
    <w:rsid w:val="467F23DD"/>
    <w:rsid w:val="467F7038"/>
    <w:rsid w:val="46806F47"/>
    <w:rsid w:val="46817FD3"/>
    <w:rsid w:val="4682499A"/>
    <w:rsid w:val="468254C3"/>
    <w:rsid w:val="46840351"/>
    <w:rsid w:val="4684151D"/>
    <w:rsid w:val="46873B09"/>
    <w:rsid w:val="46881A6C"/>
    <w:rsid w:val="46884233"/>
    <w:rsid w:val="46895848"/>
    <w:rsid w:val="468D06BF"/>
    <w:rsid w:val="468F0662"/>
    <w:rsid w:val="46931D0B"/>
    <w:rsid w:val="46936B22"/>
    <w:rsid w:val="469823BF"/>
    <w:rsid w:val="46985BA2"/>
    <w:rsid w:val="469A520C"/>
    <w:rsid w:val="469A5DAE"/>
    <w:rsid w:val="469B0849"/>
    <w:rsid w:val="469C079B"/>
    <w:rsid w:val="469C4BBD"/>
    <w:rsid w:val="469D0E22"/>
    <w:rsid w:val="469D6053"/>
    <w:rsid w:val="469D747E"/>
    <w:rsid w:val="46A25A22"/>
    <w:rsid w:val="46A271F5"/>
    <w:rsid w:val="46A57EC7"/>
    <w:rsid w:val="46A73D5A"/>
    <w:rsid w:val="46A74169"/>
    <w:rsid w:val="46A94B37"/>
    <w:rsid w:val="46AC1DC7"/>
    <w:rsid w:val="46AE3D49"/>
    <w:rsid w:val="46B04941"/>
    <w:rsid w:val="46B4674C"/>
    <w:rsid w:val="46BA1F9A"/>
    <w:rsid w:val="46BB47F8"/>
    <w:rsid w:val="46BD3433"/>
    <w:rsid w:val="46BF308E"/>
    <w:rsid w:val="46C17F45"/>
    <w:rsid w:val="46C26837"/>
    <w:rsid w:val="46C37AEB"/>
    <w:rsid w:val="46C51888"/>
    <w:rsid w:val="46C6044E"/>
    <w:rsid w:val="46C832DA"/>
    <w:rsid w:val="46C8506E"/>
    <w:rsid w:val="46CC0208"/>
    <w:rsid w:val="46D55D3E"/>
    <w:rsid w:val="46D81E39"/>
    <w:rsid w:val="46D9256F"/>
    <w:rsid w:val="46D94BD9"/>
    <w:rsid w:val="46DC6724"/>
    <w:rsid w:val="46E22A41"/>
    <w:rsid w:val="46E27FE6"/>
    <w:rsid w:val="46E43C57"/>
    <w:rsid w:val="46E458EA"/>
    <w:rsid w:val="46E80BE4"/>
    <w:rsid w:val="46E80F97"/>
    <w:rsid w:val="46EA6A1D"/>
    <w:rsid w:val="46ED1825"/>
    <w:rsid w:val="46ED7C0F"/>
    <w:rsid w:val="46F01851"/>
    <w:rsid w:val="46F16F25"/>
    <w:rsid w:val="46F41934"/>
    <w:rsid w:val="46F43AC5"/>
    <w:rsid w:val="46F7611E"/>
    <w:rsid w:val="46FB14C7"/>
    <w:rsid w:val="47032FA8"/>
    <w:rsid w:val="47055793"/>
    <w:rsid w:val="47063D26"/>
    <w:rsid w:val="470B0E78"/>
    <w:rsid w:val="470B2E42"/>
    <w:rsid w:val="470D3136"/>
    <w:rsid w:val="470D5199"/>
    <w:rsid w:val="470F249C"/>
    <w:rsid w:val="47126EAF"/>
    <w:rsid w:val="4712750E"/>
    <w:rsid w:val="47135BF1"/>
    <w:rsid w:val="471668E1"/>
    <w:rsid w:val="47166A09"/>
    <w:rsid w:val="471C3ED4"/>
    <w:rsid w:val="471C4977"/>
    <w:rsid w:val="47200870"/>
    <w:rsid w:val="47212A99"/>
    <w:rsid w:val="472144E5"/>
    <w:rsid w:val="47290C4A"/>
    <w:rsid w:val="472B0FBF"/>
    <w:rsid w:val="472B0FE9"/>
    <w:rsid w:val="472B5E5E"/>
    <w:rsid w:val="472C72AD"/>
    <w:rsid w:val="4730178D"/>
    <w:rsid w:val="47361776"/>
    <w:rsid w:val="47367B2F"/>
    <w:rsid w:val="4737507C"/>
    <w:rsid w:val="4738293A"/>
    <w:rsid w:val="473C50ED"/>
    <w:rsid w:val="473F7967"/>
    <w:rsid w:val="47420F7A"/>
    <w:rsid w:val="47424185"/>
    <w:rsid w:val="47476D8B"/>
    <w:rsid w:val="474B2550"/>
    <w:rsid w:val="474B2E77"/>
    <w:rsid w:val="474B53DB"/>
    <w:rsid w:val="474B59B2"/>
    <w:rsid w:val="474C3B1E"/>
    <w:rsid w:val="474D2905"/>
    <w:rsid w:val="474E5D1F"/>
    <w:rsid w:val="474F19C2"/>
    <w:rsid w:val="474F5414"/>
    <w:rsid w:val="474F7AFE"/>
    <w:rsid w:val="475168BC"/>
    <w:rsid w:val="4753280E"/>
    <w:rsid w:val="47535C40"/>
    <w:rsid w:val="475825E3"/>
    <w:rsid w:val="47583901"/>
    <w:rsid w:val="47597119"/>
    <w:rsid w:val="475A00EB"/>
    <w:rsid w:val="475A6301"/>
    <w:rsid w:val="475E1E0A"/>
    <w:rsid w:val="475F2734"/>
    <w:rsid w:val="47605263"/>
    <w:rsid w:val="476674F3"/>
    <w:rsid w:val="4769043E"/>
    <w:rsid w:val="47692681"/>
    <w:rsid w:val="47692F62"/>
    <w:rsid w:val="476A39AA"/>
    <w:rsid w:val="476A4587"/>
    <w:rsid w:val="476B6CE6"/>
    <w:rsid w:val="476B6F4F"/>
    <w:rsid w:val="476D10FC"/>
    <w:rsid w:val="476E192F"/>
    <w:rsid w:val="476F465D"/>
    <w:rsid w:val="47712781"/>
    <w:rsid w:val="477245F7"/>
    <w:rsid w:val="477258A8"/>
    <w:rsid w:val="477471E4"/>
    <w:rsid w:val="477A3C57"/>
    <w:rsid w:val="477B2F4B"/>
    <w:rsid w:val="477B609D"/>
    <w:rsid w:val="477C79DC"/>
    <w:rsid w:val="47846F40"/>
    <w:rsid w:val="478504BD"/>
    <w:rsid w:val="47862D73"/>
    <w:rsid w:val="4787545E"/>
    <w:rsid w:val="4789198A"/>
    <w:rsid w:val="47895829"/>
    <w:rsid w:val="478A01A9"/>
    <w:rsid w:val="478C2861"/>
    <w:rsid w:val="478D4DF5"/>
    <w:rsid w:val="478E3A16"/>
    <w:rsid w:val="4791404E"/>
    <w:rsid w:val="47924837"/>
    <w:rsid w:val="4794688A"/>
    <w:rsid w:val="479564B6"/>
    <w:rsid w:val="479A660C"/>
    <w:rsid w:val="479C12FE"/>
    <w:rsid w:val="479C541A"/>
    <w:rsid w:val="479D1B11"/>
    <w:rsid w:val="479D612E"/>
    <w:rsid w:val="479F5CF2"/>
    <w:rsid w:val="47A13C13"/>
    <w:rsid w:val="47A34CBD"/>
    <w:rsid w:val="47A623E6"/>
    <w:rsid w:val="47A67633"/>
    <w:rsid w:val="47A9532C"/>
    <w:rsid w:val="47AA130F"/>
    <w:rsid w:val="47AA4C58"/>
    <w:rsid w:val="47AA69F0"/>
    <w:rsid w:val="47AC2557"/>
    <w:rsid w:val="47AC355F"/>
    <w:rsid w:val="47AD60FE"/>
    <w:rsid w:val="47AF7C00"/>
    <w:rsid w:val="47B0486F"/>
    <w:rsid w:val="47B11D34"/>
    <w:rsid w:val="47B2573D"/>
    <w:rsid w:val="47B321AB"/>
    <w:rsid w:val="47B33DD3"/>
    <w:rsid w:val="47B44BE5"/>
    <w:rsid w:val="47B65209"/>
    <w:rsid w:val="47B86627"/>
    <w:rsid w:val="47BB47A4"/>
    <w:rsid w:val="47BF04BC"/>
    <w:rsid w:val="47BF5ADC"/>
    <w:rsid w:val="47C13087"/>
    <w:rsid w:val="47C15C78"/>
    <w:rsid w:val="47C522D6"/>
    <w:rsid w:val="47C67131"/>
    <w:rsid w:val="47C72545"/>
    <w:rsid w:val="47C7775B"/>
    <w:rsid w:val="47C825EA"/>
    <w:rsid w:val="47C93963"/>
    <w:rsid w:val="47C95170"/>
    <w:rsid w:val="47C957E4"/>
    <w:rsid w:val="47CA5383"/>
    <w:rsid w:val="47CC6F06"/>
    <w:rsid w:val="47CF3C95"/>
    <w:rsid w:val="47CF5057"/>
    <w:rsid w:val="47D3064D"/>
    <w:rsid w:val="47D6458B"/>
    <w:rsid w:val="47D74772"/>
    <w:rsid w:val="47D80219"/>
    <w:rsid w:val="47D96A83"/>
    <w:rsid w:val="47DA3B3F"/>
    <w:rsid w:val="47DA6D43"/>
    <w:rsid w:val="47DA7264"/>
    <w:rsid w:val="47DA7760"/>
    <w:rsid w:val="47DF7131"/>
    <w:rsid w:val="47E14DB4"/>
    <w:rsid w:val="47E24AE4"/>
    <w:rsid w:val="47E27CB0"/>
    <w:rsid w:val="47E4700C"/>
    <w:rsid w:val="47E4777A"/>
    <w:rsid w:val="47EA1185"/>
    <w:rsid w:val="47EB7094"/>
    <w:rsid w:val="47EC03C8"/>
    <w:rsid w:val="47F41122"/>
    <w:rsid w:val="47F66099"/>
    <w:rsid w:val="47F86EBC"/>
    <w:rsid w:val="47FC2C5C"/>
    <w:rsid w:val="47FE0978"/>
    <w:rsid w:val="48001AA0"/>
    <w:rsid w:val="480051B3"/>
    <w:rsid w:val="48007AFD"/>
    <w:rsid w:val="4801514E"/>
    <w:rsid w:val="480312C4"/>
    <w:rsid w:val="48074310"/>
    <w:rsid w:val="4809358D"/>
    <w:rsid w:val="480946A7"/>
    <w:rsid w:val="480A007C"/>
    <w:rsid w:val="480A7C81"/>
    <w:rsid w:val="480B1F47"/>
    <w:rsid w:val="480B60E0"/>
    <w:rsid w:val="480D6581"/>
    <w:rsid w:val="480D6DF2"/>
    <w:rsid w:val="480D71B2"/>
    <w:rsid w:val="480E6590"/>
    <w:rsid w:val="480F1EA5"/>
    <w:rsid w:val="4810351B"/>
    <w:rsid w:val="481233A5"/>
    <w:rsid w:val="481265A0"/>
    <w:rsid w:val="48170970"/>
    <w:rsid w:val="481766D2"/>
    <w:rsid w:val="48182F55"/>
    <w:rsid w:val="48186825"/>
    <w:rsid w:val="48191A9E"/>
    <w:rsid w:val="48192C76"/>
    <w:rsid w:val="481A1D6F"/>
    <w:rsid w:val="481A3B92"/>
    <w:rsid w:val="481D2862"/>
    <w:rsid w:val="481D2B60"/>
    <w:rsid w:val="481E6F31"/>
    <w:rsid w:val="482140AC"/>
    <w:rsid w:val="48214E03"/>
    <w:rsid w:val="48233599"/>
    <w:rsid w:val="48263B0C"/>
    <w:rsid w:val="482675C5"/>
    <w:rsid w:val="48287E13"/>
    <w:rsid w:val="482A3D36"/>
    <w:rsid w:val="482A3F0D"/>
    <w:rsid w:val="482A5589"/>
    <w:rsid w:val="482B37B6"/>
    <w:rsid w:val="482D1D29"/>
    <w:rsid w:val="482E1F1F"/>
    <w:rsid w:val="482E5935"/>
    <w:rsid w:val="4833557C"/>
    <w:rsid w:val="4834140B"/>
    <w:rsid w:val="48344327"/>
    <w:rsid w:val="483502FE"/>
    <w:rsid w:val="483C3DA7"/>
    <w:rsid w:val="483D4388"/>
    <w:rsid w:val="483D5086"/>
    <w:rsid w:val="483F6A32"/>
    <w:rsid w:val="483F6C8F"/>
    <w:rsid w:val="48434902"/>
    <w:rsid w:val="48480BF9"/>
    <w:rsid w:val="484A3603"/>
    <w:rsid w:val="484E64F3"/>
    <w:rsid w:val="484F4231"/>
    <w:rsid w:val="48505C26"/>
    <w:rsid w:val="48527379"/>
    <w:rsid w:val="48535D4C"/>
    <w:rsid w:val="48562E3A"/>
    <w:rsid w:val="48590E31"/>
    <w:rsid w:val="485C5CFD"/>
    <w:rsid w:val="485E1BF0"/>
    <w:rsid w:val="485E6415"/>
    <w:rsid w:val="485F24CD"/>
    <w:rsid w:val="4863677C"/>
    <w:rsid w:val="48656C44"/>
    <w:rsid w:val="48663B99"/>
    <w:rsid w:val="48674675"/>
    <w:rsid w:val="48677908"/>
    <w:rsid w:val="486820A7"/>
    <w:rsid w:val="48692DDF"/>
    <w:rsid w:val="4869499E"/>
    <w:rsid w:val="486B0077"/>
    <w:rsid w:val="486D380D"/>
    <w:rsid w:val="486E2A42"/>
    <w:rsid w:val="48752354"/>
    <w:rsid w:val="487529AA"/>
    <w:rsid w:val="48787EC4"/>
    <w:rsid w:val="487D342F"/>
    <w:rsid w:val="487D3A05"/>
    <w:rsid w:val="487D534D"/>
    <w:rsid w:val="487E1033"/>
    <w:rsid w:val="487F2324"/>
    <w:rsid w:val="488A502C"/>
    <w:rsid w:val="488C6D07"/>
    <w:rsid w:val="488E06DF"/>
    <w:rsid w:val="488F06B7"/>
    <w:rsid w:val="48923659"/>
    <w:rsid w:val="48924107"/>
    <w:rsid w:val="489B4074"/>
    <w:rsid w:val="48A24786"/>
    <w:rsid w:val="48A2585E"/>
    <w:rsid w:val="48A45FD3"/>
    <w:rsid w:val="48A47EFF"/>
    <w:rsid w:val="48A52526"/>
    <w:rsid w:val="48AC76A7"/>
    <w:rsid w:val="48AE0774"/>
    <w:rsid w:val="48B539F7"/>
    <w:rsid w:val="48B91BA5"/>
    <w:rsid w:val="48B95C7D"/>
    <w:rsid w:val="48B95F1A"/>
    <w:rsid w:val="48BF59F0"/>
    <w:rsid w:val="48BF77BD"/>
    <w:rsid w:val="48C02759"/>
    <w:rsid w:val="48C04F38"/>
    <w:rsid w:val="48C065DF"/>
    <w:rsid w:val="48C11393"/>
    <w:rsid w:val="48C25DED"/>
    <w:rsid w:val="48C625ED"/>
    <w:rsid w:val="48C86889"/>
    <w:rsid w:val="48CB6B7C"/>
    <w:rsid w:val="48D521EE"/>
    <w:rsid w:val="48D5321B"/>
    <w:rsid w:val="48D54B9E"/>
    <w:rsid w:val="48D8511B"/>
    <w:rsid w:val="48DA765A"/>
    <w:rsid w:val="48DC4BFC"/>
    <w:rsid w:val="48DC50B2"/>
    <w:rsid w:val="48DC50D6"/>
    <w:rsid w:val="48DC54DE"/>
    <w:rsid w:val="48E15281"/>
    <w:rsid w:val="48E43BF2"/>
    <w:rsid w:val="48E9031C"/>
    <w:rsid w:val="48EF48C2"/>
    <w:rsid w:val="48EF5744"/>
    <w:rsid w:val="48F5412B"/>
    <w:rsid w:val="48F86A68"/>
    <w:rsid w:val="48FA38CE"/>
    <w:rsid w:val="48FB7BFD"/>
    <w:rsid w:val="48FC682A"/>
    <w:rsid w:val="48FD70C7"/>
    <w:rsid w:val="48FE0E99"/>
    <w:rsid w:val="49010EA4"/>
    <w:rsid w:val="49013E6C"/>
    <w:rsid w:val="490268A7"/>
    <w:rsid w:val="4906634C"/>
    <w:rsid w:val="49070B68"/>
    <w:rsid w:val="4909078D"/>
    <w:rsid w:val="490A23E7"/>
    <w:rsid w:val="490B7379"/>
    <w:rsid w:val="490C4C3C"/>
    <w:rsid w:val="49100CE3"/>
    <w:rsid w:val="4912755A"/>
    <w:rsid w:val="49151CD0"/>
    <w:rsid w:val="49163AD1"/>
    <w:rsid w:val="49183491"/>
    <w:rsid w:val="491844D4"/>
    <w:rsid w:val="491B5514"/>
    <w:rsid w:val="491C7012"/>
    <w:rsid w:val="491D6FE6"/>
    <w:rsid w:val="491E41E6"/>
    <w:rsid w:val="491E5B59"/>
    <w:rsid w:val="49200156"/>
    <w:rsid w:val="492027D4"/>
    <w:rsid w:val="49203526"/>
    <w:rsid w:val="4923175C"/>
    <w:rsid w:val="4923397F"/>
    <w:rsid w:val="49234E86"/>
    <w:rsid w:val="49235085"/>
    <w:rsid w:val="492549FC"/>
    <w:rsid w:val="4926356E"/>
    <w:rsid w:val="4926497E"/>
    <w:rsid w:val="49282180"/>
    <w:rsid w:val="49284A4B"/>
    <w:rsid w:val="492939C6"/>
    <w:rsid w:val="492B25E7"/>
    <w:rsid w:val="492C1072"/>
    <w:rsid w:val="49300FA3"/>
    <w:rsid w:val="49337987"/>
    <w:rsid w:val="4934173A"/>
    <w:rsid w:val="49370553"/>
    <w:rsid w:val="49381793"/>
    <w:rsid w:val="49397CB9"/>
    <w:rsid w:val="493A0284"/>
    <w:rsid w:val="493D5E13"/>
    <w:rsid w:val="493F29B3"/>
    <w:rsid w:val="493F76CA"/>
    <w:rsid w:val="4942695C"/>
    <w:rsid w:val="49436368"/>
    <w:rsid w:val="49451966"/>
    <w:rsid w:val="49451D29"/>
    <w:rsid w:val="49452CD9"/>
    <w:rsid w:val="49484970"/>
    <w:rsid w:val="494866E6"/>
    <w:rsid w:val="494A3ACA"/>
    <w:rsid w:val="494F2AAC"/>
    <w:rsid w:val="49524302"/>
    <w:rsid w:val="49535FA0"/>
    <w:rsid w:val="495405AF"/>
    <w:rsid w:val="49551345"/>
    <w:rsid w:val="4959041B"/>
    <w:rsid w:val="495B33E1"/>
    <w:rsid w:val="495B4A7F"/>
    <w:rsid w:val="495C5F0A"/>
    <w:rsid w:val="495D179D"/>
    <w:rsid w:val="49601CC2"/>
    <w:rsid w:val="49614869"/>
    <w:rsid w:val="496348A7"/>
    <w:rsid w:val="49634F02"/>
    <w:rsid w:val="496407CB"/>
    <w:rsid w:val="49686F71"/>
    <w:rsid w:val="49693B09"/>
    <w:rsid w:val="496A0588"/>
    <w:rsid w:val="496A715D"/>
    <w:rsid w:val="496B1BD0"/>
    <w:rsid w:val="496D688B"/>
    <w:rsid w:val="496E4294"/>
    <w:rsid w:val="496F22D7"/>
    <w:rsid w:val="496F23A0"/>
    <w:rsid w:val="4972417B"/>
    <w:rsid w:val="49737E83"/>
    <w:rsid w:val="49773519"/>
    <w:rsid w:val="497A40B0"/>
    <w:rsid w:val="497B5B5D"/>
    <w:rsid w:val="497D122C"/>
    <w:rsid w:val="497D707F"/>
    <w:rsid w:val="497F24FF"/>
    <w:rsid w:val="497F69C0"/>
    <w:rsid w:val="49804AFC"/>
    <w:rsid w:val="49811CDC"/>
    <w:rsid w:val="49824764"/>
    <w:rsid w:val="498958E9"/>
    <w:rsid w:val="49895D01"/>
    <w:rsid w:val="498B2CC1"/>
    <w:rsid w:val="498C59C1"/>
    <w:rsid w:val="498E16E3"/>
    <w:rsid w:val="498E2898"/>
    <w:rsid w:val="498F2C03"/>
    <w:rsid w:val="49904383"/>
    <w:rsid w:val="49920997"/>
    <w:rsid w:val="499565C8"/>
    <w:rsid w:val="49961A69"/>
    <w:rsid w:val="499860BB"/>
    <w:rsid w:val="4998664E"/>
    <w:rsid w:val="49992C03"/>
    <w:rsid w:val="499A7E17"/>
    <w:rsid w:val="499B1A44"/>
    <w:rsid w:val="499D43D4"/>
    <w:rsid w:val="499F20F8"/>
    <w:rsid w:val="49A01C08"/>
    <w:rsid w:val="49A05684"/>
    <w:rsid w:val="49A10092"/>
    <w:rsid w:val="49A5398E"/>
    <w:rsid w:val="49A5762B"/>
    <w:rsid w:val="49A7316E"/>
    <w:rsid w:val="49A753B8"/>
    <w:rsid w:val="49A77A8F"/>
    <w:rsid w:val="49A812D3"/>
    <w:rsid w:val="49A83B9A"/>
    <w:rsid w:val="49A83E1A"/>
    <w:rsid w:val="49A91932"/>
    <w:rsid w:val="49A9373F"/>
    <w:rsid w:val="49AC0DC9"/>
    <w:rsid w:val="49AD18B6"/>
    <w:rsid w:val="49AF7B27"/>
    <w:rsid w:val="49B20A68"/>
    <w:rsid w:val="49B31047"/>
    <w:rsid w:val="49B32B64"/>
    <w:rsid w:val="49B659DB"/>
    <w:rsid w:val="49B7775A"/>
    <w:rsid w:val="49B77E7E"/>
    <w:rsid w:val="49B85B0E"/>
    <w:rsid w:val="49B967DE"/>
    <w:rsid w:val="49BB1FAC"/>
    <w:rsid w:val="49BF7C9D"/>
    <w:rsid w:val="49C0541C"/>
    <w:rsid w:val="49C3457A"/>
    <w:rsid w:val="49C34882"/>
    <w:rsid w:val="49C65A03"/>
    <w:rsid w:val="49C7565D"/>
    <w:rsid w:val="49C80AFC"/>
    <w:rsid w:val="49C80BD2"/>
    <w:rsid w:val="49C816E8"/>
    <w:rsid w:val="49CA009B"/>
    <w:rsid w:val="49CC4887"/>
    <w:rsid w:val="49D06A8F"/>
    <w:rsid w:val="49D358BB"/>
    <w:rsid w:val="49D37355"/>
    <w:rsid w:val="49D4079F"/>
    <w:rsid w:val="49D5310E"/>
    <w:rsid w:val="49D633FF"/>
    <w:rsid w:val="49D63995"/>
    <w:rsid w:val="49D7574C"/>
    <w:rsid w:val="49D937F7"/>
    <w:rsid w:val="49DB7952"/>
    <w:rsid w:val="49DD4974"/>
    <w:rsid w:val="49E02716"/>
    <w:rsid w:val="49E22066"/>
    <w:rsid w:val="49E24F14"/>
    <w:rsid w:val="49E26789"/>
    <w:rsid w:val="49E40AE2"/>
    <w:rsid w:val="49E521F3"/>
    <w:rsid w:val="49E64304"/>
    <w:rsid w:val="49E93F4C"/>
    <w:rsid w:val="49EA697D"/>
    <w:rsid w:val="49EC74CC"/>
    <w:rsid w:val="49EF327F"/>
    <w:rsid w:val="49F17095"/>
    <w:rsid w:val="49F33517"/>
    <w:rsid w:val="49F3470D"/>
    <w:rsid w:val="49F4593B"/>
    <w:rsid w:val="49F7762A"/>
    <w:rsid w:val="49F86685"/>
    <w:rsid w:val="49FA257E"/>
    <w:rsid w:val="49FE7954"/>
    <w:rsid w:val="49FF3848"/>
    <w:rsid w:val="4A004B30"/>
    <w:rsid w:val="4A013BAD"/>
    <w:rsid w:val="4A013C9A"/>
    <w:rsid w:val="4A014974"/>
    <w:rsid w:val="4A025472"/>
    <w:rsid w:val="4A0D4F5A"/>
    <w:rsid w:val="4A0E1AAA"/>
    <w:rsid w:val="4A100B69"/>
    <w:rsid w:val="4A1147B5"/>
    <w:rsid w:val="4A120FC7"/>
    <w:rsid w:val="4A13721C"/>
    <w:rsid w:val="4A162448"/>
    <w:rsid w:val="4A1867A4"/>
    <w:rsid w:val="4A196AF3"/>
    <w:rsid w:val="4A1A1DCD"/>
    <w:rsid w:val="4A1D55AC"/>
    <w:rsid w:val="4A1E503B"/>
    <w:rsid w:val="4A1F69A1"/>
    <w:rsid w:val="4A2165C6"/>
    <w:rsid w:val="4A2345BE"/>
    <w:rsid w:val="4A244A33"/>
    <w:rsid w:val="4A2453FD"/>
    <w:rsid w:val="4A266A08"/>
    <w:rsid w:val="4A28169D"/>
    <w:rsid w:val="4A2A16A0"/>
    <w:rsid w:val="4A2D57AA"/>
    <w:rsid w:val="4A2E6E16"/>
    <w:rsid w:val="4A2F7091"/>
    <w:rsid w:val="4A3620C0"/>
    <w:rsid w:val="4A374F01"/>
    <w:rsid w:val="4A3A40CA"/>
    <w:rsid w:val="4A3A5F01"/>
    <w:rsid w:val="4A3B7B3C"/>
    <w:rsid w:val="4A3E5797"/>
    <w:rsid w:val="4A4006D4"/>
    <w:rsid w:val="4A413421"/>
    <w:rsid w:val="4A415C3B"/>
    <w:rsid w:val="4A421FF0"/>
    <w:rsid w:val="4A445AD7"/>
    <w:rsid w:val="4A4A01CC"/>
    <w:rsid w:val="4A4B14BC"/>
    <w:rsid w:val="4A4E1E93"/>
    <w:rsid w:val="4A4E63C3"/>
    <w:rsid w:val="4A5128B8"/>
    <w:rsid w:val="4A541F5E"/>
    <w:rsid w:val="4A58494F"/>
    <w:rsid w:val="4A5A5D9A"/>
    <w:rsid w:val="4A5B654D"/>
    <w:rsid w:val="4A5C3ED5"/>
    <w:rsid w:val="4A5C455D"/>
    <w:rsid w:val="4A5D398A"/>
    <w:rsid w:val="4A5F2468"/>
    <w:rsid w:val="4A5F5CFE"/>
    <w:rsid w:val="4A5F631C"/>
    <w:rsid w:val="4A5F68FD"/>
    <w:rsid w:val="4A60686C"/>
    <w:rsid w:val="4A607B25"/>
    <w:rsid w:val="4A612761"/>
    <w:rsid w:val="4A66341D"/>
    <w:rsid w:val="4A6C46D7"/>
    <w:rsid w:val="4A6C7D45"/>
    <w:rsid w:val="4A6D1C31"/>
    <w:rsid w:val="4A6D331B"/>
    <w:rsid w:val="4A6E518E"/>
    <w:rsid w:val="4A71502F"/>
    <w:rsid w:val="4A7554DA"/>
    <w:rsid w:val="4A7672B4"/>
    <w:rsid w:val="4A783DF6"/>
    <w:rsid w:val="4A792CF8"/>
    <w:rsid w:val="4A7A7EEA"/>
    <w:rsid w:val="4A7B0170"/>
    <w:rsid w:val="4A7C0304"/>
    <w:rsid w:val="4A7C4319"/>
    <w:rsid w:val="4A7D274C"/>
    <w:rsid w:val="4A807D1C"/>
    <w:rsid w:val="4A8260A3"/>
    <w:rsid w:val="4A826B0E"/>
    <w:rsid w:val="4A841D71"/>
    <w:rsid w:val="4A8474CC"/>
    <w:rsid w:val="4A871257"/>
    <w:rsid w:val="4A875C68"/>
    <w:rsid w:val="4A895D3B"/>
    <w:rsid w:val="4A8A15AD"/>
    <w:rsid w:val="4A8A2352"/>
    <w:rsid w:val="4A8A4355"/>
    <w:rsid w:val="4A8B392A"/>
    <w:rsid w:val="4A8D3AAA"/>
    <w:rsid w:val="4A8E215B"/>
    <w:rsid w:val="4A8E6160"/>
    <w:rsid w:val="4A902F56"/>
    <w:rsid w:val="4A9133BB"/>
    <w:rsid w:val="4A921416"/>
    <w:rsid w:val="4A930032"/>
    <w:rsid w:val="4A957DE9"/>
    <w:rsid w:val="4A975B30"/>
    <w:rsid w:val="4A980871"/>
    <w:rsid w:val="4A98660E"/>
    <w:rsid w:val="4A987326"/>
    <w:rsid w:val="4A9A3FD2"/>
    <w:rsid w:val="4A9C3F30"/>
    <w:rsid w:val="4A9C6045"/>
    <w:rsid w:val="4A9D33E3"/>
    <w:rsid w:val="4A9E578A"/>
    <w:rsid w:val="4AA35CA5"/>
    <w:rsid w:val="4AA56806"/>
    <w:rsid w:val="4AA61BC2"/>
    <w:rsid w:val="4AA63556"/>
    <w:rsid w:val="4AA8332C"/>
    <w:rsid w:val="4AAA459A"/>
    <w:rsid w:val="4AAB5D86"/>
    <w:rsid w:val="4AAB634B"/>
    <w:rsid w:val="4AAD4843"/>
    <w:rsid w:val="4AB01428"/>
    <w:rsid w:val="4AB509C1"/>
    <w:rsid w:val="4AB604BF"/>
    <w:rsid w:val="4AB77564"/>
    <w:rsid w:val="4AB912F1"/>
    <w:rsid w:val="4ABA358E"/>
    <w:rsid w:val="4ABC08C8"/>
    <w:rsid w:val="4ABF4111"/>
    <w:rsid w:val="4AC209EE"/>
    <w:rsid w:val="4AC27CEC"/>
    <w:rsid w:val="4AC27FAC"/>
    <w:rsid w:val="4AC35E8E"/>
    <w:rsid w:val="4AC51EBB"/>
    <w:rsid w:val="4AC612D4"/>
    <w:rsid w:val="4AC80F62"/>
    <w:rsid w:val="4ACB3EA2"/>
    <w:rsid w:val="4ACC3672"/>
    <w:rsid w:val="4ACC3798"/>
    <w:rsid w:val="4AD255BA"/>
    <w:rsid w:val="4AD926DB"/>
    <w:rsid w:val="4AD93DDB"/>
    <w:rsid w:val="4ADA1AF5"/>
    <w:rsid w:val="4ADB23AC"/>
    <w:rsid w:val="4ADB46FE"/>
    <w:rsid w:val="4ADD6DFB"/>
    <w:rsid w:val="4ADF4BF3"/>
    <w:rsid w:val="4AE10B4E"/>
    <w:rsid w:val="4AE45573"/>
    <w:rsid w:val="4AE5189E"/>
    <w:rsid w:val="4AE74B54"/>
    <w:rsid w:val="4AE90844"/>
    <w:rsid w:val="4AED46D6"/>
    <w:rsid w:val="4AEF574C"/>
    <w:rsid w:val="4AF80EA6"/>
    <w:rsid w:val="4AF84711"/>
    <w:rsid w:val="4AFA28A6"/>
    <w:rsid w:val="4B0260A9"/>
    <w:rsid w:val="4B030ECA"/>
    <w:rsid w:val="4B040BF0"/>
    <w:rsid w:val="4B063E8A"/>
    <w:rsid w:val="4B0650DF"/>
    <w:rsid w:val="4B0739C3"/>
    <w:rsid w:val="4B082B17"/>
    <w:rsid w:val="4B08399F"/>
    <w:rsid w:val="4B095473"/>
    <w:rsid w:val="4B0D67B0"/>
    <w:rsid w:val="4B0E3A29"/>
    <w:rsid w:val="4B0E67C2"/>
    <w:rsid w:val="4B0E7A5D"/>
    <w:rsid w:val="4B100FF9"/>
    <w:rsid w:val="4B11327A"/>
    <w:rsid w:val="4B146546"/>
    <w:rsid w:val="4B197D3A"/>
    <w:rsid w:val="4B197E8B"/>
    <w:rsid w:val="4B1A7FBC"/>
    <w:rsid w:val="4B1C27DB"/>
    <w:rsid w:val="4B1C38E4"/>
    <w:rsid w:val="4B1D5049"/>
    <w:rsid w:val="4B1D6999"/>
    <w:rsid w:val="4B1E52A7"/>
    <w:rsid w:val="4B221CB3"/>
    <w:rsid w:val="4B2375C0"/>
    <w:rsid w:val="4B241C02"/>
    <w:rsid w:val="4B24777D"/>
    <w:rsid w:val="4B25160A"/>
    <w:rsid w:val="4B257CEE"/>
    <w:rsid w:val="4B2A6CF7"/>
    <w:rsid w:val="4B2A7507"/>
    <w:rsid w:val="4B2B65E4"/>
    <w:rsid w:val="4B2F298F"/>
    <w:rsid w:val="4B2F48F0"/>
    <w:rsid w:val="4B300C83"/>
    <w:rsid w:val="4B315DA6"/>
    <w:rsid w:val="4B3300BD"/>
    <w:rsid w:val="4B330730"/>
    <w:rsid w:val="4B332DDD"/>
    <w:rsid w:val="4B362A47"/>
    <w:rsid w:val="4B363766"/>
    <w:rsid w:val="4B3739CC"/>
    <w:rsid w:val="4B3762CF"/>
    <w:rsid w:val="4B3A3AF7"/>
    <w:rsid w:val="4B3B1282"/>
    <w:rsid w:val="4B3C2D17"/>
    <w:rsid w:val="4B3D027C"/>
    <w:rsid w:val="4B3E45B5"/>
    <w:rsid w:val="4B3F7625"/>
    <w:rsid w:val="4B413F7C"/>
    <w:rsid w:val="4B4216D3"/>
    <w:rsid w:val="4B425CCB"/>
    <w:rsid w:val="4B44277D"/>
    <w:rsid w:val="4B447D2D"/>
    <w:rsid w:val="4B454DF0"/>
    <w:rsid w:val="4B467BE8"/>
    <w:rsid w:val="4B4836E5"/>
    <w:rsid w:val="4B494791"/>
    <w:rsid w:val="4B4A38FF"/>
    <w:rsid w:val="4B503A01"/>
    <w:rsid w:val="4B5103FC"/>
    <w:rsid w:val="4B527294"/>
    <w:rsid w:val="4B551E7F"/>
    <w:rsid w:val="4B552826"/>
    <w:rsid w:val="4B5900DF"/>
    <w:rsid w:val="4B5A1635"/>
    <w:rsid w:val="4B5B74BC"/>
    <w:rsid w:val="4B5C7B16"/>
    <w:rsid w:val="4B5D52A3"/>
    <w:rsid w:val="4B5F3374"/>
    <w:rsid w:val="4B615CBC"/>
    <w:rsid w:val="4B6252D2"/>
    <w:rsid w:val="4B630968"/>
    <w:rsid w:val="4B6537AB"/>
    <w:rsid w:val="4B68289D"/>
    <w:rsid w:val="4B6E6FEB"/>
    <w:rsid w:val="4B6F1EDC"/>
    <w:rsid w:val="4B6F6451"/>
    <w:rsid w:val="4B707787"/>
    <w:rsid w:val="4B757F09"/>
    <w:rsid w:val="4B76013F"/>
    <w:rsid w:val="4B7611A8"/>
    <w:rsid w:val="4B767D23"/>
    <w:rsid w:val="4B7A79D4"/>
    <w:rsid w:val="4B7B3C17"/>
    <w:rsid w:val="4B7E1437"/>
    <w:rsid w:val="4B815564"/>
    <w:rsid w:val="4B8335E0"/>
    <w:rsid w:val="4B863729"/>
    <w:rsid w:val="4B8807CD"/>
    <w:rsid w:val="4B8868AF"/>
    <w:rsid w:val="4B907F15"/>
    <w:rsid w:val="4B92230B"/>
    <w:rsid w:val="4B94061B"/>
    <w:rsid w:val="4B964BE0"/>
    <w:rsid w:val="4B97423C"/>
    <w:rsid w:val="4B9757D5"/>
    <w:rsid w:val="4B9F0DCB"/>
    <w:rsid w:val="4B9F7B10"/>
    <w:rsid w:val="4BA0211B"/>
    <w:rsid w:val="4BA166A5"/>
    <w:rsid w:val="4BA213D0"/>
    <w:rsid w:val="4BA61163"/>
    <w:rsid w:val="4BA86562"/>
    <w:rsid w:val="4BA8728E"/>
    <w:rsid w:val="4BA87827"/>
    <w:rsid w:val="4BA94C9B"/>
    <w:rsid w:val="4BAA16CB"/>
    <w:rsid w:val="4BAB2B1E"/>
    <w:rsid w:val="4BAB3426"/>
    <w:rsid w:val="4BB05F25"/>
    <w:rsid w:val="4BB6287E"/>
    <w:rsid w:val="4BBA76FC"/>
    <w:rsid w:val="4BBB31D4"/>
    <w:rsid w:val="4BBE266F"/>
    <w:rsid w:val="4BC17E22"/>
    <w:rsid w:val="4BC31E44"/>
    <w:rsid w:val="4BC641DF"/>
    <w:rsid w:val="4BC642D3"/>
    <w:rsid w:val="4BC663E4"/>
    <w:rsid w:val="4BC76E3B"/>
    <w:rsid w:val="4BCB1B78"/>
    <w:rsid w:val="4BCC3900"/>
    <w:rsid w:val="4BCD7119"/>
    <w:rsid w:val="4BCE40C6"/>
    <w:rsid w:val="4BD152F6"/>
    <w:rsid w:val="4BD17AEE"/>
    <w:rsid w:val="4BD36194"/>
    <w:rsid w:val="4BD41CC0"/>
    <w:rsid w:val="4BD61892"/>
    <w:rsid w:val="4BD8795A"/>
    <w:rsid w:val="4BDC1BE2"/>
    <w:rsid w:val="4BDE22EA"/>
    <w:rsid w:val="4BDF6EF2"/>
    <w:rsid w:val="4BDF7DCE"/>
    <w:rsid w:val="4BE02DD7"/>
    <w:rsid w:val="4BE1158C"/>
    <w:rsid w:val="4BE90EA2"/>
    <w:rsid w:val="4BE91512"/>
    <w:rsid w:val="4BE91FE4"/>
    <w:rsid w:val="4BE93832"/>
    <w:rsid w:val="4BEA19D1"/>
    <w:rsid w:val="4BEA6987"/>
    <w:rsid w:val="4BEC3C45"/>
    <w:rsid w:val="4BEE2CBB"/>
    <w:rsid w:val="4BEF48A3"/>
    <w:rsid w:val="4BF03137"/>
    <w:rsid w:val="4BF132EB"/>
    <w:rsid w:val="4BF5366D"/>
    <w:rsid w:val="4BF70422"/>
    <w:rsid w:val="4BF73E0D"/>
    <w:rsid w:val="4BF767DE"/>
    <w:rsid w:val="4BFB1C04"/>
    <w:rsid w:val="4BFB2523"/>
    <w:rsid w:val="4BFB6187"/>
    <w:rsid w:val="4BFD7A0B"/>
    <w:rsid w:val="4C067072"/>
    <w:rsid w:val="4C086FD8"/>
    <w:rsid w:val="4C095327"/>
    <w:rsid w:val="4C095D16"/>
    <w:rsid w:val="4C0B5561"/>
    <w:rsid w:val="4C0F04C3"/>
    <w:rsid w:val="4C0F2899"/>
    <w:rsid w:val="4C13565D"/>
    <w:rsid w:val="4C16233B"/>
    <w:rsid w:val="4C1A3D87"/>
    <w:rsid w:val="4C1A61EF"/>
    <w:rsid w:val="4C1B4C9E"/>
    <w:rsid w:val="4C1C4932"/>
    <w:rsid w:val="4C1C5F2C"/>
    <w:rsid w:val="4C222DF1"/>
    <w:rsid w:val="4C227B0D"/>
    <w:rsid w:val="4C245349"/>
    <w:rsid w:val="4C27193B"/>
    <w:rsid w:val="4C274ADA"/>
    <w:rsid w:val="4C2A001E"/>
    <w:rsid w:val="4C2B5DAF"/>
    <w:rsid w:val="4C2C6FF4"/>
    <w:rsid w:val="4C317A75"/>
    <w:rsid w:val="4C34520B"/>
    <w:rsid w:val="4C351B4B"/>
    <w:rsid w:val="4C352573"/>
    <w:rsid w:val="4C36116F"/>
    <w:rsid w:val="4C363BC7"/>
    <w:rsid w:val="4C372139"/>
    <w:rsid w:val="4C384AD8"/>
    <w:rsid w:val="4C3A0311"/>
    <w:rsid w:val="4C3B2A95"/>
    <w:rsid w:val="4C3D49B4"/>
    <w:rsid w:val="4C3F6D29"/>
    <w:rsid w:val="4C407DD3"/>
    <w:rsid w:val="4C4213CD"/>
    <w:rsid w:val="4C4652C4"/>
    <w:rsid w:val="4C4679B9"/>
    <w:rsid w:val="4C475FB0"/>
    <w:rsid w:val="4C4D7837"/>
    <w:rsid w:val="4C4E328C"/>
    <w:rsid w:val="4C4F1E71"/>
    <w:rsid w:val="4C52028F"/>
    <w:rsid w:val="4C5206F0"/>
    <w:rsid w:val="4C5329A9"/>
    <w:rsid w:val="4C532E4E"/>
    <w:rsid w:val="4C53345E"/>
    <w:rsid w:val="4C5645CB"/>
    <w:rsid w:val="4C581B52"/>
    <w:rsid w:val="4C5B1BC6"/>
    <w:rsid w:val="4C5B6182"/>
    <w:rsid w:val="4C5C4EE2"/>
    <w:rsid w:val="4C5C7F6A"/>
    <w:rsid w:val="4C5D611D"/>
    <w:rsid w:val="4C5D6E54"/>
    <w:rsid w:val="4C5F29DB"/>
    <w:rsid w:val="4C5F79DB"/>
    <w:rsid w:val="4C604AE1"/>
    <w:rsid w:val="4C6130DA"/>
    <w:rsid w:val="4C63097D"/>
    <w:rsid w:val="4C647958"/>
    <w:rsid w:val="4C660353"/>
    <w:rsid w:val="4C663582"/>
    <w:rsid w:val="4C6741B3"/>
    <w:rsid w:val="4C681989"/>
    <w:rsid w:val="4C683056"/>
    <w:rsid w:val="4C684BC9"/>
    <w:rsid w:val="4C6F288E"/>
    <w:rsid w:val="4C6F398C"/>
    <w:rsid w:val="4C6F54B8"/>
    <w:rsid w:val="4C731E1B"/>
    <w:rsid w:val="4C735EAC"/>
    <w:rsid w:val="4C7968EC"/>
    <w:rsid w:val="4C7B183D"/>
    <w:rsid w:val="4C7C5796"/>
    <w:rsid w:val="4C7E2E10"/>
    <w:rsid w:val="4C7E7EA9"/>
    <w:rsid w:val="4C7F66AE"/>
    <w:rsid w:val="4C7F78E1"/>
    <w:rsid w:val="4C80034C"/>
    <w:rsid w:val="4C800971"/>
    <w:rsid w:val="4C8212FD"/>
    <w:rsid w:val="4C830D84"/>
    <w:rsid w:val="4C85763B"/>
    <w:rsid w:val="4C8579AF"/>
    <w:rsid w:val="4C8A5740"/>
    <w:rsid w:val="4C8B033D"/>
    <w:rsid w:val="4C8C17E7"/>
    <w:rsid w:val="4C8C69E4"/>
    <w:rsid w:val="4C8C6F40"/>
    <w:rsid w:val="4C8D7715"/>
    <w:rsid w:val="4C8E4C89"/>
    <w:rsid w:val="4C8F19D2"/>
    <w:rsid w:val="4C91186C"/>
    <w:rsid w:val="4C950AFC"/>
    <w:rsid w:val="4C951032"/>
    <w:rsid w:val="4C96523B"/>
    <w:rsid w:val="4C967874"/>
    <w:rsid w:val="4C970C0F"/>
    <w:rsid w:val="4C997104"/>
    <w:rsid w:val="4C9A5A9C"/>
    <w:rsid w:val="4C9B29D2"/>
    <w:rsid w:val="4CA1285C"/>
    <w:rsid w:val="4CA462FA"/>
    <w:rsid w:val="4CA47DF7"/>
    <w:rsid w:val="4CA60D7A"/>
    <w:rsid w:val="4CA76EAF"/>
    <w:rsid w:val="4CAF5F22"/>
    <w:rsid w:val="4CB427E8"/>
    <w:rsid w:val="4CB878F4"/>
    <w:rsid w:val="4CBA45CC"/>
    <w:rsid w:val="4CBC19B3"/>
    <w:rsid w:val="4CBF59E7"/>
    <w:rsid w:val="4CC03DC9"/>
    <w:rsid w:val="4CC1474C"/>
    <w:rsid w:val="4CC25278"/>
    <w:rsid w:val="4CC27B98"/>
    <w:rsid w:val="4CC367B5"/>
    <w:rsid w:val="4CC4119B"/>
    <w:rsid w:val="4CC64E05"/>
    <w:rsid w:val="4CC7392E"/>
    <w:rsid w:val="4CCA24BC"/>
    <w:rsid w:val="4CCD34E5"/>
    <w:rsid w:val="4CCF0BC9"/>
    <w:rsid w:val="4CD03F57"/>
    <w:rsid w:val="4CD05F48"/>
    <w:rsid w:val="4CD14BB7"/>
    <w:rsid w:val="4CD33917"/>
    <w:rsid w:val="4CD42064"/>
    <w:rsid w:val="4CD4717C"/>
    <w:rsid w:val="4CD56D42"/>
    <w:rsid w:val="4CD63443"/>
    <w:rsid w:val="4CD674DE"/>
    <w:rsid w:val="4CDE2227"/>
    <w:rsid w:val="4CDE7EB2"/>
    <w:rsid w:val="4CE030A6"/>
    <w:rsid w:val="4CE1048C"/>
    <w:rsid w:val="4CE13F62"/>
    <w:rsid w:val="4CE22CC0"/>
    <w:rsid w:val="4CE61EA6"/>
    <w:rsid w:val="4CE81548"/>
    <w:rsid w:val="4CE96D80"/>
    <w:rsid w:val="4CEA0F50"/>
    <w:rsid w:val="4CEB3443"/>
    <w:rsid w:val="4CEC337B"/>
    <w:rsid w:val="4CF056D9"/>
    <w:rsid w:val="4CF24227"/>
    <w:rsid w:val="4CF24A8C"/>
    <w:rsid w:val="4CF35DBA"/>
    <w:rsid w:val="4CF6174A"/>
    <w:rsid w:val="4CF7052B"/>
    <w:rsid w:val="4CFA1EAB"/>
    <w:rsid w:val="4CFB1EE3"/>
    <w:rsid w:val="4CFD6C57"/>
    <w:rsid w:val="4CFE1A92"/>
    <w:rsid w:val="4D03299E"/>
    <w:rsid w:val="4D0418FA"/>
    <w:rsid w:val="4D051F55"/>
    <w:rsid w:val="4D0570E0"/>
    <w:rsid w:val="4D063590"/>
    <w:rsid w:val="4D077F13"/>
    <w:rsid w:val="4D081906"/>
    <w:rsid w:val="4D095D38"/>
    <w:rsid w:val="4D0B7DF0"/>
    <w:rsid w:val="4D0D05DE"/>
    <w:rsid w:val="4D0E6F0C"/>
    <w:rsid w:val="4D146D8C"/>
    <w:rsid w:val="4D1558BA"/>
    <w:rsid w:val="4D163C00"/>
    <w:rsid w:val="4D19490F"/>
    <w:rsid w:val="4D1A197A"/>
    <w:rsid w:val="4D1B7AAF"/>
    <w:rsid w:val="4D1C640D"/>
    <w:rsid w:val="4D1D63F3"/>
    <w:rsid w:val="4D1E6F69"/>
    <w:rsid w:val="4D202911"/>
    <w:rsid w:val="4D232F43"/>
    <w:rsid w:val="4D23701E"/>
    <w:rsid w:val="4D2719E0"/>
    <w:rsid w:val="4D275E90"/>
    <w:rsid w:val="4D2A2027"/>
    <w:rsid w:val="4D2B2DE5"/>
    <w:rsid w:val="4D2F2B01"/>
    <w:rsid w:val="4D336044"/>
    <w:rsid w:val="4D355C1A"/>
    <w:rsid w:val="4D361BBB"/>
    <w:rsid w:val="4D3A2970"/>
    <w:rsid w:val="4D3A582C"/>
    <w:rsid w:val="4D413B4E"/>
    <w:rsid w:val="4D441556"/>
    <w:rsid w:val="4D4476F0"/>
    <w:rsid w:val="4D457AFB"/>
    <w:rsid w:val="4D462C3D"/>
    <w:rsid w:val="4D46458E"/>
    <w:rsid w:val="4D473846"/>
    <w:rsid w:val="4D474390"/>
    <w:rsid w:val="4D481091"/>
    <w:rsid w:val="4D4A67A6"/>
    <w:rsid w:val="4D51676D"/>
    <w:rsid w:val="4D520407"/>
    <w:rsid w:val="4D556B94"/>
    <w:rsid w:val="4D5574B5"/>
    <w:rsid w:val="4D5772F3"/>
    <w:rsid w:val="4D592A02"/>
    <w:rsid w:val="4D5C75BC"/>
    <w:rsid w:val="4D5E4706"/>
    <w:rsid w:val="4D607D49"/>
    <w:rsid w:val="4D620B87"/>
    <w:rsid w:val="4D62626F"/>
    <w:rsid w:val="4D650FDE"/>
    <w:rsid w:val="4D654916"/>
    <w:rsid w:val="4D663219"/>
    <w:rsid w:val="4D671205"/>
    <w:rsid w:val="4D672387"/>
    <w:rsid w:val="4D6804AE"/>
    <w:rsid w:val="4D694D28"/>
    <w:rsid w:val="4D6C23D6"/>
    <w:rsid w:val="4D6E47CE"/>
    <w:rsid w:val="4D71162B"/>
    <w:rsid w:val="4D733284"/>
    <w:rsid w:val="4D7563D5"/>
    <w:rsid w:val="4D7B24F1"/>
    <w:rsid w:val="4D7D1E22"/>
    <w:rsid w:val="4D7D2CFF"/>
    <w:rsid w:val="4D7D4C53"/>
    <w:rsid w:val="4D7F1281"/>
    <w:rsid w:val="4D7F194F"/>
    <w:rsid w:val="4D7F467E"/>
    <w:rsid w:val="4D7F78B2"/>
    <w:rsid w:val="4D842329"/>
    <w:rsid w:val="4D881868"/>
    <w:rsid w:val="4D8A49B4"/>
    <w:rsid w:val="4D8B45DA"/>
    <w:rsid w:val="4D8D634D"/>
    <w:rsid w:val="4D8D666F"/>
    <w:rsid w:val="4D90058F"/>
    <w:rsid w:val="4D904975"/>
    <w:rsid w:val="4D917831"/>
    <w:rsid w:val="4D947BF3"/>
    <w:rsid w:val="4D954A13"/>
    <w:rsid w:val="4D962D8F"/>
    <w:rsid w:val="4D97448E"/>
    <w:rsid w:val="4D991A6B"/>
    <w:rsid w:val="4D99679B"/>
    <w:rsid w:val="4D9A39E2"/>
    <w:rsid w:val="4D9C46BC"/>
    <w:rsid w:val="4D9E08E4"/>
    <w:rsid w:val="4D9E1870"/>
    <w:rsid w:val="4DA03329"/>
    <w:rsid w:val="4DA50175"/>
    <w:rsid w:val="4DA56292"/>
    <w:rsid w:val="4DA56D49"/>
    <w:rsid w:val="4DA62BF8"/>
    <w:rsid w:val="4DA72C3D"/>
    <w:rsid w:val="4DAA799D"/>
    <w:rsid w:val="4DAC4102"/>
    <w:rsid w:val="4DAC57F0"/>
    <w:rsid w:val="4DAE24C2"/>
    <w:rsid w:val="4DB1104B"/>
    <w:rsid w:val="4DB1543A"/>
    <w:rsid w:val="4DB26FA6"/>
    <w:rsid w:val="4DB40829"/>
    <w:rsid w:val="4DB70352"/>
    <w:rsid w:val="4DB80DAD"/>
    <w:rsid w:val="4DB81B22"/>
    <w:rsid w:val="4DB83369"/>
    <w:rsid w:val="4DBD51E1"/>
    <w:rsid w:val="4DC35EBE"/>
    <w:rsid w:val="4DC409D3"/>
    <w:rsid w:val="4DC85814"/>
    <w:rsid w:val="4DCA2009"/>
    <w:rsid w:val="4DCA29FA"/>
    <w:rsid w:val="4DCA3FA8"/>
    <w:rsid w:val="4DCC6EA0"/>
    <w:rsid w:val="4DCD35F4"/>
    <w:rsid w:val="4DCD5D74"/>
    <w:rsid w:val="4DCF790E"/>
    <w:rsid w:val="4DD040FF"/>
    <w:rsid w:val="4DD669C8"/>
    <w:rsid w:val="4DDD1C4F"/>
    <w:rsid w:val="4DDD3F93"/>
    <w:rsid w:val="4DDD4ECC"/>
    <w:rsid w:val="4DE10F2D"/>
    <w:rsid w:val="4DE11F4D"/>
    <w:rsid w:val="4DE2412D"/>
    <w:rsid w:val="4DE361D4"/>
    <w:rsid w:val="4DE82BFD"/>
    <w:rsid w:val="4DEA6D60"/>
    <w:rsid w:val="4DEB7FD7"/>
    <w:rsid w:val="4DEC3834"/>
    <w:rsid w:val="4DEC578C"/>
    <w:rsid w:val="4DF044D7"/>
    <w:rsid w:val="4DF2757C"/>
    <w:rsid w:val="4DF466E8"/>
    <w:rsid w:val="4DF538A9"/>
    <w:rsid w:val="4DF80480"/>
    <w:rsid w:val="4DFC6BBA"/>
    <w:rsid w:val="4E000AF5"/>
    <w:rsid w:val="4E003FCF"/>
    <w:rsid w:val="4E014D8D"/>
    <w:rsid w:val="4E050AAE"/>
    <w:rsid w:val="4E0858B5"/>
    <w:rsid w:val="4E0A203A"/>
    <w:rsid w:val="4E0D6C7C"/>
    <w:rsid w:val="4E0D6E8C"/>
    <w:rsid w:val="4E0D7D87"/>
    <w:rsid w:val="4E1200DA"/>
    <w:rsid w:val="4E1239B7"/>
    <w:rsid w:val="4E1301CA"/>
    <w:rsid w:val="4E1673CF"/>
    <w:rsid w:val="4E1A1555"/>
    <w:rsid w:val="4E1B2469"/>
    <w:rsid w:val="4E1F75F5"/>
    <w:rsid w:val="4E205956"/>
    <w:rsid w:val="4E214AF2"/>
    <w:rsid w:val="4E2406CD"/>
    <w:rsid w:val="4E2501B7"/>
    <w:rsid w:val="4E260F62"/>
    <w:rsid w:val="4E29217A"/>
    <w:rsid w:val="4E2A49E0"/>
    <w:rsid w:val="4E2B63C4"/>
    <w:rsid w:val="4E2C573B"/>
    <w:rsid w:val="4E2E30A8"/>
    <w:rsid w:val="4E3112B1"/>
    <w:rsid w:val="4E3236E1"/>
    <w:rsid w:val="4E327206"/>
    <w:rsid w:val="4E37090C"/>
    <w:rsid w:val="4E376800"/>
    <w:rsid w:val="4E376AE6"/>
    <w:rsid w:val="4E386CC0"/>
    <w:rsid w:val="4E396BAE"/>
    <w:rsid w:val="4E3B7638"/>
    <w:rsid w:val="4E3C1C9B"/>
    <w:rsid w:val="4E3C745B"/>
    <w:rsid w:val="4E3D71AE"/>
    <w:rsid w:val="4E3F4DD5"/>
    <w:rsid w:val="4E3F6FE0"/>
    <w:rsid w:val="4E421FE3"/>
    <w:rsid w:val="4E44725C"/>
    <w:rsid w:val="4E4472DF"/>
    <w:rsid w:val="4E4807E5"/>
    <w:rsid w:val="4E4A4BA5"/>
    <w:rsid w:val="4E4B6F83"/>
    <w:rsid w:val="4E4C5409"/>
    <w:rsid w:val="4E4D6557"/>
    <w:rsid w:val="4E4E3624"/>
    <w:rsid w:val="4E4F7D34"/>
    <w:rsid w:val="4E513539"/>
    <w:rsid w:val="4E5313D4"/>
    <w:rsid w:val="4E561862"/>
    <w:rsid w:val="4E593645"/>
    <w:rsid w:val="4E5C2D4C"/>
    <w:rsid w:val="4E5F2F6F"/>
    <w:rsid w:val="4E61488C"/>
    <w:rsid w:val="4E631ECD"/>
    <w:rsid w:val="4E636576"/>
    <w:rsid w:val="4E6401D9"/>
    <w:rsid w:val="4E666FCF"/>
    <w:rsid w:val="4E692B9A"/>
    <w:rsid w:val="4E6A6061"/>
    <w:rsid w:val="4E6B40B7"/>
    <w:rsid w:val="4E6B4ABE"/>
    <w:rsid w:val="4E6B607C"/>
    <w:rsid w:val="4E6D2936"/>
    <w:rsid w:val="4E6F4167"/>
    <w:rsid w:val="4E714773"/>
    <w:rsid w:val="4E716839"/>
    <w:rsid w:val="4E72382A"/>
    <w:rsid w:val="4E7376A5"/>
    <w:rsid w:val="4E737974"/>
    <w:rsid w:val="4E761734"/>
    <w:rsid w:val="4E771EE3"/>
    <w:rsid w:val="4E77585B"/>
    <w:rsid w:val="4E7956E1"/>
    <w:rsid w:val="4E7A0056"/>
    <w:rsid w:val="4E7C2E79"/>
    <w:rsid w:val="4E7C4128"/>
    <w:rsid w:val="4E7D6769"/>
    <w:rsid w:val="4E8032F1"/>
    <w:rsid w:val="4E8230E2"/>
    <w:rsid w:val="4E826D25"/>
    <w:rsid w:val="4E827CEB"/>
    <w:rsid w:val="4E832D27"/>
    <w:rsid w:val="4E842E33"/>
    <w:rsid w:val="4E870E8D"/>
    <w:rsid w:val="4E884AE4"/>
    <w:rsid w:val="4E892561"/>
    <w:rsid w:val="4E8A7A35"/>
    <w:rsid w:val="4E8C3A0F"/>
    <w:rsid w:val="4E917C06"/>
    <w:rsid w:val="4E920F76"/>
    <w:rsid w:val="4E93615D"/>
    <w:rsid w:val="4E954C6C"/>
    <w:rsid w:val="4E965D57"/>
    <w:rsid w:val="4E975F6F"/>
    <w:rsid w:val="4E980C71"/>
    <w:rsid w:val="4E9A0169"/>
    <w:rsid w:val="4E9A148B"/>
    <w:rsid w:val="4E9A562C"/>
    <w:rsid w:val="4E9C19E1"/>
    <w:rsid w:val="4EA10660"/>
    <w:rsid w:val="4EA12D12"/>
    <w:rsid w:val="4EA30350"/>
    <w:rsid w:val="4EA4236E"/>
    <w:rsid w:val="4EA45E64"/>
    <w:rsid w:val="4EA636A1"/>
    <w:rsid w:val="4EAA44FD"/>
    <w:rsid w:val="4EAB728C"/>
    <w:rsid w:val="4EAD44FF"/>
    <w:rsid w:val="4EAE3F1B"/>
    <w:rsid w:val="4EAF768D"/>
    <w:rsid w:val="4EB1064E"/>
    <w:rsid w:val="4EB6396B"/>
    <w:rsid w:val="4EB85A4C"/>
    <w:rsid w:val="4EBB1EE3"/>
    <w:rsid w:val="4EBC25C7"/>
    <w:rsid w:val="4EBD7518"/>
    <w:rsid w:val="4EC20120"/>
    <w:rsid w:val="4EC31987"/>
    <w:rsid w:val="4EC76EC7"/>
    <w:rsid w:val="4EC93D11"/>
    <w:rsid w:val="4ECD3E91"/>
    <w:rsid w:val="4ECD4079"/>
    <w:rsid w:val="4ECE7133"/>
    <w:rsid w:val="4ED202E3"/>
    <w:rsid w:val="4ED23086"/>
    <w:rsid w:val="4ED3582E"/>
    <w:rsid w:val="4ED42357"/>
    <w:rsid w:val="4ED64C9F"/>
    <w:rsid w:val="4ED82808"/>
    <w:rsid w:val="4ED9119A"/>
    <w:rsid w:val="4ED954BD"/>
    <w:rsid w:val="4EDA4160"/>
    <w:rsid w:val="4EDB1CA9"/>
    <w:rsid w:val="4EDB68CF"/>
    <w:rsid w:val="4EDC0599"/>
    <w:rsid w:val="4EDC098A"/>
    <w:rsid w:val="4EDC4175"/>
    <w:rsid w:val="4EE020A8"/>
    <w:rsid w:val="4EE113A5"/>
    <w:rsid w:val="4EE54CB5"/>
    <w:rsid w:val="4EE61F4C"/>
    <w:rsid w:val="4EE728B5"/>
    <w:rsid w:val="4EE73D85"/>
    <w:rsid w:val="4EE8480A"/>
    <w:rsid w:val="4EEB3888"/>
    <w:rsid w:val="4EEB674F"/>
    <w:rsid w:val="4EEB7545"/>
    <w:rsid w:val="4EEC38D2"/>
    <w:rsid w:val="4EF37AE2"/>
    <w:rsid w:val="4EF54867"/>
    <w:rsid w:val="4EFA6118"/>
    <w:rsid w:val="4EFF670B"/>
    <w:rsid w:val="4F00341E"/>
    <w:rsid w:val="4F0A2C66"/>
    <w:rsid w:val="4F0A3A21"/>
    <w:rsid w:val="4F0A57A9"/>
    <w:rsid w:val="4F0B4075"/>
    <w:rsid w:val="4F105CB0"/>
    <w:rsid w:val="4F114356"/>
    <w:rsid w:val="4F117484"/>
    <w:rsid w:val="4F12782E"/>
    <w:rsid w:val="4F1351B2"/>
    <w:rsid w:val="4F1379D7"/>
    <w:rsid w:val="4F177126"/>
    <w:rsid w:val="4F190CDE"/>
    <w:rsid w:val="4F196C53"/>
    <w:rsid w:val="4F1B67A6"/>
    <w:rsid w:val="4F201698"/>
    <w:rsid w:val="4F202986"/>
    <w:rsid w:val="4F217939"/>
    <w:rsid w:val="4F225868"/>
    <w:rsid w:val="4F24001E"/>
    <w:rsid w:val="4F2479B0"/>
    <w:rsid w:val="4F25193D"/>
    <w:rsid w:val="4F253855"/>
    <w:rsid w:val="4F2675C1"/>
    <w:rsid w:val="4F290541"/>
    <w:rsid w:val="4F2A2E76"/>
    <w:rsid w:val="4F2F79F9"/>
    <w:rsid w:val="4F371170"/>
    <w:rsid w:val="4F3B4C99"/>
    <w:rsid w:val="4F407F7A"/>
    <w:rsid w:val="4F4163F8"/>
    <w:rsid w:val="4F470A7A"/>
    <w:rsid w:val="4F4A45BB"/>
    <w:rsid w:val="4F4B14A1"/>
    <w:rsid w:val="4F4B1C10"/>
    <w:rsid w:val="4F4B361C"/>
    <w:rsid w:val="4F4B4E4E"/>
    <w:rsid w:val="4F4F5595"/>
    <w:rsid w:val="4F52070D"/>
    <w:rsid w:val="4F557DFC"/>
    <w:rsid w:val="4F56773E"/>
    <w:rsid w:val="4F59036D"/>
    <w:rsid w:val="4F5B2757"/>
    <w:rsid w:val="4F5B3FBF"/>
    <w:rsid w:val="4F5C60C4"/>
    <w:rsid w:val="4F5D327A"/>
    <w:rsid w:val="4F5E2CF1"/>
    <w:rsid w:val="4F5F1CC0"/>
    <w:rsid w:val="4F5F268B"/>
    <w:rsid w:val="4F605A9E"/>
    <w:rsid w:val="4F627D4D"/>
    <w:rsid w:val="4F653901"/>
    <w:rsid w:val="4F664D8D"/>
    <w:rsid w:val="4F6E38A3"/>
    <w:rsid w:val="4F6E7709"/>
    <w:rsid w:val="4F70216C"/>
    <w:rsid w:val="4F7059DB"/>
    <w:rsid w:val="4F7202A3"/>
    <w:rsid w:val="4F730C8F"/>
    <w:rsid w:val="4F742BB5"/>
    <w:rsid w:val="4F774D2A"/>
    <w:rsid w:val="4F785252"/>
    <w:rsid w:val="4F7920F5"/>
    <w:rsid w:val="4F7A345D"/>
    <w:rsid w:val="4F7C03AE"/>
    <w:rsid w:val="4F7C4C5B"/>
    <w:rsid w:val="4F7D5194"/>
    <w:rsid w:val="4F7E4634"/>
    <w:rsid w:val="4F7F6133"/>
    <w:rsid w:val="4F8047B3"/>
    <w:rsid w:val="4F8473B4"/>
    <w:rsid w:val="4F87689D"/>
    <w:rsid w:val="4F882E85"/>
    <w:rsid w:val="4F8B27D7"/>
    <w:rsid w:val="4F8B6517"/>
    <w:rsid w:val="4F8C5B4E"/>
    <w:rsid w:val="4F8E3CEC"/>
    <w:rsid w:val="4F8F6074"/>
    <w:rsid w:val="4F904ACA"/>
    <w:rsid w:val="4F9068FF"/>
    <w:rsid w:val="4F911AB0"/>
    <w:rsid w:val="4F915076"/>
    <w:rsid w:val="4F916389"/>
    <w:rsid w:val="4F931D98"/>
    <w:rsid w:val="4F935D06"/>
    <w:rsid w:val="4F935DB3"/>
    <w:rsid w:val="4F9546B8"/>
    <w:rsid w:val="4F9557B1"/>
    <w:rsid w:val="4F96393F"/>
    <w:rsid w:val="4F97316B"/>
    <w:rsid w:val="4F975042"/>
    <w:rsid w:val="4F9A6A77"/>
    <w:rsid w:val="4F9B0B7E"/>
    <w:rsid w:val="4F9B0E3E"/>
    <w:rsid w:val="4F9D4F14"/>
    <w:rsid w:val="4F9F74C9"/>
    <w:rsid w:val="4FA10D6A"/>
    <w:rsid w:val="4FA5714D"/>
    <w:rsid w:val="4FA84E3D"/>
    <w:rsid w:val="4FA94338"/>
    <w:rsid w:val="4FA9688F"/>
    <w:rsid w:val="4FAA0EEE"/>
    <w:rsid w:val="4FAB5B28"/>
    <w:rsid w:val="4FAD217C"/>
    <w:rsid w:val="4FAE464E"/>
    <w:rsid w:val="4FAF1589"/>
    <w:rsid w:val="4FB36D83"/>
    <w:rsid w:val="4FB67C40"/>
    <w:rsid w:val="4FB77626"/>
    <w:rsid w:val="4FBD415E"/>
    <w:rsid w:val="4FC2035A"/>
    <w:rsid w:val="4FC303CA"/>
    <w:rsid w:val="4FC30865"/>
    <w:rsid w:val="4FC6574E"/>
    <w:rsid w:val="4FC6615C"/>
    <w:rsid w:val="4FC826EE"/>
    <w:rsid w:val="4FC92992"/>
    <w:rsid w:val="4FCA1AAC"/>
    <w:rsid w:val="4FCC5FC7"/>
    <w:rsid w:val="4FCD025E"/>
    <w:rsid w:val="4FCF0F0E"/>
    <w:rsid w:val="4FCF3F3D"/>
    <w:rsid w:val="4FD26A9A"/>
    <w:rsid w:val="4FD37327"/>
    <w:rsid w:val="4FD37CF1"/>
    <w:rsid w:val="4FD50A4A"/>
    <w:rsid w:val="4FD734AE"/>
    <w:rsid w:val="4FD77A59"/>
    <w:rsid w:val="4FD95527"/>
    <w:rsid w:val="4FDB7DF7"/>
    <w:rsid w:val="4FDC1830"/>
    <w:rsid w:val="4FDC6C5E"/>
    <w:rsid w:val="4FE13ED0"/>
    <w:rsid w:val="4FE227E5"/>
    <w:rsid w:val="4FE26178"/>
    <w:rsid w:val="4FE541D9"/>
    <w:rsid w:val="4FF15703"/>
    <w:rsid w:val="4FF45101"/>
    <w:rsid w:val="4FF722EA"/>
    <w:rsid w:val="4FF9048D"/>
    <w:rsid w:val="4FF95F9D"/>
    <w:rsid w:val="4FFA0C40"/>
    <w:rsid w:val="4FFA4467"/>
    <w:rsid w:val="4FFA7541"/>
    <w:rsid w:val="4FFB3F5F"/>
    <w:rsid w:val="4FFE45C8"/>
    <w:rsid w:val="4FFF1B96"/>
    <w:rsid w:val="500215AC"/>
    <w:rsid w:val="50046C88"/>
    <w:rsid w:val="500813C9"/>
    <w:rsid w:val="50084B0B"/>
    <w:rsid w:val="500B2E93"/>
    <w:rsid w:val="500D01C9"/>
    <w:rsid w:val="500E2C9F"/>
    <w:rsid w:val="500E4123"/>
    <w:rsid w:val="500E799A"/>
    <w:rsid w:val="501121C6"/>
    <w:rsid w:val="50131FDF"/>
    <w:rsid w:val="50155B18"/>
    <w:rsid w:val="501A00D5"/>
    <w:rsid w:val="501B4454"/>
    <w:rsid w:val="501B5622"/>
    <w:rsid w:val="501B65A4"/>
    <w:rsid w:val="501C0245"/>
    <w:rsid w:val="501C2E4B"/>
    <w:rsid w:val="501D51BA"/>
    <w:rsid w:val="50200BBB"/>
    <w:rsid w:val="502010DC"/>
    <w:rsid w:val="5021510C"/>
    <w:rsid w:val="50221137"/>
    <w:rsid w:val="502225A5"/>
    <w:rsid w:val="50227974"/>
    <w:rsid w:val="5023738E"/>
    <w:rsid w:val="50242914"/>
    <w:rsid w:val="50270EE8"/>
    <w:rsid w:val="502913AD"/>
    <w:rsid w:val="502B097E"/>
    <w:rsid w:val="502C4909"/>
    <w:rsid w:val="502E01C6"/>
    <w:rsid w:val="502F3B2A"/>
    <w:rsid w:val="50302091"/>
    <w:rsid w:val="50330E07"/>
    <w:rsid w:val="503647C2"/>
    <w:rsid w:val="50376EC6"/>
    <w:rsid w:val="503774FB"/>
    <w:rsid w:val="503B6807"/>
    <w:rsid w:val="503D706C"/>
    <w:rsid w:val="503E7335"/>
    <w:rsid w:val="503F179B"/>
    <w:rsid w:val="503F5452"/>
    <w:rsid w:val="5040632F"/>
    <w:rsid w:val="50421E88"/>
    <w:rsid w:val="50494485"/>
    <w:rsid w:val="504B1112"/>
    <w:rsid w:val="504C24EF"/>
    <w:rsid w:val="504D6E60"/>
    <w:rsid w:val="50503F3D"/>
    <w:rsid w:val="50504B79"/>
    <w:rsid w:val="50516971"/>
    <w:rsid w:val="50543BAA"/>
    <w:rsid w:val="50552F98"/>
    <w:rsid w:val="505553D8"/>
    <w:rsid w:val="505904D2"/>
    <w:rsid w:val="505B7A45"/>
    <w:rsid w:val="505D43B3"/>
    <w:rsid w:val="505D5A3A"/>
    <w:rsid w:val="5064437E"/>
    <w:rsid w:val="50670B79"/>
    <w:rsid w:val="50680F48"/>
    <w:rsid w:val="50684461"/>
    <w:rsid w:val="506B3CF0"/>
    <w:rsid w:val="506B629E"/>
    <w:rsid w:val="506E2BAA"/>
    <w:rsid w:val="506E4842"/>
    <w:rsid w:val="506F3FBA"/>
    <w:rsid w:val="50730C6C"/>
    <w:rsid w:val="507332B9"/>
    <w:rsid w:val="50737E4D"/>
    <w:rsid w:val="50760A09"/>
    <w:rsid w:val="50770EDD"/>
    <w:rsid w:val="507927F8"/>
    <w:rsid w:val="50794683"/>
    <w:rsid w:val="507C08CC"/>
    <w:rsid w:val="507C5198"/>
    <w:rsid w:val="507E2C38"/>
    <w:rsid w:val="507E5154"/>
    <w:rsid w:val="507F3C22"/>
    <w:rsid w:val="507F7447"/>
    <w:rsid w:val="50802D19"/>
    <w:rsid w:val="5082405F"/>
    <w:rsid w:val="508242CB"/>
    <w:rsid w:val="508265B9"/>
    <w:rsid w:val="50836AB2"/>
    <w:rsid w:val="50837671"/>
    <w:rsid w:val="5084297B"/>
    <w:rsid w:val="50846EEC"/>
    <w:rsid w:val="50851467"/>
    <w:rsid w:val="50874A9F"/>
    <w:rsid w:val="5087769A"/>
    <w:rsid w:val="508966EB"/>
    <w:rsid w:val="508A2648"/>
    <w:rsid w:val="508A4245"/>
    <w:rsid w:val="508B553B"/>
    <w:rsid w:val="508E2994"/>
    <w:rsid w:val="508F37C7"/>
    <w:rsid w:val="50900C35"/>
    <w:rsid w:val="509137C0"/>
    <w:rsid w:val="50961897"/>
    <w:rsid w:val="50992D63"/>
    <w:rsid w:val="509B0C94"/>
    <w:rsid w:val="509C73BC"/>
    <w:rsid w:val="509D40B0"/>
    <w:rsid w:val="50A25DA2"/>
    <w:rsid w:val="50A43736"/>
    <w:rsid w:val="50A8331A"/>
    <w:rsid w:val="50A83E3C"/>
    <w:rsid w:val="50A87C52"/>
    <w:rsid w:val="50AA0BBB"/>
    <w:rsid w:val="50AB13FE"/>
    <w:rsid w:val="50AD7D6B"/>
    <w:rsid w:val="50AE4332"/>
    <w:rsid w:val="50AF2C0A"/>
    <w:rsid w:val="50AF69A4"/>
    <w:rsid w:val="50B11610"/>
    <w:rsid w:val="50B208C0"/>
    <w:rsid w:val="50B55AE9"/>
    <w:rsid w:val="50B602DF"/>
    <w:rsid w:val="50B949AB"/>
    <w:rsid w:val="50B96EDE"/>
    <w:rsid w:val="50BA4948"/>
    <w:rsid w:val="50BD2F74"/>
    <w:rsid w:val="50BF67FC"/>
    <w:rsid w:val="50C0062B"/>
    <w:rsid w:val="50C15280"/>
    <w:rsid w:val="50C257E4"/>
    <w:rsid w:val="50C30590"/>
    <w:rsid w:val="50C42EB7"/>
    <w:rsid w:val="50C44A4E"/>
    <w:rsid w:val="50C47A99"/>
    <w:rsid w:val="50C85871"/>
    <w:rsid w:val="50C95109"/>
    <w:rsid w:val="50CA4C23"/>
    <w:rsid w:val="50CB4FD4"/>
    <w:rsid w:val="50D32CB2"/>
    <w:rsid w:val="50D35E73"/>
    <w:rsid w:val="50D362F8"/>
    <w:rsid w:val="50D70B45"/>
    <w:rsid w:val="50D72306"/>
    <w:rsid w:val="50D86CBA"/>
    <w:rsid w:val="50DB2F31"/>
    <w:rsid w:val="50DB673C"/>
    <w:rsid w:val="50DB7071"/>
    <w:rsid w:val="50DC0779"/>
    <w:rsid w:val="50DC40D6"/>
    <w:rsid w:val="50DD683F"/>
    <w:rsid w:val="50DE5351"/>
    <w:rsid w:val="50E3031C"/>
    <w:rsid w:val="50E35735"/>
    <w:rsid w:val="50E710F4"/>
    <w:rsid w:val="50E7389E"/>
    <w:rsid w:val="50E82B59"/>
    <w:rsid w:val="50E843EB"/>
    <w:rsid w:val="50E86F48"/>
    <w:rsid w:val="50E96F0D"/>
    <w:rsid w:val="50EA3BDF"/>
    <w:rsid w:val="50EF0E41"/>
    <w:rsid w:val="50EF1300"/>
    <w:rsid w:val="50F27877"/>
    <w:rsid w:val="50F34A0C"/>
    <w:rsid w:val="50F47FA9"/>
    <w:rsid w:val="50F5642C"/>
    <w:rsid w:val="50F820A5"/>
    <w:rsid w:val="50FA6481"/>
    <w:rsid w:val="5100468C"/>
    <w:rsid w:val="510239CF"/>
    <w:rsid w:val="5102698B"/>
    <w:rsid w:val="51041485"/>
    <w:rsid w:val="5108371A"/>
    <w:rsid w:val="51090FC4"/>
    <w:rsid w:val="51091818"/>
    <w:rsid w:val="51096A07"/>
    <w:rsid w:val="510A030C"/>
    <w:rsid w:val="510A78AC"/>
    <w:rsid w:val="510B2144"/>
    <w:rsid w:val="510C0078"/>
    <w:rsid w:val="510D56B1"/>
    <w:rsid w:val="510E749A"/>
    <w:rsid w:val="510F6380"/>
    <w:rsid w:val="5112662D"/>
    <w:rsid w:val="51134371"/>
    <w:rsid w:val="51135082"/>
    <w:rsid w:val="51140F21"/>
    <w:rsid w:val="51141886"/>
    <w:rsid w:val="5115450F"/>
    <w:rsid w:val="51155C9C"/>
    <w:rsid w:val="51156C8E"/>
    <w:rsid w:val="51192ADB"/>
    <w:rsid w:val="51196722"/>
    <w:rsid w:val="511B268A"/>
    <w:rsid w:val="511D333E"/>
    <w:rsid w:val="511E6151"/>
    <w:rsid w:val="511F549C"/>
    <w:rsid w:val="511F622F"/>
    <w:rsid w:val="511F7261"/>
    <w:rsid w:val="512028AE"/>
    <w:rsid w:val="51204BF5"/>
    <w:rsid w:val="51236D8B"/>
    <w:rsid w:val="51256ED1"/>
    <w:rsid w:val="51260CB1"/>
    <w:rsid w:val="512638E7"/>
    <w:rsid w:val="51292BA8"/>
    <w:rsid w:val="512B2F7E"/>
    <w:rsid w:val="512D07DF"/>
    <w:rsid w:val="512D28CA"/>
    <w:rsid w:val="512D5C94"/>
    <w:rsid w:val="512E0382"/>
    <w:rsid w:val="51305DA8"/>
    <w:rsid w:val="513826CC"/>
    <w:rsid w:val="51390CCD"/>
    <w:rsid w:val="513961A0"/>
    <w:rsid w:val="513C16C5"/>
    <w:rsid w:val="513E23FB"/>
    <w:rsid w:val="513E6B66"/>
    <w:rsid w:val="51405BF0"/>
    <w:rsid w:val="51406C99"/>
    <w:rsid w:val="5141757C"/>
    <w:rsid w:val="5142391B"/>
    <w:rsid w:val="514560D4"/>
    <w:rsid w:val="5145627A"/>
    <w:rsid w:val="51460923"/>
    <w:rsid w:val="514642D3"/>
    <w:rsid w:val="51467D7D"/>
    <w:rsid w:val="51471960"/>
    <w:rsid w:val="51497C41"/>
    <w:rsid w:val="514A5B46"/>
    <w:rsid w:val="514C1DA4"/>
    <w:rsid w:val="514D5885"/>
    <w:rsid w:val="514E1C72"/>
    <w:rsid w:val="51513B5B"/>
    <w:rsid w:val="51527D88"/>
    <w:rsid w:val="5158194D"/>
    <w:rsid w:val="51584C48"/>
    <w:rsid w:val="515A706C"/>
    <w:rsid w:val="515C5460"/>
    <w:rsid w:val="515D3CDE"/>
    <w:rsid w:val="515D6D68"/>
    <w:rsid w:val="515D79CC"/>
    <w:rsid w:val="51625E84"/>
    <w:rsid w:val="51642A17"/>
    <w:rsid w:val="51671605"/>
    <w:rsid w:val="51715B7C"/>
    <w:rsid w:val="51747296"/>
    <w:rsid w:val="51757FB3"/>
    <w:rsid w:val="5177663E"/>
    <w:rsid w:val="51777039"/>
    <w:rsid w:val="518A467D"/>
    <w:rsid w:val="518C262D"/>
    <w:rsid w:val="518D2A50"/>
    <w:rsid w:val="518D4570"/>
    <w:rsid w:val="518D6001"/>
    <w:rsid w:val="51901B3F"/>
    <w:rsid w:val="519D3A7B"/>
    <w:rsid w:val="51A04735"/>
    <w:rsid w:val="51A62A52"/>
    <w:rsid w:val="51AD20AF"/>
    <w:rsid w:val="51AD2471"/>
    <w:rsid w:val="51AE4A01"/>
    <w:rsid w:val="51AF6769"/>
    <w:rsid w:val="51AF7922"/>
    <w:rsid w:val="51B12162"/>
    <w:rsid w:val="51B23397"/>
    <w:rsid w:val="51B3746E"/>
    <w:rsid w:val="51B4153B"/>
    <w:rsid w:val="51B473BA"/>
    <w:rsid w:val="51B553A2"/>
    <w:rsid w:val="51B628FC"/>
    <w:rsid w:val="51B64D85"/>
    <w:rsid w:val="51BA3735"/>
    <w:rsid w:val="51BC0CEF"/>
    <w:rsid w:val="51BD2F73"/>
    <w:rsid w:val="51BD3CC0"/>
    <w:rsid w:val="51BD4B44"/>
    <w:rsid w:val="51BF46B7"/>
    <w:rsid w:val="51C17AD3"/>
    <w:rsid w:val="51C25944"/>
    <w:rsid w:val="51C52E85"/>
    <w:rsid w:val="51C53773"/>
    <w:rsid w:val="51C62A9D"/>
    <w:rsid w:val="51C633DE"/>
    <w:rsid w:val="51C8693B"/>
    <w:rsid w:val="51CA5D17"/>
    <w:rsid w:val="51CB7D2D"/>
    <w:rsid w:val="51CE4A22"/>
    <w:rsid w:val="51D24ACD"/>
    <w:rsid w:val="51D3230F"/>
    <w:rsid w:val="51D37D89"/>
    <w:rsid w:val="51D42012"/>
    <w:rsid w:val="51DA1DCA"/>
    <w:rsid w:val="51E24D54"/>
    <w:rsid w:val="51E42252"/>
    <w:rsid w:val="51E455FB"/>
    <w:rsid w:val="51E606C5"/>
    <w:rsid w:val="51E776B3"/>
    <w:rsid w:val="51EB0624"/>
    <w:rsid w:val="51EB5482"/>
    <w:rsid w:val="51EC1799"/>
    <w:rsid w:val="51EE17D2"/>
    <w:rsid w:val="51EF547B"/>
    <w:rsid w:val="51F11E27"/>
    <w:rsid w:val="51F72944"/>
    <w:rsid w:val="51F808B0"/>
    <w:rsid w:val="51FA0B54"/>
    <w:rsid w:val="51FB6AD3"/>
    <w:rsid w:val="51FC11B9"/>
    <w:rsid w:val="5201558B"/>
    <w:rsid w:val="520211D5"/>
    <w:rsid w:val="52026790"/>
    <w:rsid w:val="520336EC"/>
    <w:rsid w:val="5208172A"/>
    <w:rsid w:val="520E2667"/>
    <w:rsid w:val="520E5F07"/>
    <w:rsid w:val="521137C6"/>
    <w:rsid w:val="52127AF2"/>
    <w:rsid w:val="521346F8"/>
    <w:rsid w:val="5214754D"/>
    <w:rsid w:val="52173D07"/>
    <w:rsid w:val="521814D9"/>
    <w:rsid w:val="521A7B51"/>
    <w:rsid w:val="521C574B"/>
    <w:rsid w:val="521E0526"/>
    <w:rsid w:val="5220278E"/>
    <w:rsid w:val="52246974"/>
    <w:rsid w:val="522A3A93"/>
    <w:rsid w:val="522E7463"/>
    <w:rsid w:val="52301FDB"/>
    <w:rsid w:val="523306C1"/>
    <w:rsid w:val="5233095B"/>
    <w:rsid w:val="52347B5D"/>
    <w:rsid w:val="52391EDE"/>
    <w:rsid w:val="523B1BC8"/>
    <w:rsid w:val="523D091C"/>
    <w:rsid w:val="523D7886"/>
    <w:rsid w:val="523E229C"/>
    <w:rsid w:val="523F6D47"/>
    <w:rsid w:val="52475BC0"/>
    <w:rsid w:val="52496940"/>
    <w:rsid w:val="5249746A"/>
    <w:rsid w:val="524F3F5B"/>
    <w:rsid w:val="524F6416"/>
    <w:rsid w:val="525065DB"/>
    <w:rsid w:val="52535B1B"/>
    <w:rsid w:val="52550AB0"/>
    <w:rsid w:val="52560E91"/>
    <w:rsid w:val="52577019"/>
    <w:rsid w:val="525811FF"/>
    <w:rsid w:val="525C292E"/>
    <w:rsid w:val="525D2124"/>
    <w:rsid w:val="525E1E9F"/>
    <w:rsid w:val="526502A6"/>
    <w:rsid w:val="52671186"/>
    <w:rsid w:val="526E5780"/>
    <w:rsid w:val="52701205"/>
    <w:rsid w:val="52702863"/>
    <w:rsid w:val="52711B83"/>
    <w:rsid w:val="52712E30"/>
    <w:rsid w:val="527205DE"/>
    <w:rsid w:val="52722DC6"/>
    <w:rsid w:val="527240F6"/>
    <w:rsid w:val="52732AAC"/>
    <w:rsid w:val="527626C7"/>
    <w:rsid w:val="52765551"/>
    <w:rsid w:val="52766584"/>
    <w:rsid w:val="52786837"/>
    <w:rsid w:val="52787060"/>
    <w:rsid w:val="527A4064"/>
    <w:rsid w:val="527B0DB6"/>
    <w:rsid w:val="527B1583"/>
    <w:rsid w:val="527C1C94"/>
    <w:rsid w:val="527E1B8F"/>
    <w:rsid w:val="527E2C0E"/>
    <w:rsid w:val="527E4328"/>
    <w:rsid w:val="527E47B8"/>
    <w:rsid w:val="527E4B80"/>
    <w:rsid w:val="528011DF"/>
    <w:rsid w:val="5286013A"/>
    <w:rsid w:val="52873A65"/>
    <w:rsid w:val="528A18B4"/>
    <w:rsid w:val="528E6D02"/>
    <w:rsid w:val="528F1004"/>
    <w:rsid w:val="52910F1A"/>
    <w:rsid w:val="52923276"/>
    <w:rsid w:val="52974654"/>
    <w:rsid w:val="5298112B"/>
    <w:rsid w:val="52991A56"/>
    <w:rsid w:val="529A5AF7"/>
    <w:rsid w:val="529E2ADD"/>
    <w:rsid w:val="529E717A"/>
    <w:rsid w:val="52A31224"/>
    <w:rsid w:val="52A34D7D"/>
    <w:rsid w:val="52A539C7"/>
    <w:rsid w:val="52AC3E38"/>
    <w:rsid w:val="52B23527"/>
    <w:rsid w:val="52B34A5E"/>
    <w:rsid w:val="52B414BE"/>
    <w:rsid w:val="52B45F1C"/>
    <w:rsid w:val="52B51DF2"/>
    <w:rsid w:val="52B82E4D"/>
    <w:rsid w:val="52BE1B32"/>
    <w:rsid w:val="52C3445A"/>
    <w:rsid w:val="52C37649"/>
    <w:rsid w:val="52C704DB"/>
    <w:rsid w:val="52C71089"/>
    <w:rsid w:val="52C91B02"/>
    <w:rsid w:val="52CA4F8C"/>
    <w:rsid w:val="52CD23EA"/>
    <w:rsid w:val="52CD4868"/>
    <w:rsid w:val="52CE6BCF"/>
    <w:rsid w:val="52D20775"/>
    <w:rsid w:val="52D40862"/>
    <w:rsid w:val="52D40928"/>
    <w:rsid w:val="52D641E4"/>
    <w:rsid w:val="52D64A54"/>
    <w:rsid w:val="52D90C7D"/>
    <w:rsid w:val="52D926B9"/>
    <w:rsid w:val="52D97E23"/>
    <w:rsid w:val="52DC7743"/>
    <w:rsid w:val="52DE73F3"/>
    <w:rsid w:val="52DF0F37"/>
    <w:rsid w:val="52DF3BB7"/>
    <w:rsid w:val="52E0085F"/>
    <w:rsid w:val="52E502FE"/>
    <w:rsid w:val="52E54B47"/>
    <w:rsid w:val="52E61996"/>
    <w:rsid w:val="52EC58D0"/>
    <w:rsid w:val="52F177D9"/>
    <w:rsid w:val="52F217EB"/>
    <w:rsid w:val="52F30CD9"/>
    <w:rsid w:val="52F469B0"/>
    <w:rsid w:val="52F71FF0"/>
    <w:rsid w:val="52F95BC1"/>
    <w:rsid w:val="52F96943"/>
    <w:rsid w:val="52FB779E"/>
    <w:rsid w:val="52FC0B53"/>
    <w:rsid w:val="52FC3988"/>
    <w:rsid w:val="530767A9"/>
    <w:rsid w:val="530C4175"/>
    <w:rsid w:val="530C6D14"/>
    <w:rsid w:val="530C6FF9"/>
    <w:rsid w:val="53107E04"/>
    <w:rsid w:val="531243DE"/>
    <w:rsid w:val="5313176A"/>
    <w:rsid w:val="53131AA1"/>
    <w:rsid w:val="53132750"/>
    <w:rsid w:val="53170EAB"/>
    <w:rsid w:val="53181C43"/>
    <w:rsid w:val="531B66D7"/>
    <w:rsid w:val="531C70D8"/>
    <w:rsid w:val="531D0547"/>
    <w:rsid w:val="53235494"/>
    <w:rsid w:val="53241A36"/>
    <w:rsid w:val="532525D8"/>
    <w:rsid w:val="53260B4E"/>
    <w:rsid w:val="53294325"/>
    <w:rsid w:val="532A0EA5"/>
    <w:rsid w:val="532B4320"/>
    <w:rsid w:val="532B5EA8"/>
    <w:rsid w:val="532C485E"/>
    <w:rsid w:val="532D0A1F"/>
    <w:rsid w:val="532D0B94"/>
    <w:rsid w:val="532E74D5"/>
    <w:rsid w:val="53332F21"/>
    <w:rsid w:val="533334B3"/>
    <w:rsid w:val="53334FBC"/>
    <w:rsid w:val="53357836"/>
    <w:rsid w:val="533A1932"/>
    <w:rsid w:val="533B53FC"/>
    <w:rsid w:val="533E4686"/>
    <w:rsid w:val="53407655"/>
    <w:rsid w:val="53440D14"/>
    <w:rsid w:val="53453925"/>
    <w:rsid w:val="534650C3"/>
    <w:rsid w:val="53466E58"/>
    <w:rsid w:val="53481B28"/>
    <w:rsid w:val="53484132"/>
    <w:rsid w:val="534A40A3"/>
    <w:rsid w:val="534C776C"/>
    <w:rsid w:val="534D5AA3"/>
    <w:rsid w:val="534E316F"/>
    <w:rsid w:val="534F2E9D"/>
    <w:rsid w:val="534F65FB"/>
    <w:rsid w:val="53512C23"/>
    <w:rsid w:val="53516A35"/>
    <w:rsid w:val="53526042"/>
    <w:rsid w:val="53530EDE"/>
    <w:rsid w:val="53544A61"/>
    <w:rsid w:val="53566386"/>
    <w:rsid w:val="53576078"/>
    <w:rsid w:val="5359436D"/>
    <w:rsid w:val="535D5A5F"/>
    <w:rsid w:val="536046C8"/>
    <w:rsid w:val="53606AFE"/>
    <w:rsid w:val="53626C42"/>
    <w:rsid w:val="5364441C"/>
    <w:rsid w:val="53660E79"/>
    <w:rsid w:val="536B1559"/>
    <w:rsid w:val="536C16DE"/>
    <w:rsid w:val="536D08C3"/>
    <w:rsid w:val="536D5343"/>
    <w:rsid w:val="53717D33"/>
    <w:rsid w:val="53730CBA"/>
    <w:rsid w:val="537349E5"/>
    <w:rsid w:val="537830F1"/>
    <w:rsid w:val="537B042D"/>
    <w:rsid w:val="537B5FB5"/>
    <w:rsid w:val="537D6307"/>
    <w:rsid w:val="537D76F4"/>
    <w:rsid w:val="537F05F6"/>
    <w:rsid w:val="537F26EE"/>
    <w:rsid w:val="53815EF2"/>
    <w:rsid w:val="53867659"/>
    <w:rsid w:val="53870BE5"/>
    <w:rsid w:val="538874D7"/>
    <w:rsid w:val="538A173F"/>
    <w:rsid w:val="538A1782"/>
    <w:rsid w:val="538A2B26"/>
    <w:rsid w:val="538A3270"/>
    <w:rsid w:val="538A57E4"/>
    <w:rsid w:val="538C76D7"/>
    <w:rsid w:val="538E23F3"/>
    <w:rsid w:val="538E6566"/>
    <w:rsid w:val="538F404A"/>
    <w:rsid w:val="53915DD7"/>
    <w:rsid w:val="53922B41"/>
    <w:rsid w:val="539624CB"/>
    <w:rsid w:val="539B775A"/>
    <w:rsid w:val="539D0BA0"/>
    <w:rsid w:val="539E3BC3"/>
    <w:rsid w:val="539E4F17"/>
    <w:rsid w:val="539E67CA"/>
    <w:rsid w:val="539F5C13"/>
    <w:rsid w:val="53A01B5F"/>
    <w:rsid w:val="53A53360"/>
    <w:rsid w:val="53A63016"/>
    <w:rsid w:val="53A72D1A"/>
    <w:rsid w:val="53A91E12"/>
    <w:rsid w:val="53AB5B65"/>
    <w:rsid w:val="53AC101B"/>
    <w:rsid w:val="53AD554A"/>
    <w:rsid w:val="53B03BED"/>
    <w:rsid w:val="53B07C47"/>
    <w:rsid w:val="53B523AC"/>
    <w:rsid w:val="53B536AD"/>
    <w:rsid w:val="53B640EF"/>
    <w:rsid w:val="53B7650D"/>
    <w:rsid w:val="53B91C17"/>
    <w:rsid w:val="53BA6DD7"/>
    <w:rsid w:val="53BC77B6"/>
    <w:rsid w:val="53BE6A0F"/>
    <w:rsid w:val="53BF3BA1"/>
    <w:rsid w:val="53C07FC2"/>
    <w:rsid w:val="53C54E54"/>
    <w:rsid w:val="53C55B82"/>
    <w:rsid w:val="53CA333D"/>
    <w:rsid w:val="53CB4546"/>
    <w:rsid w:val="53D02AF3"/>
    <w:rsid w:val="53D20784"/>
    <w:rsid w:val="53D21746"/>
    <w:rsid w:val="53D43B1F"/>
    <w:rsid w:val="53D627B1"/>
    <w:rsid w:val="53D75E0C"/>
    <w:rsid w:val="53D96ADF"/>
    <w:rsid w:val="53DB777B"/>
    <w:rsid w:val="53DD475A"/>
    <w:rsid w:val="53E06D47"/>
    <w:rsid w:val="53E143A2"/>
    <w:rsid w:val="53E413E3"/>
    <w:rsid w:val="53E446D0"/>
    <w:rsid w:val="53E45405"/>
    <w:rsid w:val="53E87AD3"/>
    <w:rsid w:val="53E94AE6"/>
    <w:rsid w:val="53E96499"/>
    <w:rsid w:val="53E97F3D"/>
    <w:rsid w:val="53EB4599"/>
    <w:rsid w:val="53EF1BAF"/>
    <w:rsid w:val="53F029B2"/>
    <w:rsid w:val="53F10EEC"/>
    <w:rsid w:val="53F4240F"/>
    <w:rsid w:val="53F76029"/>
    <w:rsid w:val="53F80F53"/>
    <w:rsid w:val="53FD6F03"/>
    <w:rsid w:val="53FE3200"/>
    <w:rsid w:val="53FF11E1"/>
    <w:rsid w:val="53FF2DD6"/>
    <w:rsid w:val="540011CF"/>
    <w:rsid w:val="54001CA7"/>
    <w:rsid w:val="54030542"/>
    <w:rsid w:val="5404209D"/>
    <w:rsid w:val="54055FF0"/>
    <w:rsid w:val="54062131"/>
    <w:rsid w:val="54076FA8"/>
    <w:rsid w:val="5408214D"/>
    <w:rsid w:val="540A3341"/>
    <w:rsid w:val="540F50EC"/>
    <w:rsid w:val="541164F5"/>
    <w:rsid w:val="541478DD"/>
    <w:rsid w:val="541804AE"/>
    <w:rsid w:val="54181F62"/>
    <w:rsid w:val="541A0AB8"/>
    <w:rsid w:val="541D7B64"/>
    <w:rsid w:val="5420516D"/>
    <w:rsid w:val="54207DFF"/>
    <w:rsid w:val="54213F19"/>
    <w:rsid w:val="54217A94"/>
    <w:rsid w:val="54217F0E"/>
    <w:rsid w:val="542261C2"/>
    <w:rsid w:val="542B0292"/>
    <w:rsid w:val="542B3D56"/>
    <w:rsid w:val="542E20A1"/>
    <w:rsid w:val="542F240F"/>
    <w:rsid w:val="54314FC7"/>
    <w:rsid w:val="5432723B"/>
    <w:rsid w:val="543669E6"/>
    <w:rsid w:val="543A19DC"/>
    <w:rsid w:val="543B1DE7"/>
    <w:rsid w:val="54424EBB"/>
    <w:rsid w:val="54431B4D"/>
    <w:rsid w:val="54432C4F"/>
    <w:rsid w:val="54441548"/>
    <w:rsid w:val="544469BD"/>
    <w:rsid w:val="54491C5C"/>
    <w:rsid w:val="54493FFE"/>
    <w:rsid w:val="544A21CD"/>
    <w:rsid w:val="544B05CA"/>
    <w:rsid w:val="544B3026"/>
    <w:rsid w:val="544B5CC5"/>
    <w:rsid w:val="544C4B35"/>
    <w:rsid w:val="544C71CB"/>
    <w:rsid w:val="544D7E73"/>
    <w:rsid w:val="544E3D13"/>
    <w:rsid w:val="544E6CB0"/>
    <w:rsid w:val="545069F6"/>
    <w:rsid w:val="54506E3C"/>
    <w:rsid w:val="54510162"/>
    <w:rsid w:val="545251E6"/>
    <w:rsid w:val="54535206"/>
    <w:rsid w:val="54557EFD"/>
    <w:rsid w:val="54576A98"/>
    <w:rsid w:val="54596D50"/>
    <w:rsid w:val="545C404C"/>
    <w:rsid w:val="545D7154"/>
    <w:rsid w:val="54622AF0"/>
    <w:rsid w:val="5463615A"/>
    <w:rsid w:val="54640F9C"/>
    <w:rsid w:val="54644477"/>
    <w:rsid w:val="546572AB"/>
    <w:rsid w:val="54695E7C"/>
    <w:rsid w:val="546A79B6"/>
    <w:rsid w:val="546B123D"/>
    <w:rsid w:val="546B507F"/>
    <w:rsid w:val="546E4521"/>
    <w:rsid w:val="546F0766"/>
    <w:rsid w:val="54740F64"/>
    <w:rsid w:val="54796ED8"/>
    <w:rsid w:val="547A0B25"/>
    <w:rsid w:val="547A3963"/>
    <w:rsid w:val="547C0B40"/>
    <w:rsid w:val="547D2189"/>
    <w:rsid w:val="547E083A"/>
    <w:rsid w:val="548146C1"/>
    <w:rsid w:val="54824BD6"/>
    <w:rsid w:val="548402B9"/>
    <w:rsid w:val="548578D5"/>
    <w:rsid w:val="5487127B"/>
    <w:rsid w:val="548A0923"/>
    <w:rsid w:val="548A697B"/>
    <w:rsid w:val="548B6FF5"/>
    <w:rsid w:val="548E3E04"/>
    <w:rsid w:val="54924DC3"/>
    <w:rsid w:val="54951429"/>
    <w:rsid w:val="54981AE3"/>
    <w:rsid w:val="54983135"/>
    <w:rsid w:val="54983F08"/>
    <w:rsid w:val="549A5262"/>
    <w:rsid w:val="549C447C"/>
    <w:rsid w:val="549E1B87"/>
    <w:rsid w:val="549F6697"/>
    <w:rsid w:val="54A04F02"/>
    <w:rsid w:val="54A07574"/>
    <w:rsid w:val="54A3060C"/>
    <w:rsid w:val="54A334AF"/>
    <w:rsid w:val="54A35052"/>
    <w:rsid w:val="54A54525"/>
    <w:rsid w:val="54A56D0F"/>
    <w:rsid w:val="54AA6716"/>
    <w:rsid w:val="54AA6B30"/>
    <w:rsid w:val="54AC25BD"/>
    <w:rsid w:val="54B0195B"/>
    <w:rsid w:val="54B41A81"/>
    <w:rsid w:val="54B41F51"/>
    <w:rsid w:val="54B64D05"/>
    <w:rsid w:val="54B749FD"/>
    <w:rsid w:val="54B8045E"/>
    <w:rsid w:val="54B943FC"/>
    <w:rsid w:val="54BE6CDE"/>
    <w:rsid w:val="54C8148D"/>
    <w:rsid w:val="54C961C8"/>
    <w:rsid w:val="54CC4DAB"/>
    <w:rsid w:val="54CE14D9"/>
    <w:rsid w:val="54CF033B"/>
    <w:rsid w:val="54D1062E"/>
    <w:rsid w:val="54D234C4"/>
    <w:rsid w:val="54D327B7"/>
    <w:rsid w:val="54D417B4"/>
    <w:rsid w:val="54D6169C"/>
    <w:rsid w:val="54D84582"/>
    <w:rsid w:val="54D84C3C"/>
    <w:rsid w:val="54D852D0"/>
    <w:rsid w:val="54D9308F"/>
    <w:rsid w:val="54DC0164"/>
    <w:rsid w:val="54DC60B3"/>
    <w:rsid w:val="54DF29F0"/>
    <w:rsid w:val="54E07052"/>
    <w:rsid w:val="54E3209E"/>
    <w:rsid w:val="54E362B8"/>
    <w:rsid w:val="54E364B6"/>
    <w:rsid w:val="54E42C9B"/>
    <w:rsid w:val="54E72971"/>
    <w:rsid w:val="54E9307B"/>
    <w:rsid w:val="54EC4992"/>
    <w:rsid w:val="54ED163F"/>
    <w:rsid w:val="54ED6E2B"/>
    <w:rsid w:val="54EE7675"/>
    <w:rsid w:val="54F36D43"/>
    <w:rsid w:val="54F4718D"/>
    <w:rsid w:val="54F7073E"/>
    <w:rsid w:val="54FC3895"/>
    <w:rsid w:val="55007195"/>
    <w:rsid w:val="55023E15"/>
    <w:rsid w:val="5503105E"/>
    <w:rsid w:val="55032631"/>
    <w:rsid w:val="55040389"/>
    <w:rsid w:val="550664FC"/>
    <w:rsid w:val="5509438A"/>
    <w:rsid w:val="55095D1D"/>
    <w:rsid w:val="550B6D06"/>
    <w:rsid w:val="550D74D7"/>
    <w:rsid w:val="550E23E7"/>
    <w:rsid w:val="550E586D"/>
    <w:rsid w:val="550F32B4"/>
    <w:rsid w:val="55100FFF"/>
    <w:rsid w:val="5512727A"/>
    <w:rsid w:val="55147447"/>
    <w:rsid w:val="5515189B"/>
    <w:rsid w:val="55152683"/>
    <w:rsid w:val="55160EA1"/>
    <w:rsid w:val="55190A8A"/>
    <w:rsid w:val="551A508E"/>
    <w:rsid w:val="551D2B79"/>
    <w:rsid w:val="551D6DB6"/>
    <w:rsid w:val="551D7148"/>
    <w:rsid w:val="551F1FE2"/>
    <w:rsid w:val="55205E21"/>
    <w:rsid w:val="55210198"/>
    <w:rsid w:val="55232362"/>
    <w:rsid w:val="552615F1"/>
    <w:rsid w:val="552A2503"/>
    <w:rsid w:val="552D0B62"/>
    <w:rsid w:val="552F6FDE"/>
    <w:rsid w:val="55363A90"/>
    <w:rsid w:val="55384683"/>
    <w:rsid w:val="553A7133"/>
    <w:rsid w:val="553C235D"/>
    <w:rsid w:val="553D1554"/>
    <w:rsid w:val="553D26A6"/>
    <w:rsid w:val="553D42B7"/>
    <w:rsid w:val="55412450"/>
    <w:rsid w:val="55424A65"/>
    <w:rsid w:val="55442590"/>
    <w:rsid w:val="55443A3B"/>
    <w:rsid w:val="554514AD"/>
    <w:rsid w:val="55453725"/>
    <w:rsid w:val="55455358"/>
    <w:rsid w:val="55475CFE"/>
    <w:rsid w:val="55494800"/>
    <w:rsid w:val="554B7378"/>
    <w:rsid w:val="554C1DF7"/>
    <w:rsid w:val="554F2109"/>
    <w:rsid w:val="555033D1"/>
    <w:rsid w:val="555321D0"/>
    <w:rsid w:val="55537C13"/>
    <w:rsid w:val="55550222"/>
    <w:rsid w:val="55570944"/>
    <w:rsid w:val="55597FCF"/>
    <w:rsid w:val="555C2BC5"/>
    <w:rsid w:val="555D00CF"/>
    <w:rsid w:val="555D6B69"/>
    <w:rsid w:val="555E43A7"/>
    <w:rsid w:val="555F2A00"/>
    <w:rsid w:val="555F42B4"/>
    <w:rsid w:val="55606B93"/>
    <w:rsid w:val="55612621"/>
    <w:rsid w:val="55634371"/>
    <w:rsid w:val="55635C8D"/>
    <w:rsid w:val="55635EAE"/>
    <w:rsid w:val="55642A53"/>
    <w:rsid w:val="55644B50"/>
    <w:rsid w:val="55647FC0"/>
    <w:rsid w:val="556519C4"/>
    <w:rsid w:val="55663257"/>
    <w:rsid w:val="55664279"/>
    <w:rsid w:val="55671B3F"/>
    <w:rsid w:val="5568645C"/>
    <w:rsid w:val="55687ADC"/>
    <w:rsid w:val="55692F78"/>
    <w:rsid w:val="556B0360"/>
    <w:rsid w:val="556C304F"/>
    <w:rsid w:val="556E06E1"/>
    <w:rsid w:val="55721074"/>
    <w:rsid w:val="55742387"/>
    <w:rsid w:val="557732B9"/>
    <w:rsid w:val="55781300"/>
    <w:rsid w:val="55784CD3"/>
    <w:rsid w:val="557A2AFF"/>
    <w:rsid w:val="557C7C27"/>
    <w:rsid w:val="557E06A2"/>
    <w:rsid w:val="557E4D30"/>
    <w:rsid w:val="557F70E7"/>
    <w:rsid w:val="55806B3C"/>
    <w:rsid w:val="55837F92"/>
    <w:rsid w:val="558462A4"/>
    <w:rsid w:val="55853CE2"/>
    <w:rsid w:val="558725A7"/>
    <w:rsid w:val="5589045F"/>
    <w:rsid w:val="55894F45"/>
    <w:rsid w:val="558B1844"/>
    <w:rsid w:val="558E4EAC"/>
    <w:rsid w:val="55906BA5"/>
    <w:rsid w:val="55916DBA"/>
    <w:rsid w:val="55947282"/>
    <w:rsid w:val="5598462F"/>
    <w:rsid w:val="55994DA4"/>
    <w:rsid w:val="55997CB0"/>
    <w:rsid w:val="559B1598"/>
    <w:rsid w:val="559D439F"/>
    <w:rsid w:val="559E4899"/>
    <w:rsid w:val="559E734A"/>
    <w:rsid w:val="55A32636"/>
    <w:rsid w:val="55A62C0B"/>
    <w:rsid w:val="55B0604A"/>
    <w:rsid w:val="55B1451A"/>
    <w:rsid w:val="55B31C7B"/>
    <w:rsid w:val="55B40679"/>
    <w:rsid w:val="55B4608A"/>
    <w:rsid w:val="55B5558C"/>
    <w:rsid w:val="55B711B8"/>
    <w:rsid w:val="55B772CA"/>
    <w:rsid w:val="55B86A6E"/>
    <w:rsid w:val="55B95B74"/>
    <w:rsid w:val="55BA0377"/>
    <w:rsid w:val="55BC4F95"/>
    <w:rsid w:val="55BC7E1F"/>
    <w:rsid w:val="55BD0D00"/>
    <w:rsid w:val="55C2525E"/>
    <w:rsid w:val="55C26FB0"/>
    <w:rsid w:val="55C321F7"/>
    <w:rsid w:val="55C363FF"/>
    <w:rsid w:val="55C417E0"/>
    <w:rsid w:val="55C44CC2"/>
    <w:rsid w:val="55C72B90"/>
    <w:rsid w:val="55C843E9"/>
    <w:rsid w:val="55C84CD4"/>
    <w:rsid w:val="55C9352A"/>
    <w:rsid w:val="55CD14FA"/>
    <w:rsid w:val="55CE6231"/>
    <w:rsid w:val="55CF456C"/>
    <w:rsid w:val="55D01021"/>
    <w:rsid w:val="55D17072"/>
    <w:rsid w:val="55D27FE4"/>
    <w:rsid w:val="55D31495"/>
    <w:rsid w:val="55DA3571"/>
    <w:rsid w:val="55DB5F1B"/>
    <w:rsid w:val="55DD121B"/>
    <w:rsid w:val="55DF0727"/>
    <w:rsid w:val="55E05131"/>
    <w:rsid w:val="55E30A51"/>
    <w:rsid w:val="55E3268B"/>
    <w:rsid w:val="55E45C2D"/>
    <w:rsid w:val="55E51051"/>
    <w:rsid w:val="55E716DD"/>
    <w:rsid w:val="55E91E21"/>
    <w:rsid w:val="55EC47AA"/>
    <w:rsid w:val="55ED0428"/>
    <w:rsid w:val="55ED408A"/>
    <w:rsid w:val="55EF60A7"/>
    <w:rsid w:val="55F21A5B"/>
    <w:rsid w:val="55F24A2F"/>
    <w:rsid w:val="55F26FBB"/>
    <w:rsid w:val="55F64C4D"/>
    <w:rsid w:val="55F70195"/>
    <w:rsid w:val="55F92E11"/>
    <w:rsid w:val="55FA60BD"/>
    <w:rsid w:val="55FB4575"/>
    <w:rsid w:val="55FC7801"/>
    <w:rsid w:val="55FE0FF6"/>
    <w:rsid w:val="56000DF2"/>
    <w:rsid w:val="560162FF"/>
    <w:rsid w:val="560233BF"/>
    <w:rsid w:val="560239CF"/>
    <w:rsid w:val="56041FF9"/>
    <w:rsid w:val="56042D9C"/>
    <w:rsid w:val="5606266D"/>
    <w:rsid w:val="560C3A1E"/>
    <w:rsid w:val="560D240D"/>
    <w:rsid w:val="560D49A9"/>
    <w:rsid w:val="560E228C"/>
    <w:rsid w:val="560E66E6"/>
    <w:rsid w:val="56106EC4"/>
    <w:rsid w:val="5612554D"/>
    <w:rsid w:val="5614217D"/>
    <w:rsid w:val="56195DB4"/>
    <w:rsid w:val="561A0E83"/>
    <w:rsid w:val="561A5B09"/>
    <w:rsid w:val="5620165E"/>
    <w:rsid w:val="5622355A"/>
    <w:rsid w:val="56225C75"/>
    <w:rsid w:val="56230DD6"/>
    <w:rsid w:val="56232291"/>
    <w:rsid w:val="562725CC"/>
    <w:rsid w:val="56283695"/>
    <w:rsid w:val="562F4691"/>
    <w:rsid w:val="562F5F1E"/>
    <w:rsid w:val="56312B3F"/>
    <w:rsid w:val="56316FB2"/>
    <w:rsid w:val="56342C96"/>
    <w:rsid w:val="563F122A"/>
    <w:rsid w:val="563F591B"/>
    <w:rsid w:val="564336AA"/>
    <w:rsid w:val="564344ED"/>
    <w:rsid w:val="564953A6"/>
    <w:rsid w:val="564A561D"/>
    <w:rsid w:val="564B5432"/>
    <w:rsid w:val="564F0B50"/>
    <w:rsid w:val="564F2A59"/>
    <w:rsid w:val="564F5663"/>
    <w:rsid w:val="56513E60"/>
    <w:rsid w:val="56535B5D"/>
    <w:rsid w:val="5654650D"/>
    <w:rsid w:val="5658623A"/>
    <w:rsid w:val="565A6333"/>
    <w:rsid w:val="565B610B"/>
    <w:rsid w:val="565B694B"/>
    <w:rsid w:val="565D0DAC"/>
    <w:rsid w:val="566338A3"/>
    <w:rsid w:val="56651310"/>
    <w:rsid w:val="56656158"/>
    <w:rsid w:val="56666517"/>
    <w:rsid w:val="56670FB2"/>
    <w:rsid w:val="566917FC"/>
    <w:rsid w:val="56695933"/>
    <w:rsid w:val="566B1AFF"/>
    <w:rsid w:val="566E53EF"/>
    <w:rsid w:val="5673292C"/>
    <w:rsid w:val="56754C16"/>
    <w:rsid w:val="56795555"/>
    <w:rsid w:val="56795E5F"/>
    <w:rsid w:val="567A1556"/>
    <w:rsid w:val="567A29FA"/>
    <w:rsid w:val="567A7144"/>
    <w:rsid w:val="567F34F1"/>
    <w:rsid w:val="56802A6E"/>
    <w:rsid w:val="56833E09"/>
    <w:rsid w:val="56835AE6"/>
    <w:rsid w:val="568840A7"/>
    <w:rsid w:val="56894219"/>
    <w:rsid w:val="568978A1"/>
    <w:rsid w:val="5691217D"/>
    <w:rsid w:val="5693493E"/>
    <w:rsid w:val="5696449E"/>
    <w:rsid w:val="569B5BA8"/>
    <w:rsid w:val="56A03C18"/>
    <w:rsid w:val="56A06BAF"/>
    <w:rsid w:val="56A1084F"/>
    <w:rsid w:val="56A35CFA"/>
    <w:rsid w:val="56A44695"/>
    <w:rsid w:val="56A629E8"/>
    <w:rsid w:val="56A712AA"/>
    <w:rsid w:val="56A82C41"/>
    <w:rsid w:val="56A927D5"/>
    <w:rsid w:val="56A937B6"/>
    <w:rsid w:val="56AB707B"/>
    <w:rsid w:val="56AE165B"/>
    <w:rsid w:val="56AE5810"/>
    <w:rsid w:val="56AF51F6"/>
    <w:rsid w:val="56B30BCB"/>
    <w:rsid w:val="56B956E8"/>
    <w:rsid w:val="56BC171E"/>
    <w:rsid w:val="56BF0556"/>
    <w:rsid w:val="56C159F7"/>
    <w:rsid w:val="56C2685E"/>
    <w:rsid w:val="56C31D06"/>
    <w:rsid w:val="56C334F3"/>
    <w:rsid w:val="56C4361A"/>
    <w:rsid w:val="56C76930"/>
    <w:rsid w:val="56C80C65"/>
    <w:rsid w:val="56C92202"/>
    <w:rsid w:val="56CA5994"/>
    <w:rsid w:val="56CE5134"/>
    <w:rsid w:val="56CF4278"/>
    <w:rsid w:val="56D143B5"/>
    <w:rsid w:val="56D26689"/>
    <w:rsid w:val="56D502C2"/>
    <w:rsid w:val="56D53A2F"/>
    <w:rsid w:val="56D5655D"/>
    <w:rsid w:val="56D658A1"/>
    <w:rsid w:val="56D66754"/>
    <w:rsid w:val="56D70B6D"/>
    <w:rsid w:val="56D84586"/>
    <w:rsid w:val="56D85438"/>
    <w:rsid w:val="56DC052E"/>
    <w:rsid w:val="56DF1F6B"/>
    <w:rsid w:val="56E13501"/>
    <w:rsid w:val="56E275C5"/>
    <w:rsid w:val="56E31212"/>
    <w:rsid w:val="56E31788"/>
    <w:rsid w:val="56E638A4"/>
    <w:rsid w:val="56E845B6"/>
    <w:rsid w:val="56EA15F6"/>
    <w:rsid w:val="56EB3576"/>
    <w:rsid w:val="56EC0E84"/>
    <w:rsid w:val="56ED42B2"/>
    <w:rsid w:val="56ED794C"/>
    <w:rsid w:val="56F1582D"/>
    <w:rsid w:val="56F275F6"/>
    <w:rsid w:val="56F53619"/>
    <w:rsid w:val="56F6505D"/>
    <w:rsid w:val="56F777E6"/>
    <w:rsid w:val="56F9362E"/>
    <w:rsid w:val="56F95E5F"/>
    <w:rsid w:val="56FA5AF4"/>
    <w:rsid w:val="56FB6BA9"/>
    <w:rsid w:val="56FD72C1"/>
    <w:rsid w:val="56FF73AD"/>
    <w:rsid w:val="570136AB"/>
    <w:rsid w:val="57026362"/>
    <w:rsid w:val="57033001"/>
    <w:rsid w:val="57035185"/>
    <w:rsid w:val="570356CB"/>
    <w:rsid w:val="570533DD"/>
    <w:rsid w:val="57076073"/>
    <w:rsid w:val="570922B8"/>
    <w:rsid w:val="570D3EF6"/>
    <w:rsid w:val="570E58F9"/>
    <w:rsid w:val="57112FD4"/>
    <w:rsid w:val="57114EB0"/>
    <w:rsid w:val="5711705C"/>
    <w:rsid w:val="5713088E"/>
    <w:rsid w:val="5713546C"/>
    <w:rsid w:val="571470FE"/>
    <w:rsid w:val="571538DC"/>
    <w:rsid w:val="57153FC9"/>
    <w:rsid w:val="57174F0C"/>
    <w:rsid w:val="5717635E"/>
    <w:rsid w:val="57191753"/>
    <w:rsid w:val="5719450F"/>
    <w:rsid w:val="57197C1C"/>
    <w:rsid w:val="571A4F92"/>
    <w:rsid w:val="571C437D"/>
    <w:rsid w:val="57226FFB"/>
    <w:rsid w:val="57227D21"/>
    <w:rsid w:val="572345DB"/>
    <w:rsid w:val="5724212F"/>
    <w:rsid w:val="572439A6"/>
    <w:rsid w:val="57267C62"/>
    <w:rsid w:val="572778AD"/>
    <w:rsid w:val="5728167F"/>
    <w:rsid w:val="572879FC"/>
    <w:rsid w:val="57293193"/>
    <w:rsid w:val="572978E6"/>
    <w:rsid w:val="572B0D15"/>
    <w:rsid w:val="572D4187"/>
    <w:rsid w:val="572D4E77"/>
    <w:rsid w:val="572F0722"/>
    <w:rsid w:val="573354CE"/>
    <w:rsid w:val="573368F4"/>
    <w:rsid w:val="57365015"/>
    <w:rsid w:val="5736517C"/>
    <w:rsid w:val="5737568F"/>
    <w:rsid w:val="573839EB"/>
    <w:rsid w:val="573A0F6E"/>
    <w:rsid w:val="573B39E4"/>
    <w:rsid w:val="573C242E"/>
    <w:rsid w:val="573E0DC2"/>
    <w:rsid w:val="573E777F"/>
    <w:rsid w:val="57422319"/>
    <w:rsid w:val="5742421F"/>
    <w:rsid w:val="574606ED"/>
    <w:rsid w:val="574D6C10"/>
    <w:rsid w:val="5750003D"/>
    <w:rsid w:val="575064D2"/>
    <w:rsid w:val="57507BF7"/>
    <w:rsid w:val="57510073"/>
    <w:rsid w:val="57511B90"/>
    <w:rsid w:val="57517D9B"/>
    <w:rsid w:val="57562AA0"/>
    <w:rsid w:val="57586FE8"/>
    <w:rsid w:val="575D4D9A"/>
    <w:rsid w:val="5761238C"/>
    <w:rsid w:val="57617CDD"/>
    <w:rsid w:val="57632ED8"/>
    <w:rsid w:val="57660B6B"/>
    <w:rsid w:val="57661BD4"/>
    <w:rsid w:val="5766531B"/>
    <w:rsid w:val="576678BA"/>
    <w:rsid w:val="57674F26"/>
    <w:rsid w:val="576A2B4D"/>
    <w:rsid w:val="576A2F25"/>
    <w:rsid w:val="576A58F8"/>
    <w:rsid w:val="576B5C00"/>
    <w:rsid w:val="576C31B7"/>
    <w:rsid w:val="576F0A97"/>
    <w:rsid w:val="57764278"/>
    <w:rsid w:val="57787515"/>
    <w:rsid w:val="57796775"/>
    <w:rsid w:val="57796DD8"/>
    <w:rsid w:val="577A6F0F"/>
    <w:rsid w:val="577B42F5"/>
    <w:rsid w:val="577C5D73"/>
    <w:rsid w:val="577D141C"/>
    <w:rsid w:val="577E2717"/>
    <w:rsid w:val="577F1508"/>
    <w:rsid w:val="57806B16"/>
    <w:rsid w:val="57813928"/>
    <w:rsid w:val="57823A29"/>
    <w:rsid w:val="57824EF8"/>
    <w:rsid w:val="578731EF"/>
    <w:rsid w:val="57885D0E"/>
    <w:rsid w:val="578B3D87"/>
    <w:rsid w:val="578D1C86"/>
    <w:rsid w:val="578D6324"/>
    <w:rsid w:val="578D7170"/>
    <w:rsid w:val="57905B8C"/>
    <w:rsid w:val="5791568F"/>
    <w:rsid w:val="57923CFA"/>
    <w:rsid w:val="57925BB6"/>
    <w:rsid w:val="57965D37"/>
    <w:rsid w:val="57994DCA"/>
    <w:rsid w:val="579A63D7"/>
    <w:rsid w:val="579C4374"/>
    <w:rsid w:val="579D3730"/>
    <w:rsid w:val="579D5847"/>
    <w:rsid w:val="579E2128"/>
    <w:rsid w:val="57A26EEE"/>
    <w:rsid w:val="57A37647"/>
    <w:rsid w:val="57A41B96"/>
    <w:rsid w:val="57A45AEF"/>
    <w:rsid w:val="57A465CD"/>
    <w:rsid w:val="57A5023F"/>
    <w:rsid w:val="57A67424"/>
    <w:rsid w:val="57A70209"/>
    <w:rsid w:val="57A765D1"/>
    <w:rsid w:val="57AE1E0F"/>
    <w:rsid w:val="57B14B46"/>
    <w:rsid w:val="57B248DC"/>
    <w:rsid w:val="57B37FA6"/>
    <w:rsid w:val="57B651BD"/>
    <w:rsid w:val="57BB009B"/>
    <w:rsid w:val="57BB135A"/>
    <w:rsid w:val="57BB2218"/>
    <w:rsid w:val="57BC23CE"/>
    <w:rsid w:val="57C15EB7"/>
    <w:rsid w:val="57C27000"/>
    <w:rsid w:val="57C500E3"/>
    <w:rsid w:val="57C914D4"/>
    <w:rsid w:val="57CC7228"/>
    <w:rsid w:val="57CD685F"/>
    <w:rsid w:val="57CE1CD0"/>
    <w:rsid w:val="57D14789"/>
    <w:rsid w:val="57D15192"/>
    <w:rsid w:val="57D201A9"/>
    <w:rsid w:val="57D25D15"/>
    <w:rsid w:val="57D45BC7"/>
    <w:rsid w:val="57D5591C"/>
    <w:rsid w:val="57D7044F"/>
    <w:rsid w:val="57DC15F3"/>
    <w:rsid w:val="57E00D1C"/>
    <w:rsid w:val="57E27FB3"/>
    <w:rsid w:val="57E31ED8"/>
    <w:rsid w:val="57E41FA9"/>
    <w:rsid w:val="57E80828"/>
    <w:rsid w:val="57EC7B1F"/>
    <w:rsid w:val="57ED0602"/>
    <w:rsid w:val="57ED5B96"/>
    <w:rsid w:val="57ED6EF7"/>
    <w:rsid w:val="57EF6B7E"/>
    <w:rsid w:val="57EF7AD9"/>
    <w:rsid w:val="57EF7E29"/>
    <w:rsid w:val="57F026BD"/>
    <w:rsid w:val="57F056C4"/>
    <w:rsid w:val="57F21877"/>
    <w:rsid w:val="57F31B2A"/>
    <w:rsid w:val="57F45CB0"/>
    <w:rsid w:val="57F57A18"/>
    <w:rsid w:val="57F60670"/>
    <w:rsid w:val="57F61E27"/>
    <w:rsid w:val="57F657E3"/>
    <w:rsid w:val="57F87225"/>
    <w:rsid w:val="57FD3E4F"/>
    <w:rsid w:val="57FD78B7"/>
    <w:rsid w:val="57FE49C4"/>
    <w:rsid w:val="58011C62"/>
    <w:rsid w:val="58026125"/>
    <w:rsid w:val="580625CD"/>
    <w:rsid w:val="58071A8E"/>
    <w:rsid w:val="580970F7"/>
    <w:rsid w:val="58105726"/>
    <w:rsid w:val="581265EA"/>
    <w:rsid w:val="58140E5D"/>
    <w:rsid w:val="581639C7"/>
    <w:rsid w:val="58165676"/>
    <w:rsid w:val="5817591A"/>
    <w:rsid w:val="581971A3"/>
    <w:rsid w:val="581A2ED1"/>
    <w:rsid w:val="581B5250"/>
    <w:rsid w:val="581D715C"/>
    <w:rsid w:val="581E7727"/>
    <w:rsid w:val="582A1E1E"/>
    <w:rsid w:val="582C6855"/>
    <w:rsid w:val="582E37D4"/>
    <w:rsid w:val="58342626"/>
    <w:rsid w:val="58344407"/>
    <w:rsid w:val="5836144E"/>
    <w:rsid w:val="58372B27"/>
    <w:rsid w:val="58373BD8"/>
    <w:rsid w:val="583842E3"/>
    <w:rsid w:val="58395BCA"/>
    <w:rsid w:val="583B15F0"/>
    <w:rsid w:val="583B4593"/>
    <w:rsid w:val="583C36DF"/>
    <w:rsid w:val="583F54F1"/>
    <w:rsid w:val="5843653F"/>
    <w:rsid w:val="5843674A"/>
    <w:rsid w:val="58461EAC"/>
    <w:rsid w:val="584937E3"/>
    <w:rsid w:val="584D73C4"/>
    <w:rsid w:val="584F143B"/>
    <w:rsid w:val="58515FB4"/>
    <w:rsid w:val="585277EE"/>
    <w:rsid w:val="58544F1A"/>
    <w:rsid w:val="585776F5"/>
    <w:rsid w:val="585845DD"/>
    <w:rsid w:val="58592FCB"/>
    <w:rsid w:val="585A5719"/>
    <w:rsid w:val="585B14C4"/>
    <w:rsid w:val="585C4D05"/>
    <w:rsid w:val="585C7D15"/>
    <w:rsid w:val="585E2AC0"/>
    <w:rsid w:val="58605E8D"/>
    <w:rsid w:val="58625956"/>
    <w:rsid w:val="58645B6B"/>
    <w:rsid w:val="58691E60"/>
    <w:rsid w:val="586C7C0A"/>
    <w:rsid w:val="586E0725"/>
    <w:rsid w:val="586E3F50"/>
    <w:rsid w:val="586F4AB8"/>
    <w:rsid w:val="58703E3B"/>
    <w:rsid w:val="58706E3E"/>
    <w:rsid w:val="58714E2D"/>
    <w:rsid w:val="58724964"/>
    <w:rsid w:val="58727C42"/>
    <w:rsid w:val="58727E02"/>
    <w:rsid w:val="58736F84"/>
    <w:rsid w:val="58754C28"/>
    <w:rsid w:val="587771C4"/>
    <w:rsid w:val="587A209C"/>
    <w:rsid w:val="587A5C38"/>
    <w:rsid w:val="587D0418"/>
    <w:rsid w:val="587E150D"/>
    <w:rsid w:val="587E3EE6"/>
    <w:rsid w:val="588057AA"/>
    <w:rsid w:val="58813A0E"/>
    <w:rsid w:val="58845523"/>
    <w:rsid w:val="588C18D8"/>
    <w:rsid w:val="588C1D2A"/>
    <w:rsid w:val="588F3C72"/>
    <w:rsid w:val="589276D5"/>
    <w:rsid w:val="58937131"/>
    <w:rsid w:val="5896105B"/>
    <w:rsid w:val="58985D90"/>
    <w:rsid w:val="589A7C20"/>
    <w:rsid w:val="589B5235"/>
    <w:rsid w:val="589B732C"/>
    <w:rsid w:val="589C195B"/>
    <w:rsid w:val="589F42C2"/>
    <w:rsid w:val="58A17545"/>
    <w:rsid w:val="58A46B68"/>
    <w:rsid w:val="58A721FF"/>
    <w:rsid w:val="58A841D2"/>
    <w:rsid w:val="58A84316"/>
    <w:rsid w:val="58AD568A"/>
    <w:rsid w:val="58AE1E09"/>
    <w:rsid w:val="58AF095D"/>
    <w:rsid w:val="58AF3434"/>
    <w:rsid w:val="58AF6776"/>
    <w:rsid w:val="58B01E6C"/>
    <w:rsid w:val="58B039D8"/>
    <w:rsid w:val="58B05CF2"/>
    <w:rsid w:val="58B41A05"/>
    <w:rsid w:val="58B76DF5"/>
    <w:rsid w:val="58B81D53"/>
    <w:rsid w:val="58BB55A6"/>
    <w:rsid w:val="58BD7C85"/>
    <w:rsid w:val="58BE3C9C"/>
    <w:rsid w:val="58C23C10"/>
    <w:rsid w:val="58C36A73"/>
    <w:rsid w:val="58C523C0"/>
    <w:rsid w:val="58C84633"/>
    <w:rsid w:val="58C85A01"/>
    <w:rsid w:val="58CB20C8"/>
    <w:rsid w:val="58D3747A"/>
    <w:rsid w:val="58D64AF7"/>
    <w:rsid w:val="58DB5BF9"/>
    <w:rsid w:val="58DC33F3"/>
    <w:rsid w:val="58DC445F"/>
    <w:rsid w:val="58DD6B7C"/>
    <w:rsid w:val="58DD6C65"/>
    <w:rsid w:val="58DE1CD7"/>
    <w:rsid w:val="58E04C63"/>
    <w:rsid w:val="58E329B7"/>
    <w:rsid w:val="58E47A52"/>
    <w:rsid w:val="58E57D70"/>
    <w:rsid w:val="58E673FE"/>
    <w:rsid w:val="58E7442B"/>
    <w:rsid w:val="58E76819"/>
    <w:rsid w:val="58EA4675"/>
    <w:rsid w:val="58EC0A84"/>
    <w:rsid w:val="58EC6131"/>
    <w:rsid w:val="58ED5BB0"/>
    <w:rsid w:val="58F0399C"/>
    <w:rsid w:val="58F144EF"/>
    <w:rsid w:val="58F20798"/>
    <w:rsid w:val="58F2208C"/>
    <w:rsid w:val="58F37A68"/>
    <w:rsid w:val="58F40723"/>
    <w:rsid w:val="58F472CF"/>
    <w:rsid w:val="58F62477"/>
    <w:rsid w:val="58FB544D"/>
    <w:rsid w:val="58FB7473"/>
    <w:rsid w:val="58FE0029"/>
    <w:rsid w:val="59026249"/>
    <w:rsid w:val="59026C45"/>
    <w:rsid w:val="59061F59"/>
    <w:rsid w:val="59082197"/>
    <w:rsid w:val="590A4565"/>
    <w:rsid w:val="590A5FFC"/>
    <w:rsid w:val="590B55E5"/>
    <w:rsid w:val="59100E98"/>
    <w:rsid w:val="59103AEA"/>
    <w:rsid w:val="59116B1F"/>
    <w:rsid w:val="59140F9D"/>
    <w:rsid w:val="59173BF1"/>
    <w:rsid w:val="59173EC5"/>
    <w:rsid w:val="591C73BD"/>
    <w:rsid w:val="591E493F"/>
    <w:rsid w:val="591F5DBD"/>
    <w:rsid w:val="592020A4"/>
    <w:rsid w:val="592234EF"/>
    <w:rsid w:val="59225653"/>
    <w:rsid w:val="59235AB0"/>
    <w:rsid w:val="59250BC2"/>
    <w:rsid w:val="59263658"/>
    <w:rsid w:val="5928694A"/>
    <w:rsid w:val="592A6676"/>
    <w:rsid w:val="592B5221"/>
    <w:rsid w:val="59302224"/>
    <w:rsid w:val="593625F4"/>
    <w:rsid w:val="593A504D"/>
    <w:rsid w:val="593B0EEB"/>
    <w:rsid w:val="593D059D"/>
    <w:rsid w:val="593E3F5D"/>
    <w:rsid w:val="59405439"/>
    <w:rsid w:val="59407113"/>
    <w:rsid w:val="594109C1"/>
    <w:rsid w:val="59416C46"/>
    <w:rsid w:val="59417178"/>
    <w:rsid w:val="59427221"/>
    <w:rsid w:val="59434A7D"/>
    <w:rsid w:val="59436354"/>
    <w:rsid w:val="59457F98"/>
    <w:rsid w:val="59475EFE"/>
    <w:rsid w:val="594915BF"/>
    <w:rsid w:val="59496BAF"/>
    <w:rsid w:val="594A16CD"/>
    <w:rsid w:val="594A5267"/>
    <w:rsid w:val="594B681F"/>
    <w:rsid w:val="594B6F21"/>
    <w:rsid w:val="594C0B21"/>
    <w:rsid w:val="594C24C2"/>
    <w:rsid w:val="594D1FF6"/>
    <w:rsid w:val="594D332C"/>
    <w:rsid w:val="59524FF2"/>
    <w:rsid w:val="59531206"/>
    <w:rsid w:val="595372B1"/>
    <w:rsid w:val="59550E20"/>
    <w:rsid w:val="5958381B"/>
    <w:rsid w:val="595B3BAD"/>
    <w:rsid w:val="595C7265"/>
    <w:rsid w:val="595E23BF"/>
    <w:rsid w:val="595E6303"/>
    <w:rsid w:val="59606DE5"/>
    <w:rsid w:val="596166D7"/>
    <w:rsid w:val="596241D9"/>
    <w:rsid w:val="59626789"/>
    <w:rsid w:val="596464A8"/>
    <w:rsid w:val="59696173"/>
    <w:rsid w:val="596D2765"/>
    <w:rsid w:val="596D38BD"/>
    <w:rsid w:val="596D40AC"/>
    <w:rsid w:val="596F2B6F"/>
    <w:rsid w:val="59742D6E"/>
    <w:rsid w:val="597455C3"/>
    <w:rsid w:val="59751707"/>
    <w:rsid w:val="597667A3"/>
    <w:rsid w:val="597746E7"/>
    <w:rsid w:val="597757FE"/>
    <w:rsid w:val="59775CEB"/>
    <w:rsid w:val="59775FAF"/>
    <w:rsid w:val="59790346"/>
    <w:rsid w:val="59792DBD"/>
    <w:rsid w:val="59794EDA"/>
    <w:rsid w:val="597D1FF8"/>
    <w:rsid w:val="597E27B7"/>
    <w:rsid w:val="59800C6F"/>
    <w:rsid w:val="59804CB5"/>
    <w:rsid w:val="59833CE9"/>
    <w:rsid w:val="59872619"/>
    <w:rsid w:val="59874E49"/>
    <w:rsid w:val="5988484C"/>
    <w:rsid w:val="59886E67"/>
    <w:rsid w:val="59894C95"/>
    <w:rsid w:val="598A0EFC"/>
    <w:rsid w:val="598D4E34"/>
    <w:rsid w:val="5990110B"/>
    <w:rsid w:val="59931818"/>
    <w:rsid w:val="599375A6"/>
    <w:rsid w:val="59977086"/>
    <w:rsid w:val="59990110"/>
    <w:rsid w:val="599D2805"/>
    <w:rsid w:val="59A05D71"/>
    <w:rsid w:val="59A17B44"/>
    <w:rsid w:val="59A23635"/>
    <w:rsid w:val="59A25B34"/>
    <w:rsid w:val="59A93987"/>
    <w:rsid w:val="59AC1141"/>
    <w:rsid w:val="59AD645B"/>
    <w:rsid w:val="59AE654D"/>
    <w:rsid w:val="59AF19BC"/>
    <w:rsid w:val="59AF2C83"/>
    <w:rsid w:val="59AF77E7"/>
    <w:rsid w:val="59B17AB6"/>
    <w:rsid w:val="59BF0EB9"/>
    <w:rsid w:val="59BF3CFB"/>
    <w:rsid w:val="59BF506B"/>
    <w:rsid w:val="59C06235"/>
    <w:rsid w:val="59C213C2"/>
    <w:rsid w:val="59C375B7"/>
    <w:rsid w:val="59C4697C"/>
    <w:rsid w:val="59C56BD3"/>
    <w:rsid w:val="59C634EC"/>
    <w:rsid w:val="59C878CA"/>
    <w:rsid w:val="59C92100"/>
    <w:rsid w:val="59CB0DD2"/>
    <w:rsid w:val="59CD663B"/>
    <w:rsid w:val="59CE35F0"/>
    <w:rsid w:val="59CE5B4A"/>
    <w:rsid w:val="59CE64EB"/>
    <w:rsid w:val="59D15729"/>
    <w:rsid w:val="59D3103C"/>
    <w:rsid w:val="59D4135E"/>
    <w:rsid w:val="59D81B5B"/>
    <w:rsid w:val="59D858D5"/>
    <w:rsid w:val="59DA252A"/>
    <w:rsid w:val="59DC1A08"/>
    <w:rsid w:val="59DF0682"/>
    <w:rsid w:val="59E07E01"/>
    <w:rsid w:val="59E617E2"/>
    <w:rsid w:val="59E714D8"/>
    <w:rsid w:val="59E76440"/>
    <w:rsid w:val="59E7712F"/>
    <w:rsid w:val="59EA748E"/>
    <w:rsid w:val="59ED57E2"/>
    <w:rsid w:val="59ED5F04"/>
    <w:rsid w:val="59EE0BDE"/>
    <w:rsid w:val="59EE1C1F"/>
    <w:rsid w:val="59EF58FA"/>
    <w:rsid w:val="59F20432"/>
    <w:rsid w:val="59F26B99"/>
    <w:rsid w:val="59F44E6D"/>
    <w:rsid w:val="59F6682D"/>
    <w:rsid w:val="59F757B5"/>
    <w:rsid w:val="59F90A9F"/>
    <w:rsid w:val="59F939FB"/>
    <w:rsid w:val="59F956E8"/>
    <w:rsid w:val="59F97FA3"/>
    <w:rsid w:val="59FB4C74"/>
    <w:rsid w:val="59FC380F"/>
    <w:rsid w:val="59FF669E"/>
    <w:rsid w:val="5A0053DF"/>
    <w:rsid w:val="5A01518F"/>
    <w:rsid w:val="5A05570E"/>
    <w:rsid w:val="5A0928DA"/>
    <w:rsid w:val="5A0C10E9"/>
    <w:rsid w:val="5A1201AA"/>
    <w:rsid w:val="5A126CE8"/>
    <w:rsid w:val="5A160016"/>
    <w:rsid w:val="5A18130E"/>
    <w:rsid w:val="5A184CC2"/>
    <w:rsid w:val="5A18524B"/>
    <w:rsid w:val="5A187A7C"/>
    <w:rsid w:val="5A1B049B"/>
    <w:rsid w:val="5A1B2511"/>
    <w:rsid w:val="5A1E00E1"/>
    <w:rsid w:val="5A1F1B66"/>
    <w:rsid w:val="5A2047F3"/>
    <w:rsid w:val="5A216C0A"/>
    <w:rsid w:val="5A21756A"/>
    <w:rsid w:val="5A2445CE"/>
    <w:rsid w:val="5A2456FC"/>
    <w:rsid w:val="5A266C3B"/>
    <w:rsid w:val="5A270D11"/>
    <w:rsid w:val="5A276312"/>
    <w:rsid w:val="5A2801E5"/>
    <w:rsid w:val="5A280BB1"/>
    <w:rsid w:val="5A2B136B"/>
    <w:rsid w:val="5A2C4751"/>
    <w:rsid w:val="5A2C47E5"/>
    <w:rsid w:val="5A2C4C5E"/>
    <w:rsid w:val="5A2C5C2C"/>
    <w:rsid w:val="5A2E0305"/>
    <w:rsid w:val="5A2E4473"/>
    <w:rsid w:val="5A2F2043"/>
    <w:rsid w:val="5A3746EF"/>
    <w:rsid w:val="5A382342"/>
    <w:rsid w:val="5A3F2426"/>
    <w:rsid w:val="5A406E2D"/>
    <w:rsid w:val="5A437CB1"/>
    <w:rsid w:val="5A441149"/>
    <w:rsid w:val="5A445EE0"/>
    <w:rsid w:val="5A455124"/>
    <w:rsid w:val="5A464307"/>
    <w:rsid w:val="5A481755"/>
    <w:rsid w:val="5A486420"/>
    <w:rsid w:val="5A4A071A"/>
    <w:rsid w:val="5A4B3343"/>
    <w:rsid w:val="5A4E0128"/>
    <w:rsid w:val="5A4E37B5"/>
    <w:rsid w:val="5A5004AA"/>
    <w:rsid w:val="5A502082"/>
    <w:rsid w:val="5A53359E"/>
    <w:rsid w:val="5A537999"/>
    <w:rsid w:val="5A56095D"/>
    <w:rsid w:val="5A5A0599"/>
    <w:rsid w:val="5A5C1D09"/>
    <w:rsid w:val="5A61236B"/>
    <w:rsid w:val="5A614D7E"/>
    <w:rsid w:val="5A63496A"/>
    <w:rsid w:val="5A6367FD"/>
    <w:rsid w:val="5A64083A"/>
    <w:rsid w:val="5A6630DE"/>
    <w:rsid w:val="5A6838FD"/>
    <w:rsid w:val="5A691B60"/>
    <w:rsid w:val="5A692FAC"/>
    <w:rsid w:val="5A6965E8"/>
    <w:rsid w:val="5A6A2FC7"/>
    <w:rsid w:val="5A6C1736"/>
    <w:rsid w:val="5A6C1D35"/>
    <w:rsid w:val="5A6C4A6B"/>
    <w:rsid w:val="5A6E0901"/>
    <w:rsid w:val="5A734103"/>
    <w:rsid w:val="5A735C1B"/>
    <w:rsid w:val="5A754337"/>
    <w:rsid w:val="5A76629D"/>
    <w:rsid w:val="5A78135D"/>
    <w:rsid w:val="5A79351F"/>
    <w:rsid w:val="5A7A4DB6"/>
    <w:rsid w:val="5A817C63"/>
    <w:rsid w:val="5A8201DC"/>
    <w:rsid w:val="5A822FE7"/>
    <w:rsid w:val="5A834CEE"/>
    <w:rsid w:val="5A852880"/>
    <w:rsid w:val="5A864F13"/>
    <w:rsid w:val="5A884ACB"/>
    <w:rsid w:val="5A970370"/>
    <w:rsid w:val="5A985528"/>
    <w:rsid w:val="5A995E5A"/>
    <w:rsid w:val="5A9A2553"/>
    <w:rsid w:val="5A9C742C"/>
    <w:rsid w:val="5A9E5854"/>
    <w:rsid w:val="5AA04563"/>
    <w:rsid w:val="5AA141A6"/>
    <w:rsid w:val="5AA60BB1"/>
    <w:rsid w:val="5AA660D5"/>
    <w:rsid w:val="5AA83F14"/>
    <w:rsid w:val="5AA87C26"/>
    <w:rsid w:val="5AA91C16"/>
    <w:rsid w:val="5AAA00EB"/>
    <w:rsid w:val="5AAA1A1C"/>
    <w:rsid w:val="5AAB3829"/>
    <w:rsid w:val="5AAD677C"/>
    <w:rsid w:val="5AB1425C"/>
    <w:rsid w:val="5AB14380"/>
    <w:rsid w:val="5AB46CE4"/>
    <w:rsid w:val="5AB52F05"/>
    <w:rsid w:val="5AB82FD6"/>
    <w:rsid w:val="5ABA43D4"/>
    <w:rsid w:val="5ABB2BC5"/>
    <w:rsid w:val="5ABC5137"/>
    <w:rsid w:val="5ABE1884"/>
    <w:rsid w:val="5ABE53FF"/>
    <w:rsid w:val="5AC0394D"/>
    <w:rsid w:val="5AC1074E"/>
    <w:rsid w:val="5AC12366"/>
    <w:rsid w:val="5AC17E19"/>
    <w:rsid w:val="5AC36317"/>
    <w:rsid w:val="5ACB0C05"/>
    <w:rsid w:val="5ACC19F9"/>
    <w:rsid w:val="5ACC7FC9"/>
    <w:rsid w:val="5AD16B9A"/>
    <w:rsid w:val="5AD61C49"/>
    <w:rsid w:val="5AD67459"/>
    <w:rsid w:val="5ADA6461"/>
    <w:rsid w:val="5ADA696B"/>
    <w:rsid w:val="5ADF320B"/>
    <w:rsid w:val="5AE12285"/>
    <w:rsid w:val="5AE13AF6"/>
    <w:rsid w:val="5AE25FBC"/>
    <w:rsid w:val="5AE5263F"/>
    <w:rsid w:val="5AE71F93"/>
    <w:rsid w:val="5AE761AB"/>
    <w:rsid w:val="5AEC7B43"/>
    <w:rsid w:val="5AED1CDE"/>
    <w:rsid w:val="5AED58AE"/>
    <w:rsid w:val="5AEE7D3C"/>
    <w:rsid w:val="5AF32D38"/>
    <w:rsid w:val="5AF52005"/>
    <w:rsid w:val="5AFF3215"/>
    <w:rsid w:val="5B0076F6"/>
    <w:rsid w:val="5B0243E6"/>
    <w:rsid w:val="5B0C7B9A"/>
    <w:rsid w:val="5B131691"/>
    <w:rsid w:val="5B14019D"/>
    <w:rsid w:val="5B145AC4"/>
    <w:rsid w:val="5B1909A9"/>
    <w:rsid w:val="5B197380"/>
    <w:rsid w:val="5B1E439F"/>
    <w:rsid w:val="5B1E626A"/>
    <w:rsid w:val="5B1F7FB5"/>
    <w:rsid w:val="5B203233"/>
    <w:rsid w:val="5B220D11"/>
    <w:rsid w:val="5B251835"/>
    <w:rsid w:val="5B2A0C22"/>
    <w:rsid w:val="5B2B2CCD"/>
    <w:rsid w:val="5B2C5992"/>
    <w:rsid w:val="5B2C5B82"/>
    <w:rsid w:val="5B2C7F0C"/>
    <w:rsid w:val="5B2D7A72"/>
    <w:rsid w:val="5B30119D"/>
    <w:rsid w:val="5B332552"/>
    <w:rsid w:val="5B3378A5"/>
    <w:rsid w:val="5B355B66"/>
    <w:rsid w:val="5B387964"/>
    <w:rsid w:val="5B3A1269"/>
    <w:rsid w:val="5B3A2CD6"/>
    <w:rsid w:val="5B3E46F5"/>
    <w:rsid w:val="5B406465"/>
    <w:rsid w:val="5B414C2A"/>
    <w:rsid w:val="5B4243F1"/>
    <w:rsid w:val="5B425EC1"/>
    <w:rsid w:val="5B436759"/>
    <w:rsid w:val="5B476BFB"/>
    <w:rsid w:val="5B492C3E"/>
    <w:rsid w:val="5B4A1B11"/>
    <w:rsid w:val="5B4B1A79"/>
    <w:rsid w:val="5B4B5802"/>
    <w:rsid w:val="5B4D4144"/>
    <w:rsid w:val="5B4F2307"/>
    <w:rsid w:val="5B502475"/>
    <w:rsid w:val="5B5277CE"/>
    <w:rsid w:val="5B532F1F"/>
    <w:rsid w:val="5B54597D"/>
    <w:rsid w:val="5B572EC5"/>
    <w:rsid w:val="5B5B24A7"/>
    <w:rsid w:val="5B5C3900"/>
    <w:rsid w:val="5B5D5B9C"/>
    <w:rsid w:val="5B5F1E23"/>
    <w:rsid w:val="5B600083"/>
    <w:rsid w:val="5B606097"/>
    <w:rsid w:val="5B614765"/>
    <w:rsid w:val="5B62183E"/>
    <w:rsid w:val="5B63413E"/>
    <w:rsid w:val="5B640917"/>
    <w:rsid w:val="5B647067"/>
    <w:rsid w:val="5B654386"/>
    <w:rsid w:val="5B693CF1"/>
    <w:rsid w:val="5B6A0EF5"/>
    <w:rsid w:val="5B6A1F2D"/>
    <w:rsid w:val="5B6A7AAD"/>
    <w:rsid w:val="5B6B79AB"/>
    <w:rsid w:val="5B6E5818"/>
    <w:rsid w:val="5B6F0218"/>
    <w:rsid w:val="5B7154DF"/>
    <w:rsid w:val="5B72125A"/>
    <w:rsid w:val="5B72616B"/>
    <w:rsid w:val="5B736340"/>
    <w:rsid w:val="5B7422D2"/>
    <w:rsid w:val="5B751EC8"/>
    <w:rsid w:val="5B7676FE"/>
    <w:rsid w:val="5B797008"/>
    <w:rsid w:val="5B7B186D"/>
    <w:rsid w:val="5B7D08C9"/>
    <w:rsid w:val="5B7D3B67"/>
    <w:rsid w:val="5B812C49"/>
    <w:rsid w:val="5B8164D2"/>
    <w:rsid w:val="5B855425"/>
    <w:rsid w:val="5B8612C2"/>
    <w:rsid w:val="5B8A6B9C"/>
    <w:rsid w:val="5B8B0F67"/>
    <w:rsid w:val="5B8B2225"/>
    <w:rsid w:val="5B8D4160"/>
    <w:rsid w:val="5B8E2327"/>
    <w:rsid w:val="5B9032ED"/>
    <w:rsid w:val="5B950492"/>
    <w:rsid w:val="5B954B6C"/>
    <w:rsid w:val="5B96408B"/>
    <w:rsid w:val="5B98370B"/>
    <w:rsid w:val="5B9868C0"/>
    <w:rsid w:val="5B991CD9"/>
    <w:rsid w:val="5B9C79F9"/>
    <w:rsid w:val="5B9D516B"/>
    <w:rsid w:val="5B9D5237"/>
    <w:rsid w:val="5B9F2791"/>
    <w:rsid w:val="5B9F3DC9"/>
    <w:rsid w:val="5BA122B8"/>
    <w:rsid w:val="5BA22051"/>
    <w:rsid w:val="5BA56155"/>
    <w:rsid w:val="5BA737E4"/>
    <w:rsid w:val="5BAA176B"/>
    <w:rsid w:val="5BAC607B"/>
    <w:rsid w:val="5BAC67EB"/>
    <w:rsid w:val="5BAD72F4"/>
    <w:rsid w:val="5BAE2DDF"/>
    <w:rsid w:val="5BB12714"/>
    <w:rsid w:val="5BB2031A"/>
    <w:rsid w:val="5BB273E5"/>
    <w:rsid w:val="5BB5643C"/>
    <w:rsid w:val="5BB666E5"/>
    <w:rsid w:val="5BB95A3B"/>
    <w:rsid w:val="5BB9648E"/>
    <w:rsid w:val="5BBB0ACE"/>
    <w:rsid w:val="5BBB6A31"/>
    <w:rsid w:val="5BBE3F43"/>
    <w:rsid w:val="5BBE7AC5"/>
    <w:rsid w:val="5BC26E48"/>
    <w:rsid w:val="5BC45FB5"/>
    <w:rsid w:val="5BC93859"/>
    <w:rsid w:val="5BCB3E47"/>
    <w:rsid w:val="5BCF38CF"/>
    <w:rsid w:val="5BD05024"/>
    <w:rsid w:val="5BD263E6"/>
    <w:rsid w:val="5BD41029"/>
    <w:rsid w:val="5BD67606"/>
    <w:rsid w:val="5BD7662E"/>
    <w:rsid w:val="5BD935A9"/>
    <w:rsid w:val="5BDA688C"/>
    <w:rsid w:val="5BDC2DA5"/>
    <w:rsid w:val="5BDD5E20"/>
    <w:rsid w:val="5BDE6010"/>
    <w:rsid w:val="5BDE7BAC"/>
    <w:rsid w:val="5BDF5495"/>
    <w:rsid w:val="5BE10BF7"/>
    <w:rsid w:val="5BE200E8"/>
    <w:rsid w:val="5BE3440E"/>
    <w:rsid w:val="5BE506F4"/>
    <w:rsid w:val="5BE536D7"/>
    <w:rsid w:val="5BE8426F"/>
    <w:rsid w:val="5BEB36C6"/>
    <w:rsid w:val="5BEE096D"/>
    <w:rsid w:val="5BEE7B65"/>
    <w:rsid w:val="5BEF23FC"/>
    <w:rsid w:val="5BF321E3"/>
    <w:rsid w:val="5BF32F8E"/>
    <w:rsid w:val="5BF4712F"/>
    <w:rsid w:val="5BF47CA1"/>
    <w:rsid w:val="5BF51D66"/>
    <w:rsid w:val="5BF76D7C"/>
    <w:rsid w:val="5BF84DD5"/>
    <w:rsid w:val="5BFB6FFA"/>
    <w:rsid w:val="5BFB785D"/>
    <w:rsid w:val="5BFF154F"/>
    <w:rsid w:val="5C0448C4"/>
    <w:rsid w:val="5C070B97"/>
    <w:rsid w:val="5C091652"/>
    <w:rsid w:val="5C0D3683"/>
    <w:rsid w:val="5C0E6601"/>
    <w:rsid w:val="5C1050BC"/>
    <w:rsid w:val="5C123750"/>
    <w:rsid w:val="5C141A0F"/>
    <w:rsid w:val="5C153C58"/>
    <w:rsid w:val="5C155579"/>
    <w:rsid w:val="5C157566"/>
    <w:rsid w:val="5C160662"/>
    <w:rsid w:val="5C16648B"/>
    <w:rsid w:val="5C1801A5"/>
    <w:rsid w:val="5C1A5C50"/>
    <w:rsid w:val="5C1A61C0"/>
    <w:rsid w:val="5C1B0B95"/>
    <w:rsid w:val="5C1C6CB6"/>
    <w:rsid w:val="5C1C7022"/>
    <w:rsid w:val="5C1D38D0"/>
    <w:rsid w:val="5C206F80"/>
    <w:rsid w:val="5C2173C9"/>
    <w:rsid w:val="5C22548B"/>
    <w:rsid w:val="5C242F1F"/>
    <w:rsid w:val="5C261C31"/>
    <w:rsid w:val="5C292900"/>
    <w:rsid w:val="5C2A5897"/>
    <w:rsid w:val="5C2B1735"/>
    <w:rsid w:val="5C2D2418"/>
    <w:rsid w:val="5C2D2C0C"/>
    <w:rsid w:val="5C2D30BD"/>
    <w:rsid w:val="5C2E3303"/>
    <w:rsid w:val="5C2F3D05"/>
    <w:rsid w:val="5C300821"/>
    <w:rsid w:val="5C331D59"/>
    <w:rsid w:val="5C34053D"/>
    <w:rsid w:val="5C3612E1"/>
    <w:rsid w:val="5C361650"/>
    <w:rsid w:val="5C3738BD"/>
    <w:rsid w:val="5C390005"/>
    <w:rsid w:val="5C3A24BE"/>
    <w:rsid w:val="5C3A7C52"/>
    <w:rsid w:val="5C3C0F94"/>
    <w:rsid w:val="5C3D0A87"/>
    <w:rsid w:val="5C3D13BB"/>
    <w:rsid w:val="5C3D5343"/>
    <w:rsid w:val="5C412BF8"/>
    <w:rsid w:val="5C414943"/>
    <w:rsid w:val="5C424112"/>
    <w:rsid w:val="5C434208"/>
    <w:rsid w:val="5C4426CB"/>
    <w:rsid w:val="5C452CC2"/>
    <w:rsid w:val="5C491907"/>
    <w:rsid w:val="5C4965EE"/>
    <w:rsid w:val="5C4D1237"/>
    <w:rsid w:val="5C4E716D"/>
    <w:rsid w:val="5C4F3391"/>
    <w:rsid w:val="5C5067DA"/>
    <w:rsid w:val="5C514AEC"/>
    <w:rsid w:val="5C596390"/>
    <w:rsid w:val="5C5A0783"/>
    <w:rsid w:val="5C5C75D0"/>
    <w:rsid w:val="5C606260"/>
    <w:rsid w:val="5C620F6A"/>
    <w:rsid w:val="5C621CA5"/>
    <w:rsid w:val="5C622C4E"/>
    <w:rsid w:val="5C6B5003"/>
    <w:rsid w:val="5C6B51F1"/>
    <w:rsid w:val="5C6C3E1D"/>
    <w:rsid w:val="5C6C6679"/>
    <w:rsid w:val="5C700B09"/>
    <w:rsid w:val="5C7201E2"/>
    <w:rsid w:val="5C721E84"/>
    <w:rsid w:val="5C730652"/>
    <w:rsid w:val="5C7321CB"/>
    <w:rsid w:val="5C752E2A"/>
    <w:rsid w:val="5C787C51"/>
    <w:rsid w:val="5C7C7296"/>
    <w:rsid w:val="5C812408"/>
    <w:rsid w:val="5C831F57"/>
    <w:rsid w:val="5C833DAC"/>
    <w:rsid w:val="5C84476B"/>
    <w:rsid w:val="5C88515A"/>
    <w:rsid w:val="5C885752"/>
    <w:rsid w:val="5C8A45FD"/>
    <w:rsid w:val="5C8C28A0"/>
    <w:rsid w:val="5C8D263C"/>
    <w:rsid w:val="5C8D2E8E"/>
    <w:rsid w:val="5C8E76E6"/>
    <w:rsid w:val="5C90590D"/>
    <w:rsid w:val="5C9333BF"/>
    <w:rsid w:val="5C947956"/>
    <w:rsid w:val="5C9708FF"/>
    <w:rsid w:val="5C99564F"/>
    <w:rsid w:val="5C9A0203"/>
    <w:rsid w:val="5C9A4518"/>
    <w:rsid w:val="5C9C65DA"/>
    <w:rsid w:val="5C9E5524"/>
    <w:rsid w:val="5C9E76B0"/>
    <w:rsid w:val="5C9F02A6"/>
    <w:rsid w:val="5CA1750A"/>
    <w:rsid w:val="5CA17EA8"/>
    <w:rsid w:val="5CA84E09"/>
    <w:rsid w:val="5CA94261"/>
    <w:rsid w:val="5CB1497B"/>
    <w:rsid w:val="5CB16B17"/>
    <w:rsid w:val="5CB52976"/>
    <w:rsid w:val="5CB64E68"/>
    <w:rsid w:val="5CBA11A2"/>
    <w:rsid w:val="5CBC0F63"/>
    <w:rsid w:val="5CBC1076"/>
    <w:rsid w:val="5CBC456E"/>
    <w:rsid w:val="5CBD26F0"/>
    <w:rsid w:val="5CBD4402"/>
    <w:rsid w:val="5CBF783C"/>
    <w:rsid w:val="5CC021BE"/>
    <w:rsid w:val="5CC340A3"/>
    <w:rsid w:val="5CC513B6"/>
    <w:rsid w:val="5CC63EB8"/>
    <w:rsid w:val="5CC64C8A"/>
    <w:rsid w:val="5CC92311"/>
    <w:rsid w:val="5CCC0959"/>
    <w:rsid w:val="5CCC1DC5"/>
    <w:rsid w:val="5CCF6B13"/>
    <w:rsid w:val="5CD00AF3"/>
    <w:rsid w:val="5CD0103A"/>
    <w:rsid w:val="5CD15D7B"/>
    <w:rsid w:val="5CD5409E"/>
    <w:rsid w:val="5CD663C1"/>
    <w:rsid w:val="5CD941B4"/>
    <w:rsid w:val="5CD95BAC"/>
    <w:rsid w:val="5CDA2932"/>
    <w:rsid w:val="5CDB35B7"/>
    <w:rsid w:val="5CDC7A61"/>
    <w:rsid w:val="5CDF07A0"/>
    <w:rsid w:val="5CDF410F"/>
    <w:rsid w:val="5CE25D66"/>
    <w:rsid w:val="5CE41DA4"/>
    <w:rsid w:val="5CE44D29"/>
    <w:rsid w:val="5CE529BD"/>
    <w:rsid w:val="5CE666AF"/>
    <w:rsid w:val="5CE7425C"/>
    <w:rsid w:val="5CE74AE9"/>
    <w:rsid w:val="5CEC2EAC"/>
    <w:rsid w:val="5CED3E8C"/>
    <w:rsid w:val="5CEF0984"/>
    <w:rsid w:val="5CF10528"/>
    <w:rsid w:val="5CF17619"/>
    <w:rsid w:val="5CF46417"/>
    <w:rsid w:val="5CF51A2F"/>
    <w:rsid w:val="5CF62052"/>
    <w:rsid w:val="5CFC0F33"/>
    <w:rsid w:val="5CFE309C"/>
    <w:rsid w:val="5D015356"/>
    <w:rsid w:val="5D0402B2"/>
    <w:rsid w:val="5D045579"/>
    <w:rsid w:val="5D064778"/>
    <w:rsid w:val="5D085C59"/>
    <w:rsid w:val="5D090567"/>
    <w:rsid w:val="5D091103"/>
    <w:rsid w:val="5D0B381C"/>
    <w:rsid w:val="5D0C58CD"/>
    <w:rsid w:val="5D0D31D0"/>
    <w:rsid w:val="5D0D7A08"/>
    <w:rsid w:val="5D0E113A"/>
    <w:rsid w:val="5D0E3019"/>
    <w:rsid w:val="5D126D8D"/>
    <w:rsid w:val="5D142B0D"/>
    <w:rsid w:val="5D16542F"/>
    <w:rsid w:val="5D177215"/>
    <w:rsid w:val="5D186D5A"/>
    <w:rsid w:val="5D197703"/>
    <w:rsid w:val="5D1A2D8E"/>
    <w:rsid w:val="5D1C1F9D"/>
    <w:rsid w:val="5D1C3F5A"/>
    <w:rsid w:val="5D1C6CCC"/>
    <w:rsid w:val="5D1E7582"/>
    <w:rsid w:val="5D21299A"/>
    <w:rsid w:val="5D236D08"/>
    <w:rsid w:val="5D29401F"/>
    <w:rsid w:val="5D296777"/>
    <w:rsid w:val="5D2A0918"/>
    <w:rsid w:val="5D2B4630"/>
    <w:rsid w:val="5D2C0C4C"/>
    <w:rsid w:val="5D2C39A8"/>
    <w:rsid w:val="5D311330"/>
    <w:rsid w:val="5D311F88"/>
    <w:rsid w:val="5D3328ED"/>
    <w:rsid w:val="5D334064"/>
    <w:rsid w:val="5D351139"/>
    <w:rsid w:val="5D3928D9"/>
    <w:rsid w:val="5D39578F"/>
    <w:rsid w:val="5D397661"/>
    <w:rsid w:val="5D3A2EEE"/>
    <w:rsid w:val="5D3A3D4D"/>
    <w:rsid w:val="5D3D171B"/>
    <w:rsid w:val="5D3F5924"/>
    <w:rsid w:val="5D400FEE"/>
    <w:rsid w:val="5D404A3A"/>
    <w:rsid w:val="5D40596D"/>
    <w:rsid w:val="5D4137E5"/>
    <w:rsid w:val="5D4905DF"/>
    <w:rsid w:val="5D4A686F"/>
    <w:rsid w:val="5D4C6AB4"/>
    <w:rsid w:val="5D4E6950"/>
    <w:rsid w:val="5D4F6E2A"/>
    <w:rsid w:val="5D504F4C"/>
    <w:rsid w:val="5D513455"/>
    <w:rsid w:val="5D526197"/>
    <w:rsid w:val="5D554C51"/>
    <w:rsid w:val="5D557671"/>
    <w:rsid w:val="5D571C5D"/>
    <w:rsid w:val="5D571D7E"/>
    <w:rsid w:val="5D583526"/>
    <w:rsid w:val="5D5A5B0F"/>
    <w:rsid w:val="5D5B5E86"/>
    <w:rsid w:val="5D5F7D8F"/>
    <w:rsid w:val="5D6038B7"/>
    <w:rsid w:val="5D65561A"/>
    <w:rsid w:val="5D661BF3"/>
    <w:rsid w:val="5D681DB7"/>
    <w:rsid w:val="5D690DB6"/>
    <w:rsid w:val="5D696173"/>
    <w:rsid w:val="5D6C0C1B"/>
    <w:rsid w:val="5D6C4EA7"/>
    <w:rsid w:val="5D6D362C"/>
    <w:rsid w:val="5D7440E9"/>
    <w:rsid w:val="5D7C6A80"/>
    <w:rsid w:val="5D7D0FBC"/>
    <w:rsid w:val="5D8057C3"/>
    <w:rsid w:val="5D805D84"/>
    <w:rsid w:val="5D807008"/>
    <w:rsid w:val="5D84440A"/>
    <w:rsid w:val="5D86470B"/>
    <w:rsid w:val="5D864E3A"/>
    <w:rsid w:val="5D8B01B4"/>
    <w:rsid w:val="5D8C7036"/>
    <w:rsid w:val="5D931974"/>
    <w:rsid w:val="5D94394D"/>
    <w:rsid w:val="5D965CBE"/>
    <w:rsid w:val="5D99257C"/>
    <w:rsid w:val="5DA20906"/>
    <w:rsid w:val="5DA2462C"/>
    <w:rsid w:val="5DA40729"/>
    <w:rsid w:val="5DA44886"/>
    <w:rsid w:val="5DA4528F"/>
    <w:rsid w:val="5DA46D66"/>
    <w:rsid w:val="5DA67C08"/>
    <w:rsid w:val="5DA83A6D"/>
    <w:rsid w:val="5DA931A0"/>
    <w:rsid w:val="5DA944D6"/>
    <w:rsid w:val="5DAB08C1"/>
    <w:rsid w:val="5DAB2C1E"/>
    <w:rsid w:val="5DAB7A75"/>
    <w:rsid w:val="5DB20729"/>
    <w:rsid w:val="5DB267F6"/>
    <w:rsid w:val="5DB37EF4"/>
    <w:rsid w:val="5DB64E39"/>
    <w:rsid w:val="5DBC2F11"/>
    <w:rsid w:val="5DBF20CF"/>
    <w:rsid w:val="5DC314E0"/>
    <w:rsid w:val="5DC40D8B"/>
    <w:rsid w:val="5DC41A92"/>
    <w:rsid w:val="5DC50277"/>
    <w:rsid w:val="5DC641FB"/>
    <w:rsid w:val="5DC66F3E"/>
    <w:rsid w:val="5DC80A03"/>
    <w:rsid w:val="5DC95E69"/>
    <w:rsid w:val="5DCB46D4"/>
    <w:rsid w:val="5DCD5443"/>
    <w:rsid w:val="5DCD5B67"/>
    <w:rsid w:val="5DCE1ECC"/>
    <w:rsid w:val="5DD03AF5"/>
    <w:rsid w:val="5DD17EEA"/>
    <w:rsid w:val="5DD43648"/>
    <w:rsid w:val="5DD840F6"/>
    <w:rsid w:val="5DD924A1"/>
    <w:rsid w:val="5DD95818"/>
    <w:rsid w:val="5DDA0017"/>
    <w:rsid w:val="5DDB7775"/>
    <w:rsid w:val="5DDC4E4D"/>
    <w:rsid w:val="5DDD39CC"/>
    <w:rsid w:val="5DDF0497"/>
    <w:rsid w:val="5DDF5385"/>
    <w:rsid w:val="5DE013EB"/>
    <w:rsid w:val="5DE034D8"/>
    <w:rsid w:val="5DE06068"/>
    <w:rsid w:val="5DE13C2E"/>
    <w:rsid w:val="5DE5527F"/>
    <w:rsid w:val="5DE63E8B"/>
    <w:rsid w:val="5DE70910"/>
    <w:rsid w:val="5DEA1992"/>
    <w:rsid w:val="5DEA57DF"/>
    <w:rsid w:val="5DEC24F3"/>
    <w:rsid w:val="5DEC7CA2"/>
    <w:rsid w:val="5DEE67AA"/>
    <w:rsid w:val="5DF2097D"/>
    <w:rsid w:val="5DF24F6C"/>
    <w:rsid w:val="5DF71C41"/>
    <w:rsid w:val="5DFA4E9D"/>
    <w:rsid w:val="5DFA7FAC"/>
    <w:rsid w:val="5DFB347F"/>
    <w:rsid w:val="5DFD1680"/>
    <w:rsid w:val="5DFE69F8"/>
    <w:rsid w:val="5DFE7984"/>
    <w:rsid w:val="5DFF0D54"/>
    <w:rsid w:val="5E007485"/>
    <w:rsid w:val="5E090AD2"/>
    <w:rsid w:val="5E094E1B"/>
    <w:rsid w:val="5E0D40D9"/>
    <w:rsid w:val="5E0F7619"/>
    <w:rsid w:val="5E107387"/>
    <w:rsid w:val="5E13268E"/>
    <w:rsid w:val="5E1366BE"/>
    <w:rsid w:val="5E1648DA"/>
    <w:rsid w:val="5E16741F"/>
    <w:rsid w:val="5E1716B2"/>
    <w:rsid w:val="5E192A3A"/>
    <w:rsid w:val="5E1D49D1"/>
    <w:rsid w:val="5E1E0F38"/>
    <w:rsid w:val="5E1E5916"/>
    <w:rsid w:val="5E200F8D"/>
    <w:rsid w:val="5E201AF0"/>
    <w:rsid w:val="5E210909"/>
    <w:rsid w:val="5E226584"/>
    <w:rsid w:val="5E236FED"/>
    <w:rsid w:val="5E254F92"/>
    <w:rsid w:val="5E2705FF"/>
    <w:rsid w:val="5E27658B"/>
    <w:rsid w:val="5E2B636E"/>
    <w:rsid w:val="5E301A73"/>
    <w:rsid w:val="5E312797"/>
    <w:rsid w:val="5E341343"/>
    <w:rsid w:val="5E34281F"/>
    <w:rsid w:val="5E3453B6"/>
    <w:rsid w:val="5E347997"/>
    <w:rsid w:val="5E3839C9"/>
    <w:rsid w:val="5E3C0335"/>
    <w:rsid w:val="5E3C0DC3"/>
    <w:rsid w:val="5E3C6C11"/>
    <w:rsid w:val="5E3D3C38"/>
    <w:rsid w:val="5E406E8B"/>
    <w:rsid w:val="5E426716"/>
    <w:rsid w:val="5E4278FE"/>
    <w:rsid w:val="5E431118"/>
    <w:rsid w:val="5E4B3848"/>
    <w:rsid w:val="5E4B590E"/>
    <w:rsid w:val="5E4C3AEE"/>
    <w:rsid w:val="5E4F295F"/>
    <w:rsid w:val="5E510B3C"/>
    <w:rsid w:val="5E515950"/>
    <w:rsid w:val="5E522D27"/>
    <w:rsid w:val="5E537DA6"/>
    <w:rsid w:val="5E555EB7"/>
    <w:rsid w:val="5E5653FA"/>
    <w:rsid w:val="5E574849"/>
    <w:rsid w:val="5E5947FB"/>
    <w:rsid w:val="5E5D25A6"/>
    <w:rsid w:val="5E5D2B5A"/>
    <w:rsid w:val="5E5E7366"/>
    <w:rsid w:val="5E642167"/>
    <w:rsid w:val="5E666F66"/>
    <w:rsid w:val="5E686E09"/>
    <w:rsid w:val="5E6C0CB8"/>
    <w:rsid w:val="5E6C398D"/>
    <w:rsid w:val="5E6E30EC"/>
    <w:rsid w:val="5E6F00B6"/>
    <w:rsid w:val="5E7022B6"/>
    <w:rsid w:val="5E7137BA"/>
    <w:rsid w:val="5E72283B"/>
    <w:rsid w:val="5E7303FE"/>
    <w:rsid w:val="5E771FF7"/>
    <w:rsid w:val="5E7726E8"/>
    <w:rsid w:val="5E772BDD"/>
    <w:rsid w:val="5E78030E"/>
    <w:rsid w:val="5E7D6385"/>
    <w:rsid w:val="5E7E7620"/>
    <w:rsid w:val="5E80783D"/>
    <w:rsid w:val="5E84245D"/>
    <w:rsid w:val="5E8733BE"/>
    <w:rsid w:val="5E897B4C"/>
    <w:rsid w:val="5E8E241B"/>
    <w:rsid w:val="5E8E47B1"/>
    <w:rsid w:val="5E902EAB"/>
    <w:rsid w:val="5E946364"/>
    <w:rsid w:val="5E963648"/>
    <w:rsid w:val="5E98152C"/>
    <w:rsid w:val="5E9846BA"/>
    <w:rsid w:val="5E9E36CD"/>
    <w:rsid w:val="5EA061DC"/>
    <w:rsid w:val="5EA337DA"/>
    <w:rsid w:val="5EA34ECE"/>
    <w:rsid w:val="5EA43A11"/>
    <w:rsid w:val="5EA571CE"/>
    <w:rsid w:val="5EA641A7"/>
    <w:rsid w:val="5EA922F9"/>
    <w:rsid w:val="5EAB3786"/>
    <w:rsid w:val="5EAE5021"/>
    <w:rsid w:val="5EB02CC2"/>
    <w:rsid w:val="5EB16AE1"/>
    <w:rsid w:val="5EB30AF6"/>
    <w:rsid w:val="5EB45ED2"/>
    <w:rsid w:val="5EB728E7"/>
    <w:rsid w:val="5EB7421D"/>
    <w:rsid w:val="5EB7426B"/>
    <w:rsid w:val="5EBA4E67"/>
    <w:rsid w:val="5EC011CD"/>
    <w:rsid w:val="5EC21E07"/>
    <w:rsid w:val="5EC32D88"/>
    <w:rsid w:val="5EC6349F"/>
    <w:rsid w:val="5EC70F36"/>
    <w:rsid w:val="5EC80085"/>
    <w:rsid w:val="5ECA5B9E"/>
    <w:rsid w:val="5ECA703A"/>
    <w:rsid w:val="5ECD4493"/>
    <w:rsid w:val="5ECD6BCE"/>
    <w:rsid w:val="5ECD7286"/>
    <w:rsid w:val="5ECF43AF"/>
    <w:rsid w:val="5ED06DE4"/>
    <w:rsid w:val="5ED223D2"/>
    <w:rsid w:val="5ED718ED"/>
    <w:rsid w:val="5ED92E36"/>
    <w:rsid w:val="5EDB2002"/>
    <w:rsid w:val="5EDB6001"/>
    <w:rsid w:val="5EDC16B4"/>
    <w:rsid w:val="5EDC4A80"/>
    <w:rsid w:val="5EDC75B6"/>
    <w:rsid w:val="5EDC7711"/>
    <w:rsid w:val="5EE07938"/>
    <w:rsid w:val="5EE100AE"/>
    <w:rsid w:val="5EE32A90"/>
    <w:rsid w:val="5EE43712"/>
    <w:rsid w:val="5EE7323C"/>
    <w:rsid w:val="5EE96BAA"/>
    <w:rsid w:val="5EEB1FC0"/>
    <w:rsid w:val="5EEB48B3"/>
    <w:rsid w:val="5EEC1A80"/>
    <w:rsid w:val="5EED1744"/>
    <w:rsid w:val="5EEF2793"/>
    <w:rsid w:val="5EF037E7"/>
    <w:rsid w:val="5EF20479"/>
    <w:rsid w:val="5EF84C04"/>
    <w:rsid w:val="5EF90D60"/>
    <w:rsid w:val="5EFB054D"/>
    <w:rsid w:val="5EFC385B"/>
    <w:rsid w:val="5EFC535D"/>
    <w:rsid w:val="5EFE4852"/>
    <w:rsid w:val="5EFF1C0E"/>
    <w:rsid w:val="5F011186"/>
    <w:rsid w:val="5F0231EB"/>
    <w:rsid w:val="5F024E72"/>
    <w:rsid w:val="5F035976"/>
    <w:rsid w:val="5F043868"/>
    <w:rsid w:val="5F063769"/>
    <w:rsid w:val="5F06634A"/>
    <w:rsid w:val="5F0741B7"/>
    <w:rsid w:val="5F0D5188"/>
    <w:rsid w:val="5F0F1EB4"/>
    <w:rsid w:val="5F0F3AF8"/>
    <w:rsid w:val="5F1A088C"/>
    <w:rsid w:val="5F1A443E"/>
    <w:rsid w:val="5F1C06CB"/>
    <w:rsid w:val="5F1D22DD"/>
    <w:rsid w:val="5F1E57C3"/>
    <w:rsid w:val="5F20102A"/>
    <w:rsid w:val="5F222D57"/>
    <w:rsid w:val="5F26774A"/>
    <w:rsid w:val="5F2751E5"/>
    <w:rsid w:val="5F282B34"/>
    <w:rsid w:val="5F287B2E"/>
    <w:rsid w:val="5F294F60"/>
    <w:rsid w:val="5F2B36F1"/>
    <w:rsid w:val="5F2C2581"/>
    <w:rsid w:val="5F2C2CAD"/>
    <w:rsid w:val="5F2D0FC7"/>
    <w:rsid w:val="5F2D33FE"/>
    <w:rsid w:val="5F2F5736"/>
    <w:rsid w:val="5F303B0A"/>
    <w:rsid w:val="5F335C72"/>
    <w:rsid w:val="5F336251"/>
    <w:rsid w:val="5F345A1D"/>
    <w:rsid w:val="5F3547BA"/>
    <w:rsid w:val="5F360A2D"/>
    <w:rsid w:val="5F370972"/>
    <w:rsid w:val="5F3761EC"/>
    <w:rsid w:val="5F3E1242"/>
    <w:rsid w:val="5F3F5C60"/>
    <w:rsid w:val="5F400AA3"/>
    <w:rsid w:val="5F40566E"/>
    <w:rsid w:val="5F436D1B"/>
    <w:rsid w:val="5F437F13"/>
    <w:rsid w:val="5F444D25"/>
    <w:rsid w:val="5F450C4C"/>
    <w:rsid w:val="5F4752C2"/>
    <w:rsid w:val="5F484F67"/>
    <w:rsid w:val="5F490472"/>
    <w:rsid w:val="5F4B121E"/>
    <w:rsid w:val="5F4C1541"/>
    <w:rsid w:val="5F4C4BE0"/>
    <w:rsid w:val="5F4C7CDC"/>
    <w:rsid w:val="5F4D2FC3"/>
    <w:rsid w:val="5F503B95"/>
    <w:rsid w:val="5F507CC9"/>
    <w:rsid w:val="5F5269B1"/>
    <w:rsid w:val="5F54323E"/>
    <w:rsid w:val="5F5517EE"/>
    <w:rsid w:val="5F561799"/>
    <w:rsid w:val="5F5851A8"/>
    <w:rsid w:val="5F586512"/>
    <w:rsid w:val="5F5B1178"/>
    <w:rsid w:val="5F5B293B"/>
    <w:rsid w:val="5F5C4BAA"/>
    <w:rsid w:val="5F5D4CF2"/>
    <w:rsid w:val="5F5D571D"/>
    <w:rsid w:val="5F5E440E"/>
    <w:rsid w:val="5F5F53B5"/>
    <w:rsid w:val="5F613ABE"/>
    <w:rsid w:val="5F623011"/>
    <w:rsid w:val="5F630C74"/>
    <w:rsid w:val="5F6330DE"/>
    <w:rsid w:val="5F650ADA"/>
    <w:rsid w:val="5F662140"/>
    <w:rsid w:val="5F683D3E"/>
    <w:rsid w:val="5F696454"/>
    <w:rsid w:val="5F6B2491"/>
    <w:rsid w:val="5F6D5316"/>
    <w:rsid w:val="5F6E51A2"/>
    <w:rsid w:val="5F6E75F7"/>
    <w:rsid w:val="5F7074EF"/>
    <w:rsid w:val="5F7238B8"/>
    <w:rsid w:val="5F725F41"/>
    <w:rsid w:val="5F7315AA"/>
    <w:rsid w:val="5F7D2AA4"/>
    <w:rsid w:val="5F806D0B"/>
    <w:rsid w:val="5F8154AB"/>
    <w:rsid w:val="5F821ADE"/>
    <w:rsid w:val="5F8249D0"/>
    <w:rsid w:val="5F840CA2"/>
    <w:rsid w:val="5F8575CA"/>
    <w:rsid w:val="5F862913"/>
    <w:rsid w:val="5F873317"/>
    <w:rsid w:val="5F8777D1"/>
    <w:rsid w:val="5F884634"/>
    <w:rsid w:val="5F8863E9"/>
    <w:rsid w:val="5F8B0A79"/>
    <w:rsid w:val="5F8C111C"/>
    <w:rsid w:val="5F966C90"/>
    <w:rsid w:val="5F993419"/>
    <w:rsid w:val="5F9B293C"/>
    <w:rsid w:val="5F9B3384"/>
    <w:rsid w:val="5F9B49EE"/>
    <w:rsid w:val="5F9C0417"/>
    <w:rsid w:val="5F9E6E53"/>
    <w:rsid w:val="5FA06AAE"/>
    <w:rsid w:val="5FA10E00"/>
    <w:rsid w:val="5FA40B63"/>
    <w:rsid w:val="5FA55C09"/>
    <w:rsid w:val="5FA566E5"/>
    <w:rsid w:val="5FA57513"/>
    <w:rsid w:val="5FA577C2"/>
    <w:rsid w:val="5FA710D2"/>
    <w:rsid w:val="5FAB1AF2"/>
    <w:rsid w:val="5FAD1247"/>
    <w:rsid w:val="5FAD37AA"/>
    <w:rsid w:val="5FAD6E48"/>
    <w:rsid w:val="5FB1397A"/>
    <w:rsid w:val="5FB33FB6"/>
    <w:rsid w:val="5FB34022"/>
    <w:rsid w:val="5FB656A2"/>
    <w:rsid w:val="5FBB6F06"/>
    <w:rsid w:val="5FBE69EB"/>
    <w:rsid w:val="5FC01742"/>
    <w:rsid w:val="5FC2262C"/>
    <w:rsid w:val="5FC367A2"/>
    <w:rsid w:val="5FC40593"/>
    <w:rsid w:val="5FC46E6B"/>
    <w:rsid w:val="5FC51376"/>
    <w:rsid w:val="5FC9315A"/>
    <w:rsid w:val="5FCA3686"/>
    <w:rsid w:val="5FCB4C9E"/>
    <w:rsid w:val="5FCC06F0"/>
    <w:rsid w:val="5FCE4199"/>
    <w:rsid w:val="5FCE7B1B"/>
    <w:rsid w:val="5FD47B98"/>
    <w:rsid w:val="5FDB3182"/>
    <w:rsid w:val="5FDC3C24"/>
    <w:rsid w:val="5FDE39E1"/>
    <w:rsid w:val="5FDE44F9"/>
    <w:rsid w:val="5FDE6F9C"/>
    <w:rsid w:val="5FDF1871"/>
    <w:rsid w:val="5FDF6BD5"/>
    <w:rsid w:val="5FDF7C67"/>
    <w:rsid w:val="5FE0450A"/>
    <w:rsid w:val="5FE10320"/>
    <w:rsid w:val="5FE118F5"/>
    <w:rsid w:val="5FE1500E"/>
    <w:rsid w:val="5FE43D8C"/>
    <w:rsid w:val="5FE56EE4"/>
    <w:rsid w:val="5FE57AA1"/>
    <w:rsid w:val="5FEC3FBE"/>
    <w:rsid w:val="5FEE38C3"/>
    <w:rsid w:val="5FEF3748"/>
    <w:rsid w:val="5FF02BA9"/>
    <w:rsid w:val="5FF42310"/>
    <w:rsid w:val="5FF43ECC"/>
    <w:rsid w:val="5FF578BA"/>
    <w:rsid w:val="5FF8598F"/>
    <w:rsid w:val="5FFC5A34"/>
    <w:rsid w:val="5FFD009A"/>
    <w:rsid w:val="60023B81"/>
    <w:rsid w:val="60036A9F"/>
    <w:rsid w:val="60042169"/>
    <w:rsid w:val="60052187"/>
    <w:rsid w:val="600560FA"/>
    <w:rsid w:val="60082417"/>
    <w:rsid w:val="60090066"/>
    <w:rsid w:val="600D0B62"/>
    <w:rsid w:val="600E4AB4"/>
    <w:rsid w:val="600F00D4"/>
    <w:rsid w:val="600F0DBD"/>
    <w:rsid w:val="60120C44"/>
    <w:rsid w:val="60125323"/>
    <w:rsid w:val="601611B7"/>
    <w:rsid w:val="60194225"/>
    <w:rsid w:val="60196B6C"/>
    <w:rsid w:val="601B5E4D"/>
    <w:rsid w:val="601E33B1"/>
    <w:rsid w:val="601F2ADF"/>
    <w:rsid w:val="60207B4A"/>
    <w:rsid w:val="60212FD0"/>
    <w:rsid w:val="60215FB2"/>
    <w:rsid w:val="60223121"/>
    <w:rsid w:val="602323D0"/>
    <w:rsid w:val="60232A91"/>
    <w:rsid w:val="60251EBD"/>
    <w:rsid w:val="60256F48"/>
    <w:rsid w:val="60273CAA"/>
    <w:rsid w:val="602A3369"/>
    <w:rsid w:val="602B2600"/>
    <w:rsid w:val="602B65DE"/>
    <w:rsid w:val="602F1C85"/>
    <w:rsid w:val="60306A32"/>
    <w:rsid w:val="60332DF1"/>
    <w:rsid w:val="60344082"/>
    <w:rsid w:val="603467C3"/>
    <w:rsid w:val="603539C2"/>
    <w:rsid w:val="60353EF3"/>
    <w:rsid w:val="603607AF"/>
    <w:rsid w:val="603C6E6D"/>
    <w:rsid w:val="603D55EE"/>
    <w:rsid w:val="603E419D"/>
    <w:rsid w:val="603E7223"/>
    <w:rsid w:val="603F73AE"/>
    <w:rsid w:val="604273B8"/>
    <w:rsid w:val="604306D2"/>
    <w:rsid w:val="6049235E"/>
    <w:rsid w:val="604A1680"/>
    <w:rsid w:val="604B7641"/>
    <w:rsid w:val="604C3E49"/>
    <w:rsid w:val="604C6625"/>
    <w:rsid w:val="604E1A9A"/>
    <w:rsid w:val="604F091C"/>
    <w:rsid w:val="605106BD"/>
    <w:rsid w:val="60526E79"/>
    <w:rsid w:val="605316D3"/>
    <w:rsid w:val="60572998"/>
    <w:rsid w:val="60584110"/>
    <w:rsid w:val="60590FB8"/>
    <w:rsid w:val="605B581A"/>
    <w:rsid w:val="605F0515"/>
    <w:rsid w:val="60602303"/>
    <w:rsid w:val="60604EC3"/>
    <w:rsid w:val="606245A8"/>
    <w:rsid w:val="6063768A"/>
    <w:rsid w:val="6065507E"/>
    <w:rsid w:val="60681F38"/>
    <w:rsid w:val="606A2780"/>
    <w:rsid w:val="606A5A35"/>
    <w:rsid w:val="60742952"/>
    <w:rsid w:val="60752A76"/>
    <w:rsid w:val="6076659E"/>
    <w:rsid w:val="60772056"/>
    <w:rsid w:val="607C2E94"/>
    <w:rsid w:val="607C7D61"/>
    <w:rsid w:val="607F36E4"/>
    <w:rsid w:val="6087491E"/>
    <w:rsid w:val="608865B5"/>
    <w:rsid w:val="608950F2"/>
    <w:rsid w:val="60897201"/>
    <w:rsid w:val="608A3095"/>
    <w:rsid w:val="608D51E2"/>
    <w:rsid w:val="608F493B"/>
    <w:rsid w:val="608F528A"/>
    <w:rsid w:val="60901F82"/>
    <w:rsid w:val="60933381"/>
    <w:rsid w:val="6096748F"/>
    <w:rsid w:val="60972F78"/>
    <w:rsid w:val="609758A7"/>
    <w:rsid w:val="609805E1"/>
    <w:rsid w:val="60980EBD"/>
    <w:rsid w:val="609A2EBA"/>
    <w:rsid w:val="609B6128"/>
    <w:rsid w:val="609B782B"/>
    <w:rsid w:val="609C18C3"/>
    <w:rsid w:val="609F5CF9"/>
    <w:rsid w:val="609F6D6A"/>
    <w:rsid w:val="60A022C7"/>
    <w:rsid w:val="60A05B88"/>
    <w:rsid w:val="60A1408F"/>
    <w:rsid w:val="60A1525B"/>
    <w:rsid w:val="60A5463B"/>
    <w:rsid w:val="60AA1F7B"/>
    <w:rsid w:val="60AA5F61"/>
    <w:rsid w:val="60AA6AB0"/>
    <w:rsid w:val="60B12A02"/>
    <w:rsid w:val="60B12A2E"/>
    <w:rsid w:val="60B343BC"/>
    <w:rsid w:val="60B5040E"/>
    <w:rsid w:val="60B9296D"/>
    <w:rsid w:val="60BC34FB"/>
    <w:rsid w:val="60BD7076"/>
    <w:rsid w:val="60BE38BA"/>
    <w:rsid w:val="60BE4FAF"/>
    <w:rsid w:val="60C11EFF"/>
    <w:rsid w:val="60C16903"/>
    <w:rsid w:val="60C80329"/>
    <w:rsid w:val="60CA0781"/>
    <w:rsid w:val="60CB7E74"/>
    <w:rsid w:val="60CD3450"/>
    <w:rsid w:val="60CD7102"/>
    <w:rsid w:val="60CF6AA0"/>
    <w:rsid w:val="60D33184"/>
    <w:rsid w:val="60D379EE"/>
    <w:rsid w:val="60D80465"/>
    <w:rsid w:val="60D923A9"/>
    <w:rsid w:val="60DA446F"/>
    <w:rsid w:val="60DA4F86"/>
    <w:rsid w:val="60DA5577"/>
    <w:rsid w:val="60DA77DA"/>
    <w:rsid w:val="60DB35A0"/>
    <w:rsid w:val="60E072E8"/>
    <w:rsid w:val="60E45C61"/>
    <w:rsid w:val="60E4736C"/>
    <w:rsid w:val="60E5456E"/>
    <w:rsid w:val="60E7015E"/>
    <w:rsid w:val="60E7653E"/>
    <w:rsid w:val="60EA64E9"/>
    <w:rsid w:val="60EA7EF8"/>
    <w:rsid w:val="60EB28E1"/>
    <w:rsid w:val="60ED2186"/>
    <w:rsid w:val="60ED54AC"/>
    <w:rsid w:val="60F10A9D"/>
    <w:rsid w:val="60F23520"/>
    <w:rsid w:val="60F45D97"/>
    <w:rsid w:val="60F51CB0"/>
    <w:rsid w:val="60F5749C"/>
    <w:rsid w:val="60F60012"/>
    <w:rsid w:val="60F66826"/>
    <w:rsid w:val="60F80AF2"/>
    <w:rsid w:val="60F87F39"/>
    <w:rsid w:val="60F93983"/>
    <w:rsid w:val="60FA46C2"/>
    <w:rsid w:val="60FB3A75"/>
    <w:rsid w:val="60FB5DA0"/>
    <w:rsid w:val="60FC42A1"/>
    <w:rsid w:val="610130CB"/>
    <w:rsid w:val="6104193D"/>
    <w:rsid w:val="61043186"/>
    <w:rsid w:val="61051C7E"/>
    <w:rsid w:val="61051CD9"/>
    <w:rsid w:val="61053DFC"/>
    <w:rsid w:val="610956B9"/>
    <w:rsid w:val="610C0816"/>
    <w:rsid w:val="610D7A64"/>
    <w:rsid w:val="610F2BC6"/>
    <w:rsid w:val="611005AF"/>
    <w:rsid w:val="61136DB7"/>
    <w:rsid w:val="611734CA"/>
    <w:rsid w:val="611766B8"/>
    <w:rsid w:val="611801FE"/>
    <w:rsid w:val="61191982"/>
    <w:rsid w:val="61195040"/>
    <w:rsid w:val="611E56A5"/>
    <w:rsid w:val="612447A0"/>
    <w:rsid w:val="6125671D"/>
    <w:rsid w:val="612C3917"/>
    <w:rsid w:val="612C4F23"/>
    <w:rsid w:val="612E01AA"/>
    <w:rsid w:val="612E6315"/>
    <w:rsid w:val="613125FD"/>
    <w:rsid w:val="6134290E"/>
    <w:rsid w:val="613548F7"/>
    <w:rsid w:val="613570C2"/>
    <w:rsid w:val="61381299"/>
    <w:rsid w:val="613B3568"/>
    <w:rsid w:val="613B4723"/>
    <w:rsid w:val="613B6BB3"/>
    <w:rsid w:val="613C34BC"/>
    <w:rsid w:val="613E06B1"/>
    <w:rsid w:val="613E3E16"/>
    <w:rsid w:val="6140557C"/>
    <w:rsid w:val="614142AA"/>
    <w:rsid w:val="61474FEA"/>
    <w:rsid w:val="614A4886"/>
    <w:rsid w:val="614A6D38"/>
    <w:rsid w:val="614B2A7C"/>
    <w:rsid w:val="614C124E"/>
    <w:rsid w:val="61526FE4"/>
    <w:rsid w:val="615302D8"/>
    <w:rsid w:val="6153170B"/>
    <w:rsid w:val="61554E7C"/>
    <w:rsid w:val="615773D8"/>
    <w:rsid w:val="615945B9"/>
    <w:rsid w:val="615A23A9"/>
    <w:rsid w:val="615A42EC"/>
    <w:rsid w:val="615A74B0"/>
    <w:rsid w:val="615B0367"/>
    <w:rsid w:val="615D17F4"/>
    <w:rsid w:val="615E0B6E"/>
    <w:rsid w:val="615E6F5D"/>
    <w:rsid w:val="6160662F"/>
    <w:rsid w:val="61622AB9"/>
    <w:rsid w:val="616463BA"/>
    <w:rsid w:val="61676B65"/>
    <w:rsid w:val="616B5C8C"/>
    <w:rsid w:val="616C3287"/>
    <w:rsid w:val="616C3581"/>
    <w:rsid w:val="616E30AA"/>
    <w:rsid w:val="616F2311"/>
    <w:rsid w:val="61717F98"/>
    <w:rsid w:val="61724E6D"/>
    <w:rsid w:val="6173244C"/>
    <w:rsid w:val="61737256"/>
    <w:rsid w:val="617375EA"/>
    <w:rsid w:val="61761B56"/>
    <w:rsid w:val="61771EED"/>
    <w:rsid w:val="61772B51"/>
    <w:rsid w:val="61782486"/>
    <w:rsid w:val="61796599"/>
    <w:rsid w:val="617B1388"/>
    <w:rsid w:val="617C3F35"/>
    <w:rsid w:val="617D103D"/>
    <w:rsid w:val="617D2C89"/>
    <w:rsid w:val="617D6666"/>
    <w:rsid w:val="617E7477"/>
    <w:rsid w:val="617F39B8"/>
    <w:rsid w:val="617F6055"/>
    <w:rsid w:val="617F6A8E"/>
    <w:rsid w:val="61840087"/>
    <w:rsid w:val="61860BB0"/>
    <w:rsid w:val="61870972"/>
    <w:rsid w:val="618713B9"/>
    <w:rsid w:val="6187414E"/>
    <w:rsid w:val="618803FC"/>
    <w:rsid w:val="61882985"/>
    <w:rsid w:val="61891195"/>
    <w:rsid w:val="618A5D6C"/>
    <w:rsid w:val="618B7487"/>
    <w:rsid w:val="618D1386"/>
    <w:rsid w:val="618E603A"/>
    <w:rsid w:val="618F033C"/>
    <w:rsid w:val="61921015"/>
    <w:rsid w:val="619375AA"/>
    <w:rsid w:val="61950FC5"/>
    <w:rsid w:val="619708C5"/>
    <w:rsid w:val="619854C0"/>
    <w:rsid w:val="619A7D14"/>
    <w:rsid w:val="619C1CEC"/>
    <w:rsid w:val="619D0ED6"/>
    <w:rsid w:val="619F5E3F"/>
    <w:rsid w:val="61A05BBF"/>
    <w:rsid w:val="61A543BB"/>
    <w:rsid w:val="61A7770C"/>
    <w:rsid w:val="61AA347A"/>
    <w:rsid w:val="61AF28E5"/>
    <w:rsid w:val="61AF60C0"/>
    <w:rsid w:val="61B70346"/>
    <w:rsid w:val="61B84FA9"/>
    <w:rsid w:val="61B90C82"/>
    <w:rsid w:val="61BB32D5"/>
    <w:rsid w:val="61BE020B"/>
    <w:rsid w:val="61C1177F"/>
    <w:rsid w:val="61C47031"/>
    <w:rsid w:val="61C6517B"/>
    <w:rsid w:val="61CA3DD4"/>
    <w:rsid w:val="61CB02E8"/>
    <w:rsid w:val="61CB11E0"/>
    <w:rsid w:val="61CB70F8"/>
    <w:rsid w:val="61CD3600"/>
    <w:rsid w:val="61CD3B2C"/>
    <w:rsid w:val="61CF1FAB"/>
    <w:rsid w:val="61D07062"/>
    <w:rsid w:val="61D34EB9"/>
    <w:rsid w:val="61D52990"/>
    <w:rsid w:val="61D54B3A"/>
    <w:rsid w:val="61D94B15"/>
    <w:rsid w:val="61DB2D96"/>
    <w:rsid w:val="61DC6D87"/>
    <w:rsid w:val="61DD5012"/>
    <w:rsid w:val="61DE178A"/>
    <w:rsid w:val="61E20BFD"/>
    <w:rsid w:val="61E81B2D"/>
    <w:rsid w:val="61E85ACD"/>
    <w:rsid w:val="61E91680"/>
    <w:rsid w:val="61E91BC5"/>
    <w:rsid w:val="61EB00F3"/>
    <w:rsid w:val="61EB0712"/>
    <w:rsid w:val="61EC42DD"/>
    <w:rsid w:val="61ED2BB5"/>
    <w:rsid w:val="61ED35A1"/>
    <w:rsid w:val="61F058DD"/>
    <w:rsid w:val="61F1316E"/>
    <w:rsid w:val="61F134DD"/>
    <w:rsid w:val="61F311C5"/>
    <w:rsid w:val="61F50270"/>
    <w:rsid w:val="61F54F82"/>
    <w:rsid w:val="61F70C57"/>
    <w:rsid w:val="61F72229"/>
    <w:rsid w:val="61F80415"/>
    <w:rsid w:val="61F81B1B"/>
    <w:rsid w:val="61F84DD5"/>
    <w:rsid w:val="61F87217"/>
    <w:rsid w:val="61F914BE"/>
    <w:rsid w:val="61FC1BFA"/>
    <w:rsid w:val="61FD392B"/>
    <w:rsid w:val="61FE1702"/>
    <w:rsid w:val="61FF1AD4"/>
    <w:rsid w:val="62004AD1"/>
    <w:rsid w:val="62024448"/>
    <w:rsid w:val="62094D15"/>
    <w:rsid w:val="62094D6C"/>
    <w:rsid w:val="620A7016"/>
    <w:rsid w:val="620C764C"/>
    <w:rsid w:val="620E611B"/>
    <w:rsid w:val="620F29DF"/>
    <w:rsid w:val="62114949"/>
    <w:rsid w:val="621320CA"/>
    <w:rsid w:val="62133492"/>
    <w:rsid w:val="62160C88"/>
    <w:rsid w:val="62191CDC"/>
    <w:rsid w:val="621A5CF3"/>
    <w:rsid w:val="621C2F08"/>
    <w:rsid w:val="621C4C32"/>
    <w:rsid w:val="621F1C4E"/>
    <w:rsid w:val="62215464"/>
    <w:rsid w:val="62217A6B"/>
    <w:rsid w:val="622514C9"/>
    <w:rsid w:val="62261F55"/>
    <w:rsid w:val="622760A5"/>
    <w:rsid w:val="62286E52"/>
    <w:rsid w:val="622D49D8"/>
    <w:rsid w:val="622E6DDF"/>
    <w:rsid w:val="622F39F1"/>
    <w:rsid w:val="622F4C72"/>
    <w:rsid w:val="62300CFA"/>
    <w:rsid w:val="62310815"/>
    <w:rsid w:val="62370381"/>
    <w:rsid w:val="623759A4"/>
    <w:rsid w:val="62391359"/>
    <w:rsid w:val="623C08EC"/>
    <w:rsid w:val="623E2983"/>
    <w:rsid w:val="623E7676"/>
    <w:rsid w:val="623F2CFC"/>
    <w:rsid w:val="624151E3"/>
    <w:rsid w:val="62437E4A"/>
    <w:rsid w:val="6245136C"/>
    <w:rsid w:val="624809FB"/>
    <w:rsid w:val="62483269"/>
    <w:rsid w:val="624C483D"/>
    <w:rsid w:val="624E2F2E"/>
    <w:rsid w:val="624F32A1"/>
    <w:rsid w:val="62505C80"/>
    <w:rsid w:val="62526AEE"/>
    <w:rsid w:val="625361F9"/>
    <w:rsid w:val="62554ED7"/>
    <w:rsid w:val="6255641E"/>
    <w:rsid w:val="625573B5"/>
    <w:rsid w:val="62561A33"/>
    <w:rsid w:val="625963BE"/>
    <w:rsid w:val="625A4FBE"/>
    <w:rsid w:val="625F6DE8"/>
    <w:rsid w:val="6265118B"/>
    <w:rsid w:val="626634A5"/>
    <w:rsid w:val="62685884"/>
    <w:rsid w:val="626869B1"/>
    <w:rsid w:val="62694EFA"/>
    <w:rsid w:val="626B2AAE"/>
    <w:rsid w:val="626C2085"/>
    <w:rsid w:val="626D3967"/>
    <w:rsid w:val="626E09A4"/>
    <w:rsid w:val="626F138A"/>
    <w:rsid w:val="626F7ACC"/>
    <w:rsid w:val="6271363F"/>
    <w:rsid w:val="62736621"/>
    <w:rsid w:val="62752667"/>
    <w:rsid w:val="62756EA7"/>
    <w:rsid w:val="627672C9"/>
    <w:rsid w:val="6277365E"/>
    <w:rsid w:val="627A6846"/>
    <w:rsid w:val="627C5AA8"/>
    <w:rsid w:val="627C5D52"/>
    <w:rsid w:val="627D60B0"/>
    <w:rsid w:val="62806FF4"/>
    <w:rsid w:val="6282166D"/>
    <w:rsid w:val="628432B4"/>
    <w:rsid w:val="6285207C"/>
    <w:rsid w:val="62863586"/>
    <w:rsid w:val="62870268"/>
    <w:rsid w:val="62876610"/>
    <w:rsid w:val="628A4188"/>
    <w:rsid w:val="628B7C2D"/>
    <w:rsid w:val="628C0986"/>
    <w:rsid w:val="628C49F8"/>
    <w:rsid w:val="628C4F61"/>
    <w:rsid w:val="628E7C0B"/>
    <w:rsid w:val="628F2015"/>
    <w:rsid w:val="62930375"/>
    <w:rsid w:val="629575B1"/>
    <w:rsid w:val="629674B4"/>
    <w:rsid w:val="62986348"/>
    <w:rsid w:val="629A31AF"/>
    <w:rsid w:val="629D6E59"/>
    <w:rsid w:val="62A10B6B"/>
    <w:rsid w:val="62A3305A"/>
    <w:rsid w:val="62A46A42"/>
    <w:rsid w:val="62A51899"/>
    <w:rsid w:val="62A52399"/>
    <w:rsid w:val="62AA24F2"/>
    <w:rsid w:val="62AA6CA9"/>
    <w:rsid w:val="62AB164D"/>
    <w:rsid w:val="62AE3329"/>
    <w:rsid w:val="62B2241E"/>
    <w:rsid w:val="62B55710"/>
    <w:rsid w:val="62B61A64"/>
    <w:rsid w:val="62B842AD"/>
    <w:rsid w:val="62C0148E"/>
    <w:rsid w:val="62C03052"/>
    <w:rsid w:val="62C10ECB"/>
    <w:rsid w:val="62C22CA1"/>
    <w:rsid w:val="62C25915"/>
    <w:rsid w:val="62C4331E"/>
    <w:rsid w:val="62C55307"/>
    <w:rsid w:val="62C60323"/>
    <w:rsid w:val="62C65457"/>
    <w:rsid w:val="62C9279D"/>
    <w:rsid w:val="62C9467B"/>
    <w:rsid w:val="62CA1389"/>
    <w:rsid w:val="62D079A4"/>
    <w:rsid w:val="62D15AF3"/>
    <w:rsid w:val="62D20D2F"/>
    <w:rsid w:val="62D665FF"/>
    <w:rsid w:val="62D748FA"/>
    <w:rsid w:val="62D9563E"/>
    <w:rsid w:val="62D965BD"/>
    <w:rsid w:val="62DB29F2"/>
    <w:rsid w:val="62DB2B8C"/>
    <w:rsid w:val="62DE73FC"/>
    <w:rsid w:val="62DF1DDA"/>
    <w:rsid w:val="62DF21FE"/>
    <w:rsid w:val="62E06D47"/>
    <w:rsid w:val="62E1645C"/>
    <w:rsid w:val="62E22A2E"/>
    <w:rsid w:val="62E44158"/>
    <w:rsid w:val="62E812BA"/>
    <w:rsid w:val="62E86963"/>
    <w:rsid w:val="62EA6A5B"/>
    <w:rsid w:val="62EB6D1B"/>
    <w:rsid w:val="62EC03A7"/>
    <w:rsid w:val="62EC29FC"/>
    <w:rsid w:val="62ED4690"/>
    <w:rsid w:val="62EE48F8"/>
    <w:rsid w:val="62EF0307"/>
    <w:rsid w:val="62F048CE"/>
    <w:rsid w:val="62F917AD"/>
    <w:rsid w:val="62F91BEF"/>
    <w:rsid w:val="62F957D8"/>
    <w:rsid w:val="62FB27E6"/>
    <w:rsid w:val="62FF39C5"/>
    <w:rsid w:val="630000D4"/>
    <w:rsid w:val="63017396"/>
    <w:rsid w:val="63033C96"/>
    <w:rsid w:val="630362DE"/>
    <w:rsid w:val="6307027B"/>
    <w:rsid w:val="63076229"/>
    <w:rsid w:val="630A1824"/>
    <w:rsid w:val="630B0B3E"/>
    <w:rsid w:val="630D40BB"/>
    <w:rsid w:val="630F6FB5"/>
    <w:rsid w:val="63114A32"/>
    <w:rsid w:val="631213BA"/>
    <w:rsid w:val="63140B18"/>
    <w:rsid w:val="631507DF"/>
    <w:rsid w:val="631677C4"/>
    <w:rsid w:val="63177EE3"/>
    <w:rsid w:val="631C187E"/>
    <w:rsid w:val="631E208B"/>
    <w:rsid w:val="631E3F08"/>
    <w:rsid w:val="63204695"/>
    <w:rsid w:val="63207DBC"/>
    <w:rsid w:val="6321716E"/>
    <w:rsid w:val="632223AB"/>
    <w:rsid w:val="6322291F"/>
    <w:rsid w:val="6324514B"/>
    <w:rsid w:val="63257EDB"/>
    <w:rsid w:val="632A1009"/>
    <w:rsid w:val="633217DB"/>
    <w:rsid w:val="63323A85"/>
    <w:rsid w:val="63342C58"/>
    <w:rsid w:val="63353610"/>
    <w:rsid w:val="633573FB"/>
    <w:rsid w:val="63357B6A"/>
    <w:rsid w:val="63360FC1"/>
    <w:rsid w:val="63381370"/>
    <w:rsid w:val="63397247"/>
    <w:rsid w:val="633A2F72"/>
    <w:rsid w:val="633A4DDA"/>
    <w:rsid w:val="633B41B8"/>
    <w:rsid w:val="633D690F"/>
    <w:rsid w:val="63407933"/>
    <w:rsid w:val="634101FA"/>
    <w:rsid w:val="6342125E"/>
    <w:rsid w:val="634425C8"/>
    <w:rsid w:val="634B04A4"/>
    <w:rsid w:val="634F2117"/>
    <w:rsid w:val="63501EAC"/>
    <w:rsid w:val="6350762B"/>
    <w:rsid w:val="63554328"/>
    <w:rsid w:val="63557796"/>
    <w:rsid w:val="635B4408"/>
    <w:rsid w:val="635C1B94"/>
    <w:rsid w:val="635D12C9"/>
    <w:rsid w:val="635F5D4C"/>
    <w:rsid w:val="63632425"/>
    <w:rsid w:val="63637BCA"/>
    <w:rsid w:val="63647277"/>
    <w:rsid w:val="6365191F"/>
    <w:rsid w:val="63654E52"/>
    <w:rsid w:val="636736D3"/>
    <w:rsid w:val="6368101B"/>
    <w:rsid w:val="63686064"/>
    <w:rsid w:val="636976E4"/>
    <w:rsid w:val="636B0C7A"/>
    <w:rsid w:val="636B5B87"/>
    <w:rsid w:val="636C0236"/>
    <w:rsid w:val="636C6301"/>
    <w:rsid w:val="636E59CC"/>
    <w:rsid w:val="63716899"/>
    <w:rsid w:val="63717F9F"/>
    <w:rsid w:val="63730043"/>
    <w:rsid w:val="637402D4"/>
    <w:rsid w:val="637661FA"/>
    <w:rsid w:val="637734FC"/>
    <w:rsid w:val="63791A79"/>
    <w:rsid w:val="637A1ECA"/>
    <w:rsid w:val="637B3AA6"/>
    <w:rsid w:val="637C389B"/>
    <w:rsid w:val="637F2A7E"/>
    <w:rsid w:val="63814BF8"/>
    <w:rsid w:val="638243D3"/>
    <w:rsid w:val="638409A4"/>
    <w:rsid w:val="63852786"/>
    <w:rsid w:val="63866ABE"/>
    <w:rsid w:val="638756B4"/>
    <w:rsid w:val="63880D84"/>
    <w:rsid w:val="638C05C3"/>
    <w:rsid w:val="638C1EB0"/>
    <w:rsid w:val="638D0370"/>
    <w:rsid w:val="63912ED7"/>
    <w:rsid w:val="6394110A"/>
    <w:rsid w:val="63960DDC"/>
    <w:rsid w:val="6396115F"/>
    <w:rsid w:val="63966FB7"/>
    <w:rsid w:val="63970B76"/>
    <w:rsid w:val="63971B55"/>
    <w:rsid w:val="63976337"/>
    <w:rsid w:val="6399379C"/>
    <w:rsid w:val="63996B45"/>
    <w:rsid w:val="639A6700"/>
    <w:rsid w:val="639B3727"/>
    <w:rsid w:val="639B4C4C"/>
    <w:rsid w:val="639B6735"/>
    <w:rsid w:val="639C1ACC"/>
    <w:rsid w:val="639E3B7B"/>
    <w:rsid w:val="639E4BB2"/>
    <w:rsid w:val="639F3FEE"/>
    <w:rsid w:val="63A057F0"/>
    <w:rsid w:val="63A24EDF"/>
    <w:rsid w:val="63A3284C"/>
    <w:rsid w:val="63A35406"/>
    <w:rsid w:val="63A8429C"/>
    <w:rsid w:val="63A91CCE"/>
    <w:rsid w:val="63AA5C1F"/>
    <w:rsid w:val="63AD48BD"/>
    <w:rsid w:val="63AD4DF2"/>
    <w:rsid w:val="63AE1C63"/>
    <w:rsid w:val="63AF01D9"/>
    <w:rsid w:val="63B21DCA"/>
    <w:rsid w:val="63B3153A"/>
    <w:rsid w:val="63B352ED"/>
    <w:rsid w:val="63B52D72"/>
    <w:rsid w:val="63B821DE"/>
    <w:rsid w:val="63BA1303"/>
    <w:rsid w:val="63BA7083"/>
    <w:rsid w:val="63BB701F"/>
    <w:rsid w:val="63BD7F8B"/>
    <w:rsid w:val="63BE3693"/>
    <w:rsid w:val="63C12C6A"/>
    <w:rsid w:val="63C349C5"/>
    <w:rsid w:val="63C806BC"/>
    <w:rsid w:val="63C9316D"/>
    <w:rsid w:val="63CB0067"/>
    <w:rsid w:val="63CE6CAE"/>
    <w:rsid w:val="63CF0DBC"/>
    <w:rsid w:val="63CF282C"/>
    <w:rsid w:val="63D00F87"/>
    <w:rsid w:val="63D03E9D"/>
    <w:rsid w:val="63D54506"/>
    <w:rsid w:val="63D56CEC"/>
    <w:rsid w:val="63D61FE0"/>
    <w:rsid w:val="63D65B42"/>
    <w:rsid w:val="63D8617D"/>
    <w:rsid w:val="63D95CF2"/>
    <w:rsid w:val="63D972BE"/>
    <w:rsid w:val="63DA7334"/>
    <w:rsid w:val="63DD378D"/>
    <w:rsid w:val="63DE58EF"/>
    <w:rsid w:val="63E356F2"/>
    <w:rsid w:val="63E37EFE"/>
    <w:rsid w:val="63E41840"/>
    <w:rsid w:val="63E476CA"/>
    <w:rsid w:val="63E63E85"/>
    <w:rsid w:val="63E710DD"/>
    <w:rsid w:val="63E82675"/>
    <w:rsid w:val="63EB3E55"/>
    <w:rsid w:val="63ED4E49"/>
    <w:rsid w:val="63EF256F"/>
    <w:rsid w:val="63F14F88"/>
    <w:rsid w:val="63F23B35"/>
    <w:rsid w:val="63F44F21"/>
    <w:rsid w:val="63F50201"/>
    <w:rsid w:val="63F52181"/>
    <w:rsid w:val="63F574F9"/>
    <w:rsid w:val="63F61C75"/>
    <w:rsid w:val="63F72199"/>
    <w:rsid w:val="63F72636"/>
    <w:rsid w:val="63F82D13"/>
    <w:rsid w:val="63F87797"/>
    <w:rsid w:val="63F93D08"/>
    <w:rsid w:val="63FC4745"/>
    <w:rsid w:val="63FC5E48"/>
    <w:rsid w:val="63FF2669"/>
    <w:rsid w:val="640033E8"/>
    <w:rsid w:val="64046675"/>
    <w:rsid w:val="64046D21"/>
    <w:rsid w:val="64092D90"/>
    <w:rsid w:val="640945B2"/>
    <w:rsid w:val="640A747C"/>
    <w:rsid w:val="640D5A5E"/>
    <w:rsid w:val="640D6B4D"/>
    <w:rsid w:val="6410123F"/>
    <w:rsid w:val="6410754C"/>
    <w:rsid w:val="64120D9F"/>
    <w:rsid w:val="641252A9"/>
    <w:rsid w:val="641449E7"/>
    <w:rsid w:val="641677A2"/>
    <w:rsid w:val="64187930"/>
    <w:rsid w:val="641920EF"/>
    <w:rsid w:val="641C75AD"/>
    <w:rsid w:val="641E69B6"/>
    <w:rsid w:val="64224B26"/>
    <w:rsid w:val="6422625D"/>
    <w:rsid w:val="642641C8"/>
    <w:rsid w:val="642D40AD"/>
    <w:rsid w:val="642E548C"/>
    <w:rsid w:val="643106AD"/>
    <w:rsid w:val="64341F90"/>
    <w:rsid w:val="643644C4"/>
    <w:rsid w:val="643732EA"/>
    <w:rsid w:val="64380993"/>
    <w:rsid w:val="643953B3"/>
    <w:rsid w:val="643B44EA"/>
    <w:rsid w:val="643F3205"/>
    <w:rsid w:val="644069D3"/>
    <w:rsid w:val="64436F86"/>
    <w:rsid w:val="644413A1"/>
    <w:rsid w:val="644671CF"/>
    <w:rsid w:val="64473E38"/>
    <w:rsid w:val="64482760"/>
    <w:rsid w:val="64487A59"/>
    <w:rsid w:val="644A4A2D"/>
    <w:rsid w:val="644D71BB"/>
    <w:rsid w:val="644E1142"/>
    <w:rsid w:val="644E21C4"/>
    <w:rsid w:val="644E21FC"/>
    <w:rsid w:val="6451124E"/>
    <w:rsid w:val="64520CD7"/>
    <w:rsid w:val="6454041C"/>
    <w:rsid w:val="64562BFD"/>
    <w:rsid w:val="64564193"/>
    <w:rsid w:val="645840B3"/>
    <w:rsid w:val="645B152E"/>
    <w:rsid w:val="645B4FBD"/>
    <w:rsid w:val="64603583"/>
    <w:rsid w:val="64603711"/>
    <w:rsid w:val="64603A7E"/>
    <w:rsid w:val="646173A9"/>
    <w:rsid w:val="64630CC3"/>
    <w:rsid w:val="646512D4"/>
    <w:rsid w:val="64661ABC"/>
    <w:rsid w:val="64695ADB"/>
    <w:rsid w:val="646B5AE1"/>
    <w:rsid w:val="64707DD6"/>
    <w:rsid w:val="64711351"/>
    <w:rsid w:val="64712CDF"/>
    <w:rsid w:val="64715996"/>
    <w:rsid w:val="64723585"/>
    <w:rsid w:val="64746D47"/>
    <w:rsid w:val="6475465E"/>
    <w:rsid w:val="64786361"/>
    <w:rsid w:val="647A6294"/>
    <w:rsid w:val="64804546"/>
    <w:rsid w:val="64817D96"/>
    <w:rsid w:val="6482180E"/>
    <w:rsid w:val="64834D95"/>
    <w:rsid w:val="64835CE6"/>
    <w:rsid w:val="64846967"/>
    <w:rsid w:val="648534CC"/>
    <w:rsid w:val="64876652"/>
    <w:rsid w:val="64892017"/>
    <w:rsid w:val="649006FB"/>
    <w:rsid w:val="649237A9"/>
    <w:rsid w:val="649448C1"/>
    <w:rsid w:val="6494503F"/>
    <w:rsid w:val="64945F4E"/>
    <w:rsid w:val="649579CB"/>
    <w:rsid w:val="649628B0"/>
    <w:rsid w:val="64986928"/>
    <w:rsid w:val="649872EA"/>
    <w:rsid w:val="649A436E"/>
    <w:rsid w:val="649A5CC3"/>
    <w:rsid w:val="649B5816"/>
    <w:rsid w:val="649C0400"/>
    <w:rsid w:val="649C7B00"/>
    <w:rsid w:val="649D14EE"/>
    <w:rsid w:val="649F00E0"/>
    <w:rsid w:val="649F0BB5"/>
    <w:rsid w:val="649F1E91"/>
    <w:rsid w:val="649F74F6"/>
    <w:rsid w:val="64A1740F"/>
    <w:rsid w:val="64A17AB4"/>
    <w:rsid w:val="64A21FFE"/>
    <w:rsid w:val="64A27015"/>
    <w:rsid w:val="64A36527"/>
    <w:rsid w:val="64A44CD0"/>
    <w:rsid w:val="64A7079C"/>
    <w:rsid w:val="64AD7C04"/>
    <w:rsid w:val="64AE752F"/>
    <w:rsid w:val="64B12153"/>
    <w:rsid w:val="64B15A92"/>
    <w:rsid w:val="64B20B62"/>
    <w:rsid w:val="64B23258"/>
    <w:rsid w:val="64B26385"/>
    <w:rsid w:val="64B45A51"/>
    <w:rsid w:val="64B7409C"/>
    <w:rsid w:val="64B823AB"/>
    <w:rsid w:val="64B87D6F"/>
    <w:rsid w:val="64BD5447"/>
    <w:rsid w:val="64BE3266"/>
    <w:rsid w:val="64C15B6A"/>
    <w:rsid w:val="64C20B10"/>
    <w:rsid w:val="64C32F0C"/>
    <w:rsid w:val="64C41DFD"/>
    <w:rsid w:val="64C701E7"/>
    <w:rsid w:val="64C91749"/>
    <w:rsid w:val="64CA12DB"/>
    <w:rsid w:val="64CB19BC"/>
    <w:rsid w:val="64CF6F17"/>
    <w:rsid w:val="64D054DA"/>
    <w:rsid w:val="64D20843"/>
    <w:rsid w:val="64D343F4"/>
    <w:rsid w:val="64D415A7"/>
    <w:rsid w:val="64D47EA3"/>
    <w:rsid w:val="64D60FC7"/>
    <w:rsid w:val="64D94EBD"/>
    <w:rsid w:val="64DC7D70"/>
    <w:rsid w:val="64DD3A0A"/>
    <w:rsid w:val="64DE7024"/>
    <w:rsid w:val="64E16A01"/>
    <w:rsid w:val="64E5271D"/>
    <w:rsid w:val="64EB1528"/>
    <w:rsid w:val="64EB4F27"/>
    <w:rsid w:val="64ED59AA"/>
    <w:rsid w:val="64F40133"/>
    <w:rsid w:val="64F46560"/>
    <w:rsid w:val="64F562AC"/>
    <w:rsid w:val="64F74CA4"/>
    <w:rsid w:val="64F7564E"/>
    <w:rsid w:val="64FA5DAC"/>
    <w:rsid w:val="64FC674D"/>
    <w:rsid w:val="64FE107B"/>
    <w:rsid w:val="64FF0203"/>
    <w:rsid w:val="64FF21A0"/>
    <w:rsid w:val="64FF307F"/>
    <w:rsid w:val="65006469"/>
    <w:rsid w:val="6501705E"/>
    <w:rsid w:val="65017257"/>
    <w:rsid w:val="650217C8"/>
    <w:rsid w:val="6502454C"/>
    <w:rsid w:val="65032544"/>
    <w:rsid w:val="65034EBD"/>
    <w:rsid w:val="65061839"/>
    <w:rsid w:val="65071C7C"/>
    <w:rsid w:val="650B656C"/>
    <w:rsid w:val="650E791D"/>
    <w:rsid w:val="65111C45"/>
    <w:rsid w:val="65115435"/>
    <w:rsid w:val="65121096"/>
    <w:rsid w:val="65137062"/>
    <w:rsid w:val="651441CA"/>
    <w:rsid w:val="651474A9"/>
    <w:rsid w:val="65172E1F"/>
    <w:rsid w:val="65173CD2"/>
    <w:rsid w:val="6518508B"/>
    <w:rsid w:val="652123FE"/>
    <w:rsid w:val="65213906"/>
    <w:rsid w:val="652215A3"/>
    <w:rsid w:val="6523652F"/>
    <w:rsid w:val="65255A3C"/>
    <w:rsid w:val="65265BA2"/>
    <w:rsid w:val="65270BE8"/>
    <w:rsid w:val="6527202B"/>
    <w:rsid w:val="652824A2"/>
    <w:rsid w:val="65291A4D"/>
    <w:rsid w:val="652A4173"/>
    <w:rsid w:val="652B554C"/>
    <w:rsid w:val="652D00DE"/>
    <w:rsid w:val="652F345E"/>
    <w:rsid w:val="653018BF"/>
    <w:rsid w:val="65310F3F"/>
    <w:rsid w:val="653206CC"/>
    <w:rsid w:val="653305B3"/>
    <w:rsid w:val="6533369F"/>
    <w:rsid w:val="653876F0"/>
    <w:rsid w:val="653B6D97"/>
    <w:rsid w:val="653C19EC"/>
    <w:rsid w:val="653C7D5B"/>
    <w:rsid w:val="653E3996"/>
    <w:rsid w:val="65421E5F"/>
    <w:rsid w:val="65481D9D"/>
    <w:rsid w:val="654C4E18"/>
    <w:rsid w:val="654D303D"/>
    <w:rsid w:val="654E64CB"/>
    <w:rsid w:val="654F1A3E"/>
    <w:rsid w:val="65503B5F"/>
    <w:rsid w:val="65511D73"/>
    <w:rsid w:val="65515EF4"/>
    <w:rsid w:val="65547AAD"/>
    <w:rsid w:val="65564F63"/>
    <w:rsid w:val="655822EC"/>
    <w:rsid w:val="655948DE"/>
    <w:rsid w:val="655B1595"/>
    <w:rsid w:val="655C0CC9"/>
    <w:rsid w:val="655D2D03"/>
    <w:rsid w:val="65615DB8"/>
    <w:rsid w:val="656333C3"/>
    <w:rsid w:val="656948C0"/>
    <w:rsid w:val="656C1837"/>
    <w:rsid w:val="656D512A"/>
    <w:rsid w:val="656F35CF"/>
    <w:rsid w:val="656F662F"/>
    <w:rsid w:val="65702381"/>
    <w:rsid w:val="65754231"/>
    <w:rsid w:val="65796E8E"/>
    <w:rsid w:val="657B704A"/>
    <w:rsid w:val="657C7AB2"/>
    <w:rsid w:val="657D0DB2"/>
    <w:rsid w:val="657E4554"/>
    <w:rsid w:val="657E4D1B"/>
    <w:rsid w:val="65806D7C"/>
    <w:rsid w:val="658173A4"/>
    <w:rsid w:val="658241BA"/>
    <w:rsid w:val="65837AE4"/>
    <w:rsid w:val="658C2C20"/>
    <w:rsid w:val="658C461A"/>
    <w:rsid w:val="65927BA6"/>
    <w:rsid w:val="65960651"/>
    <w:rsid w:val="659718C7"/>
    <w:rsid w:val="6599143A"/>
    <w:rsid w:val="659948B7"/>
    <w:rsid w:val="659B26DE"/>
    <w:rsid w:val="659C02BF"/>
    <w:rsid w:val="659D7E67"/>
    <w:rsid w:val="659E2BDB"/>
    <w:rsid w:val="659E332A"/>
    <w:rsid w:val="65A175FF"/>
    <w:rsid w:val="65A37FCF"/>
    <w:rsid w:val="65A516BC"/>
    <w:rsid w:val="65A91628"/>
    <w:rsid w:val="65AC6860"/>
    <w:rsid w:val="65AE4EEA"/>
    <w:rsid w:val="65AF3400"/>
    <w:rsid w:val="65AF6310"/>
    <w:rsid w:val="65B17871"/>
    <w:rsid w:val="65B30BE3"/>
    <w:rsid w:val="65B340C9"/>
    <w:rsid w:val="65B34C45"/>
    <w:rsid w:val="65B35F7B"/>
    <w:rsid w:val="65BA55FE"/>
    <w:rsid w:val="65BC066C"/>
    <w:rsid w:val="65BE1C5B"/>
    <w:rsid w:val="65BE5658"/>
    <w:rsid w:val="65C11375"/>
    <w:rsid w:val="65C33D59"/>
    <w:rsid w:val="65C34C8A"/>
    <w:rsid w:val="65C5348F"/>
    <w:rsid w:val="65C54D7D"/>
    <w:rsid w:val="65C55A8E"/>
    <w:rsid w:val="65C71022"/>
    <w:rsid w:val="65C84D70"/>
    <w:rsid w:val="65D0081C"/>
    <w:rsid w:val="65D30CC2"/>
    <w:rsid w:val="65D310C3"/>
    <w:rsid w:val="65D5046C"/>
    <w:rsid w:val="65D513C1"/>
    <w:rsid w:val="65D847A5"/>
    <w:rsid w:val="65D90505"/>
    <w:rsid w:val="65D94E86"/>
    <w:rsid w:val="65D95451"/>
    <w:rsid w:val="65DB7497"/>
    <w:rsid w:val="65DD6D43"/>
    <w:rsid w:val="65E06560"/>
    <w:rsid w:val="65E32A90"/>
    <w:rsid w:val="65E37BC7"/>
    <w:rsid w:val="65E47A9D"/>
    <w:rsid w:val="65E56514"/>
    <w:rsid w:val="65E857E3"/>
    <w:rsid w:val="65EA1465"/>
    <w:rsid w:val="65EA30FA"/>
    <w:rsid w:val="65ED2E4C"/>
    <w:rsid w:val="65ED5DD9"/>
    <w:rsid w:val="65F15A98"/>
    <w:rsid w:val="65F46A0C"/>
    <w:rsid w:val="65F769A4"/>
    <w:rsid w:val="65F84D84"/>
    <w:rsid w:val="65F92DA8"/>
    <w:rsid w:val="65F93D0E"/>
    <w:rsid w:val="65F95B0B"/>
    <w:rsid w:val="65FB39FC"/>
    <w:rsid w:val="65FE2D8D"/>
    <w:rsid w:val="66034157"/>
    <w:rsid w:val="66037CBC"/>
    <w:rsid w:val="660962D5"/>
    <w:rsid w:val="660A20A3"/>
    <w:rsid w:val="660C65C6"/>
    <w:rsid w:val="660C6BBC"/>
    <w:rsid w:val="660D7B40"/>
    <w:rsid w:val="660F4BFF"/>
    <w:rsid w:val="66131F8A"/>
    <w:rsid w:val="66157D5D"/>
    <w:rsid w:val="661A771E"/>
    <w:rsid w:val="661D2A93"/>
    <w:rsid w:val="661E134B"/>
    <w:rsid w:val="661F3A0A"/>
    <w:rsid w:val="66203D53"/>
    <w:rsid w:val="662075A7"/>
    <w:rsid w:val="662655CB"/>
    <w:rsid w:val="662743C4"/>
    <w:rsid w:val="66290795"/>
    <w:rsid w:val="662933BC"/>
    <w:rsid w:val="662A67FA"/>
    <w:rsid w:val="663424F0"/>
    <w:rsid w:val="66343B10"/>
    <w:rsid w:val="66344C84"/>
    <w:rsid w:val="663654E2"/>
    <w:rsid w:val="663678A0"/>
    <w:rsid w:val="663855C9"/>
    <w:rsid w:val="66390A56"/>
    <w:rsid w:val="663A0472"/>
    <w:rsid w:val="663A111D"/>
    <w:rsid w:val="663D24A1"/>
    <w:rsid w:val="663E30D7"/>
    <w:rsid w:val="663E48CF"/>
    <w:rsid w:val="66471146"/>
    <w:rsid w:val="66471C6F"/>
    <w:rsid w:val="664A52AB"/>
    <w:rsid w:val="664A59E9"/>
    <w:rsid w:val="664B606E"/>
    <w:rsid w:val="664C4DEB"/>
    <w:rsid w:val="664D50E5"/>
    <w:rsid w:val="66517CAF"/>
    <w:rsid w:val="6653742F"/>
    <w:rsid w:val="66576185"/>
    <w:rsid w:val="665941E4"/>
    <w:rsid w:val="665A2EF9"/>
    <w:rsid w:val="665A44CC"/>
    <w:rsid w:val="665E4EF5"/>
    <w:rsid w:val="665F4BEC"/>
    <w:rsid w:val="6662151E"/>
    <w:rsid w:val="66621AC2"/>
    <w:rsid w:val="66622676"/>
    <w:rsid w:val="66627F54"/>
    <w:rsid w:val="666C06EE"/>
    <w:rsid w:val="666E0637"/>
    <w:rsid w:val="666F6717"/>
    <w:rsid w:val="66717323"/>
    <w:rsid w:val="66717B4D"/>
    <w:rsid w:val="6672679C"/>
    <w:rsid w:val="66776358"/>
    <w:rsid w:val="66790D9D"/>
    <w:rsid w:val="667A3D46"/>
    <w:rsid w:val="667B7BD1"/>
    <w:rsid w:val="667D3DE8"/>
    <w:rsid w:val="66810FC9"/>
    <w:rsid w:val="66847FDD"/>
    <w:rsid w:val="669142A0"/>
    <w:rsid w:val="669155B6"/>
    <w:rsid w:val="669160C7"/>
    <w:rsid w:val="66934FB6"/>
    <w:rsid w:val="669E0868"/>
    <w:rsid w:val="669E5884"/>
    <w:rsid w:val="66A35060"/>
    <w:rsid w:val="66A53076"/>
    <w:rsid w:val="66A7460A"/>
    <w:rsid w:val="66A76404"/>
    <w:rsid w:val="66A8189E"/>
    <w:rsid w:val="66AD52B8"/>
    <w:rsid w:val="66AE3F6C"/>
    <w:rsid w:val="66B260AF"/>
    <w:rsid w:val="66B36D14"/>
    <w:rsid w:val="66B5786E"/>
    <w:rsid w:val="66B84D5A"/>
    <w:rsid w:val="66BA3125"/>
    <w:rsid w:val="66BD6456"/>
    <w:rsid w:val="66BE58B0"/>
    <w:rsid w:val="66BF5315"/>
    <w:rsid w:val="66C0177C"/>
    <w:rsid w:val="66C16B22"/>
    <w:rsid w:val="66C305B2"/>
    <w:rsid w:val="66C74646"/>
    <w:rsid w:val="66C851AE"/>
    <w:rsid w:val="66C96600"/>
    <w:rsid w:val="66CA1545"/>
    <w:rsid w:val="66CA7A09"/>
    <w:rsid w:val="66CB10F8"/>
    <w:rsid w:val="66CB5119"/>
    <w:rsid w:val="66CC6022"/>
    <w:rsid w:val="66CF203F"/>
    <w:rsid w:val="66CF58B2"/>
    <w:rsid w:val="66D0196E"/>
    <w:rsid w:val="66D11C9A"/>
    <w:rsid w:val="66D207B7"/>
    <w:rsid w:val="66D253D8"/>
    <w:rsid w:val="66D30B76"/>
    <w:rsid w:val="66D32AB3"/>
    <w:rsid w:val="66D36DB1"/>
    <w:rsid w:val="66D5577A"/>
    <w:rsid w:val="66D94589"/>
    <w:rsid w:val="66DA3DC6"/>
    <w:rsid w:val="66DB0C6C"/>
    <w:rsid w:val="66E041DF"/>
    <w:rsid w:val="66E13702"/>
    <w:rsid w:val="66E13BBE"/>
    <w:rsid w:val="66E22EA0"/>
    <w:rsid w:val="66E30B50"/>
    <w:rsid w:val="66E32111"/>
    <w:rsid w:val="66E32640"/>
    <w:rsid w:val="66E62616"/>
    <w:rsid w:val="66E72736"/>
    <w:rsid w:val="66E83F48"/>
    <w:rsid w:val="66EC3265"/>
    <w:rsid w:val="66EE5860"/>
    <w:rsid w:val="66F341B2"/>
    <w:rsid w:val="66F43DC7"/>
    <w:rsid w:val="66F57915"/>
    <w:rsid w:val="66F75C0B"/>
    <w:rsid w:val="66F82A69"/>
    <w:rsid w:val="66FA17C2"/>
    <w:rsid w:val="66FA61B2"/>
    <w:rsid w:val="66FD49DA"/>
    <w:rsid w:val="66FF212C"/>
    <w:rsid w:val="66FF542C"/>
    <w:rsid w:val="670260BE"/>
    <w:rsid w:val="67041308"/>
    <w:rsid w:val="6709031C"/>
    <w:rsid w:val="6709565C"/>
    <w:rsid w:val="670B54D1"/>
    <w:rsid w:val="670E47AF"/>
    <w:rsid w:val="670F6F67"/>
    <w:rsid w:val="6711019D"/>
    <w:rsid w:val="67137595"/>
    <w:rsid w:val="67137A60"/>
    <w:rsid w:val="67140CF2"/>
    <w:rsid w:val="671A503A"/>
    <w:rsid w:val="671B300D"/>
    <w:rsid w:val="671F313C"/>
    <w:rsid w:val="671F39E4"/>
    <w:rsid w:val="67215852"/>
    <w:rsid w:val="67233FAB"/>
    <w:rsid w:val="67255717"/>
    <w:rsid w:val="67284A52"/>
    <w:rsid w:val="672A01B2"/>
    <w:rsid w:val="672C3A18"/>
    <w:rsid w:val="672C5A78"/>
    <w:rsid w:val="673038D8"/>
    <w:rsid w:val="67331D80"/>
    <w:rsid w:val="67353F1E"/>
    <w:rsid w:val="67373559"/>
    <w:rsid w:val="6738118A"/>
    <w:rsid w:val="673A296C"/>
    <w:rsid w:val="673F630B"/>
    <w:rsid w:val="67415F1E"/>
    <w:rsid w:val="674313C8"/>
    <w:rsid w:val="67435646"/>
    <w:rsid w:val="67444331"/>
    <w:rsid w:val="6745187C"/>
    <w:rsid w:val="67465F42"/>
    <w:rsid w:val="674B494F"/>
    <w:rsid w:val="674D40F1"/>
    <w:rsid w:val="67505885"/>
    <w:rsid w:val="67511696"/>
    <w:rsid w:val="67514A9B"/>
    <w:rsid w:val="6752611B"/>
    <w:rsid w:val="67530D03"/>
    <w:rsid w:val="67545C31"/>
    <w:rsid w:val="67565974"/>
    <w:rsid w:val="67566251"/>
    <w:rsid w:val="6757042D"/>
    <w:rsid w:val="675948F8"/>
    <w:rsid w:val="675A70D8"/>
    <w:rsid w:val="675A7E10"/>
    <w:rsid w:val="675C7E36"/>
    <w:rsid w:val="676265AC"/>
    <w:rsid w:val="676547BF"/>
    <w:rsid w:val="67660D70"/>
    <w:rsid w:val="67666D08"/>
    <w:rsid w:val="676679DF"/>
    <w:rsid w:val="6768678A"/>
    <w:rsid w:val="67695283"/>
    <w:rsid w:val="67697EFF"/>
    <w:rsid w:val="67704783"/>
    <w:rsid w:val="67734145"/>
    <w:rsid w:val="67751389"/>
    <w:rsid w:val="67757B69"/>
    <w:rsid w:val="6776558F"/>
    <w:rsid w:val="67784B6A"/>
    <w:rsid w:val="677910D5"/>
    <w:rsid w:val="677F5681"/>
    <w:rsid w:val="677F5710"/>
    <w:rsid w:val="67846D5B"/>
    <w:rsid w:val="67851C79"/>
    <w:rsid w:val="67856762"/>
    <w:rsid w:val="67863F5C"/>
    <w:rsid w:val="678646E8"/>
    <w:rsid w:val="67866A76"/>
    <w:rsid w:val="6789781C"/>
    <w:rsid w:val="678A67E2"/>
    <w:rsid w:val="678A6BBF"/>
    <w:rsid w:val="678F6660"/>
    <w:rsid w:val="6792001A"/>
    <w:rsid w:val="67934D01"/>
    <w:rsid w:val="67963294"/>
    <w:rsid w:val="67963EED"/>
    <w:rsid w:val="67982532"/>
    <w:rsid w:val="67984BE7"/>
    <w:rsid w:val="679B0F05"/>
    <w:rsid w:val="67A27F80"/>
    <w:rsid w:val="67A60E76"/>
    <w:rsid w:val="67A61F04"/>
    <w:rsid w:val="67A6385C"/>
    <w:rsid w:val="67A652C9"/>
    <w:rsid w:val="67A82A75"/>
    <w:rsid w:val="67AA6FC1"/>
    <w:rsid w:val="67AD1EC9"/>
    <w:rsid w:val="67AE1AB3"/>
    <w:rsid w:val="67AE472F"/>
    <w:rsid w:val="67AE73A6"/>
    <w:rsid w:val="67AF58E1"/>
    <w:rsid w:val="67B023DD"/>
    <w:rsid w:val="67B110C1"/>
    <w:rsid w:val="67B14AE8"/>
    <w:rsid w:val="67B43B15"/>
    <w:rsid w:val="67B77C8B"/>
    <w:rsid w:val="67B81C97"/>
    <w:rsid w:val="67BA534C"/>
    <w:rsid w:val="67BB3EA2"/>
    <w:rsid w:val="67BC421B"/>
    <w:rsid w:val="67BD18E3"/>
    <w:rsid w:val="67BD404A"/>
    <w:rsid w:val="67BD5037"/>
    <w:rsid w:val="67BE61FC"/>
    <w:rsid w:val="67BF08AD"/>
    <w:rsid w:val="67BF208D"/>
    <w:rsid w:val="67C1545A"/>
    <w:rsid w:val="67C4285D"/>
    <w:rsid w:val="67C576DC"/>
    <w:rsid w:val="67C63155"/>
    <w:rsid w:val="67C85A58"/>
    <w:rsid w:val="67CA63AD"/>
    <w:rsid w:val="67CB0901"/>
    <w:rsid w:val="67CB29C1"/>
    <w:rsid w:val="67CC45C4"/>
    <w:rsid w:val="67CD0E9A"/>
    <w:rsid w:val="67CF227A"/>
    <w:rsid w:val="67D43E3D"/>
    <w:rsid w:val="67D5066F"/>
    <w:rsid w:val="67D744D6"/>
    <w:rsid w:val="67DA345D"/>
    <w:rsid w:val="67E018EA"/>
    <w:rsid w:val="67E01D8D"/>
    <w:rsid w:val="67E14273"/>
    <w:rsid w:val="67E17F37"/>
    <w:rsid w:val="67E227C2"/>
    <w:rsid w:val="67E52A1F"/>
    <w:rsid w:val="67E80B46"/>
    <w:rsid w:val="67E842FD"/>
    <w:rsid w:val="67E91732"/>
    <w:rsid w:val="67EB2373"/>
    <w:rsid w:val="67EB622F"/>
    <w:rsid w:val="67EE35C3"/>
    <w:rsid w:val="67EF1180"/>
    <w:rsid w:val="67EF19E2"/>
    <w:rsid w:val="67EF7D41"/>
    <w:rsid w:val="67F415F4"/>
    <w:rsid w:val="67F47662"/>
    <w:rsid w:val="67F94B7E"/>
    <w:rsid w:val="67F95C64"/>
    <w:rsid w:val="67FA20F0"/>
    <w:rsid w:val="67FB0917"/>
    <w:rsid w:val="67FC343E"/>
    <w:rsid w:val="67FC7638"/>
    <w:rsid w:val="67FF653A"/>
    <w:rsid w:val="680179F1"/>
    <w:rsid w:val="680223CB"/>
    <w:rsid w:val="680527E3"/>
    <w:rsid w:val="680731B5"/>
    <w:rsid w:val="68077228"/>
    <w:rsid w:val="68077539"/>
    <w:rsid w:val="68085012"/>
    <w:rsid w:val="680D2BE9"/>
    <w:rsid w:val="681038A2"/>
    <w:rsid w:val="68126D29"/>
    <w:rsid w:val="681711BB"/>
    <w:rsid w:val="681B0190"/>
    <w:rsid w:val="681D4D50"/>
    <w:rsid w:val="681D7BB6"/>
    <w:rsid w:val="681E7814"/>
    <w:rsid w:val="681F035C"/>
    <w:rsid w:val="6820072B"/>
    <w:rsid w:val="68215130"/>
    <w:rsid w:val="68222B0C"/>
    <w:rsid w:val="682404D2"/>
    <w:rsid w:val="68262551"/>
    <w:rsid w:val="682627C9"/>
    <w:rsid w:val="68267835"/>
    <w:rsid w:val="68272BB4"/>
    <w:rsid w:val="68286458"/>
    <w:rsid w:val="68297F5E"/>
    <w:rsid w:val="682A02FF"/>
    <w:rsid w:val="682A03D4"/>
    <w:rsid w:val="682A6266"/>
    <w:rsid w:val="682B46D6"/>
    <w:rsid w:val="682B5442"/>
    <w:rsid w:val="682C048D"/>
    <w:rsid w:val="682C1A18"/>
    <w:rsid w:val="682D28C8"/>
    <w:rsid w:val="682E5DE5"/>
    <w:rsid w:val="682F32D7"/>
    <w:rsid w:val="68306FD2"/>
    <w:rsid w:val="683170AD"/>
    <w:rsid w:val="68336EE4"/>
    <w:rsid w:val="68360BC1"/>
    <w:rsid w:val="68364EA4"/>
    <w:rsid w:val="683A57BD"/>
    <w:rsid w:val="683A5E50"/>
    <w:rsid w:val="683A6FEC"/>
    <w:rsid w:val="683C4245"/>
    <w:rsid w:val="683C6406"/>
    <w:rsid w:val="683D5BB4"/>
    <w:rsid w:val="683F1E80"/>
    <w:rsid w:val="683F231B"/>
    <w:rsid w:val="68424BAB"/>
    <w:rsid w:val="684439B6"/>
    <w:rsid w:val="6845416C"/>
    <w:rsid w:val="684570D0"/>
    <w:rsid w:val="6847614D"/>
    <w:rsid w:val="684A40BC"/>
    <w:rsid w:val="684B608B"/>
    <w:rsid w:val="684E7230"/>
    <w:rsid w:val="684F5545"/>
    <w:rsid w:val="684F612B"/>
    <w:rsid w:val="68501DE7"/>
    <w:rsid w:val="68503457"/>
    <w:rsid w:val="68521209"/>
    <w:rsid w:val="68530FC9"/>
    <w:rsid w:val="68531F6B"/>
    <w:rsid w:val="6854761A"/>
    <w:rsid w:val="6855546D"/>
    <w:rsid w:val="68560259"/>
    <w:rsid w:val="685663E1"/>
    <w:rsid w:val="685C104E"/>
    <w:rsid w:val="685C67B3"/>
    <w:rsid w:val="685D4F18"/>
    <w:rsid w:val="685D5ED9"/>
    <w:rsid w:val="685E43C7"/>
    <w:rsid w:val="686040F1"/>
    <w:rsid w:val="68612965"/>
    <w:rsid w:val="68614831"/>
    <w:rsid w:val="68665D02"/>
    <w:rsid w:val="68667BD4"/>
    <w:rsid w:val="686A6D46"/>
    <w:rsid w:val="686B7266"/>
    <w:rsid w:val="686C236E"/>
    <w:rsid w:val="686C3503"/>
    <w:rsid w:val="6872252E"/>
    <w:rsid w:val="68755220"/>
    <w:rsid w:val="68782827"/>
    <w:rsid w:val="68783E3E"/>
    <w:rsid w:val="68786C5A"/>
    <w:rsid w:val="687A13DF"/>
    <w:rsid w:val="68810B24"/>
    <w:rsid w:val="68820B9E"/>
    <w:rsid w:val="68833064"/>
    <w:rsid w:val="68833B7A"/>
    <w:rsid w:val="68857950"/>
    <w:rsid w:val="68865123"/>
    <w:rsid w:val="6887690A"/>
    <w:rsid w:val="68882107"/>
    <w:rsid w:val="68886EC7"/>
    <w:rsid w:val="68890B11"/>
    <w:rsid w:val="688921C5"/>
    <w:rsid w:val="6889470B"/>
    <w:rsid w:val="688A47F1"/>
    <w:rsid w:val="688A790B"/>
    <w:rsid w:val="688D7193"/>
    <w:rsid w:val="68944E9D"/>
    <w:rsid w:val="689713BD"/>
    <w:rsid w:val="68976087"/>
    <w:rsid w:val="68982072"/>
    <w:rsid w:val="689824E3"/>
    <w:rsid w:val="689969E4"/>
    <w:rsid w:val="689A1BFA"/>
    <w:rsid w:val="689B09DC"/>
    <w:rsid w:val="689C2D6A"/>
    <w:rsid w:val="68A5523C"/>
    <w:rsid w:val="68A6511E"/>
    <w:rsid w:val="68A65727"/>
    <w:rsid w:val="68AA7870"/>
    <w:rsid w:val="68AC65AB"/>
    <w:rsid w:val="68B0023F"/>
    <w:rsid w:val="68B04120"/>
    <w:rsid w:val="68B23608"/>
    <w:rsid w:val="68B34E42"/>
    <w:rsid w:val="68B352D4"/>
    <w:rsid w:val="68B3704B"/>
    <w:rsid w:val="68B44834"/>
    <w:rsid w:val="68B44F12"/>
    <w:rsid w:val="68B56F0A"/>
    <w:rsid w:val="68B65398"/>
    <w:rsid w:val="68B7582C"/>
    <w:rsid w:val="68B77009"/>
    <w:rsid w:val="68B8327F"/>
    <w:rsid w:val="68BC34A9"/>
    <w:rsid w:val="68BD0087"/>
    <w:rsid w:val="68BF4D01"/>
    <w:rsid w:val="68C02F6C"/>
    <w:rsid w:val="68C07C1C"/>
    <w:rsid w:val="68C1632E"/>
    <w:rsid w:val="68C32639"/>
    <w:rsid w:val="68C4644C"/>
    <w:rsid w:val="68C528C3"/>
    <w:rsid w:val="68C54E4F"/>
    <w:rsid w:val="68C75834"/>
    <w:rsid w:val="68C9313D"/>
    <w:rsid w:val="68CC4414"/>
    <w:rsid w:val="68CF0B20"/>
    <w:rsid w:val="68D132FF"/>
    <w:rsid w:val="68D3762E"/>
    <w:rsid w:val="68D7508A"/>
    <w:rsid w:val="68D853DA"/>
    <w:rsid w:val="68D86A8B"/>
    <w:rsid w:val="68D91AA2"/>
    <w:rsid w:val="68D91F0B"/>
    <w:rsid w:val="68D97E67"/>
    <w:rsid w:val="68DC668D"/>
    <w:rsid w:val="68DF4164"/>
    <w:rsid w:val="68DF68AC"/>
    <w:rsid w:val="68E21BED"/>
    <w:rsid w:val="68E528AB"/>
    <w:rsid w:val="68E66DAA"/>
    <w:rsid w:val="68E72FC3"/>
    <w:rsid w:val="68E776DD"/>
    <w:rsid w:val="68E81B9F"/>
    <w:rsid w:val="68EA1622"/>
    <w:rsid w:val="68EA4BAF"/>
    <w:rsid w:val="68ED5BF6"/>
    <w:rsid w:val="68EE0683"/>
    <w:rsid w:val="68EE37F7"/>
    <w:rsid w:val="68F219D3"/>
    <w:rsid w:val="68F84277"/>
    <w:rsid w:val="68FC7140"/>
    <w:rsid w:val="68FD2874"/>
    <w:rsid w:val="68FF4F39"/>
    <w:rsid w:val="69023511"/>
    <w:rsid w:val="690403FC"/>
    <w:rsid w:val="69053357"/>
    <w:rsid w:val="69087549"/>
    <w:rsid w:val="69097E2A"/>
    <w:rsid w:val="690A005B"/>
    <w:rsid w:val="690C032D"/>
    <w:rsid w:val="690E2E54"/>
    <w:rsid w:val="690F3792"/>
    <w:rsid w:val="69105568"/>
    <w:rsid w:val="691108A0"/>
    <w:rsid w:val="69112D22"/>
    <w:rsid w:val="69123E37"/>
    <w:rsid w:val="69142816"/>
    <w:rsid w:val="69187F0A"/>
    <w:rsid w:val="69193C3A"/>
    <w:rsid w:val="691A2657"/>
    <w:rsid w:val="691A63B0"/>
    <w:rsid w:val="69220226"/>
    <w:rsid w:val="6924598F"/>
    <w:rsid w:val="6926139C"/>
    <w:rsid w:val="69263614"/>
    <w:rsid w:val="69280675"/>
    <w:rsid w:val="6929025C"/>
    <w:rsid w:val="692A6ED1"/>
    <w:rsid w:val="692D410F"/>
    <w:rsid w:val="692E1AC9"/>
    <w:rsid w:val="692F3602"/>
    <w:rsid w:val="692F41FB"/>
    <w:rsid w:val="693451EE"/>
    <w:rsid w:val="69353FF1"/>
    <w:rsid w:val="69381012"/>
    <w:rsid w:val="69383B79"/>
    <w:rsid w:val="693A38B0"/>
    <w:rsid w:val="693D77BA"/>
    <w:rsid w:val="693E1379"/>
    <w:rsid w:val="69413C42"/>
    <w:rsid w:val="69430EBA"/>
    <w:rsid w:val="69440F08"/>
    <w:rsid w:val="69465DF8"/>
    <w:rsid w:val="694819F4"/>
    <w:rsid w:val="6948214B"/>
    <w:rsid w:val="69492AC4"/>
    <w:rsid w:val="694D2AB3"/>
    <w:rsid w:val="694F7447"/>
    <w:rsid w:val="6952103F"/>
    <w:rsid w:val="69532ED7"/>
    <w:rsid w:val="69544DC8"/>
    <w:rsid w:val="695A4319"/>
    <w:rsid w:val="695A73B1"/>
    <w:rsid w:val="695E05A2"/>
    <w:rsid w:val="695E4622"/>
    <w:rsid w:val="695E7A59"/>
    <w:rsid w:val="695F3B0D"/>
    <w:rsid w:val="6960411D"/>
    <w:rsid w:val="69617034"/>
    <w:rsid w:val="69652778"/>
    <w:rsid w:val="696766FE"/>
    <w:rsid w:val="6968087C"/>
    <w:rsid w:val="696A0610"/>
    <w:rsid w:val="696B0D1B"/>
    <w:rsid w:val="696B12A5"/>
    <w:rsid w:val="696B2955"/>
    <w:rsid w:val="696E33BE"/>
    <w:rsid w:val="697141CB"/>
    <w:rsid w:val="69714AAD"/>
    <w:rsid w:val="69735642"/>
    <w:rsid w:val="69741798"/>
    <w:rsid w:val="69772F64"/>
    <w:rsid w:val="697747F3"/>
    <w:rsid w:val="69791769"/>
    <w:rsid w:val="697A78B9"/>
    <w:rsid w:val="697B6D85"/>
    <w:rsid w:val="697E4B4E"/>
    <w:rsid w:val="697F3C85"/>
    <w:rsid w:val="69825295"/>
    <w:rsid w:val="69825419"/>
    <w:rsid w:val="698826C5"/>
    <w:rsid w:val="69884227"/>
    <w:rsid w:val="698A388E"/>
    <w:rsid w:val="698A6A90"/>
    <w:rsid w:val="698D4E20"/>
    <w:rsid w:val="698E6C04"/>
    <w:rsid w:val="699214C9"/>
    <w:rsid w:val="69925EA1"/>
    <w:rsid w:val="6992738A"/>
    <w:rsid w:val="69970147"/>
    <w:rsid w:val="699806BD"/>
    <w:rsid w:val="699901B8"/>
    <w:rsid w:val="699B0829"/>
    <w:rsid w:val="699C2C92"/>
    <w:rsid w:val="699C62BC"/>
    <w:rsid w:val="699E352E"/>
    <w:rsid w:val="699F574B"/>
    <w:rsid w:val="69A21B7B"/>
    <w:rsid w:val="69A236BE"/>
    <w:rsid w:val="69A45638"/>
    <w:rsid w:val="69A4749B"/>
    <w:rsid w:val="69A50CF9"/>
    <w:rsid w:val="69A5509C"/>
    <w:rsid w:val="69A77D24"/>
    <w:rsid w:val="69AA7268"/>
    <w:rsid w:val="69AE20F3"/>
    <w:rsid w:val="69B03B3D"/>
    <w:rsid w:val="69B33EC9"/>
    <w:rsid w:val="69B6314F"/>
    <w:rsid w:val="69B633D9"/>
    <w:rsid w:val="69B649B5"/>
    <w:rsid w:val="69B83702"/>
    <w:rsid w:val="69B879A6"/>
    <w:rsid w:val="69BA0FE9"/>
    <w:rsid w:val="69BC03D3"/>
    <w:rsid w:val="69BC6F58"/>
    <w:rsid w:val="69BD3C23"/>
    <w:rsid w:val="69BE30AC"/>
    <w:rsid w:val="69C15EFF"/>
    <w:rsid w:val="69C2718F"/>
    <w:rsid w:val="69C3671B"/>
    <w:rsid w:val="69C46EF9"/>
    <w:rsid w:val="69C6178A"/>
    <w:rsid w:val="69C6305C"/>
    <w:rsid w:val="69C63C4C"/>
    <w:rsid w:val="69C65CD9"/>
    <w:rsid w:val="69C84EBD"/>
    <w:rsid w:val="69C9532F"/>
    <w:rsid w:val="69CA4703"/>
    <w:rsid w:val="69CD1826"/>
    <w:rsid w:val="69CE617B"/>
    <w:rsid w:val="69CF673B"/>
    <w:rsid w:val="69D06BC0"/>
    <w:rsid w:val="69D10F48"/>
    <w:rsid w:val="69D4144E"/>
    <w:rsid w:val="69D72C49"/>
    <w:rsid w:val="69DA1167"/>
    <w:rsid w:val="69DA6D43"/>
    <w:rsid w:val="69DC1B96"/>
    <w:rsid w:val="69E34690"/>
    <w:rsid w:val="69E56001"/>
    <w:rsid w:val="69E76EB1"/>
    <w:rsid w:val="69E835D0"/>
    <w:rsid w:val="69E83B45"/>
    <w:rsid w:val="69EA0D18"/>
    <w:rsid w:val="69EA419C"/>
    <w:rsid w:val="69ED4F2C"/>
    <w:rsid w:val="69EE3384"/>
    <w:rsid w:val="69EE43C8"/>
    <w:rsid w:val="69EE6305"/>
    <w:rsid w:val="69F014B7"/>
    <w:rsid w:val="69F24DFE"/>
    <w:rsid w:val="69F31F29"/>
    <w:rsid w:val="69F47381"/>
    <w:rsid w:val="69F658CA"/>
    <w:rsid w:val="69FA7CBE"/>
    <w:rsid w:val="69FB5A68"/>
    <w:rsid w:val="69FC2E34"/>
    <w:rsid w:val="69FC6A4C"/>
    <w:rsid w:val="69FE412E"/>
    <w:rsid w:val="69FF7C26"/>
    <w:rsid w:val="6A032CB4"/>
    <w:rsid w:val="6A077085"/>
    <w:rsid w:val="6A082E6C"/>
    <w:rsid w:val="6A0864A9"/>
    <w:rsid w:val="6A090915"/>
    <w:rsid w:val="6A11463C"/>
    <w:rsid w:val="6A1239C9"/>
    <w:rsid w:val="6A1248CD"/>
    <w:rsid w:val="6A143BCD"/>
    <w:rsid w:val="6A162FF4"/>
    <w:rsid w:val="6A164233"/>
    <w:rsid w:val="6A176D2A"/>
    <w:rsid w:val="6A1A1E43"/>
    <w:rsid w:val="6A1A75B9"/>
    <w:rsid w:val="6A1B3B42"/>
    <w:rsid w:val="6A1C1753"/>
    <w:rsid w:val="6A1E4C99"/>
    <w:rsid w:val="6A2852AC"/>
    <w:rsid w:val="6A297A99"/>
    <w:rsid w:val="6A2A5B35"/>
    <w:rsid w:val="6A2C57CD"/>
    <w:rsid w:val="6A2E3393"/>
    <w:rsid w:val="6A2F4FEC"/>
    <w:rsid w:val="6A303393"/>
    <w:rsid w:val="6A31068B"/>
    <w:rsid w:val="6A322881"/>
    <w:rsid w:val="6A330868"/>
    <w:rsid w:val="6A35324A"/>
    <w:rsid w:val="6A3619D1"/>
    <w:rsid w:val="6A365B37"/>
    <w:rsid w:val="6A377FB7"/>
    <w:rsid w:val="6A3B2887"/>
    <w:rsid w:val="6A403E0B"/>
    <w:rsid w:val="6A4141B1"/>
    <w:rsid w:val="6A416727"/>
    <w:rsid w:val="6A43045B"/>
    <w:rsid w:val="6A437763"/>
    <w:rsid w:val="6A44140C"/>
    <w:rsid w:val="6A474323"/>
    <w:rsid w:val="6A4969AD"/>
    <w:rsid w:val="6A4B280B"/>
    <w:rsid w:val="6A4F2B19"/>
    <w:rsid w:val="6A5162FD"/>
    <w:rsid w:val="6A574D85"/>
    <w:rsid w:val="6A591BAD"/>
    <w:rsid w:val="6A593556"/>
    <w:rsid w:val="6A5A22E8"/>
    <w:rsid w:val="6A5C0D1E"/>
    <w:rsid w:val="6A5E063B"/>
    <w:rsid w:val="6A5E57FC"/>
    <w:rsid w:val="6A5E6042"/>
    <w:rsid w:val="6A5F7F36"/>
    <w:rsid w:val="6A613724"/>
    <w:rsid w:val="6A62588F"/>
    <w:rsid w:val="6A683FA0"/>
    <w:rsid w:val="6A695E60"/>
    <w:rsid w:val="6A6F5BC3"/>
    <w:rsid w:val="6A72106F"/>
    <w:rsid w:val="6A75291F"/>
    <w:rsid w:val="6A761F32"/>
    <w:rsid w:val="6A810115"/>
    <w:rsid w:val="6A810FA0"/>
    <w:rsid w:val="6A8239D1"/>
    <w:rsid w:val="6A83029C"/>
    <w:rsid w:val="6A831592"/>
    <w:rsid w:val="6A857020"/>
    <w:rsid w:val="6A857390"/>
    <w:rsid w:val="6A881E83"/>
    <w:rsid w:val="6A8A4046"/>
    <w:rsid w:val="6A8A662E"/>
    <w:rsid w:val="6A8B3515"/>
    <w:rsid w:val="6A8B58D1"/>
    <w:rsid w:val="6A8E5D48"/>
    <w:rsid w:val="6A8F0B2D"/>
    <w:rsid w:val="6A8F17B3"/>
    <w:rsid w:val="6A9314DA"/>
    <w:rsid w:val="6A971464"/>
    <w:rsid w:val="6A9840E5"/>
    <w:rsid w:val="6A9871FF"/>
    <w:rsid w:val="6A997E69"/>
    <w:rsid w:val="6A9B185B"/>
    <w:rsid w:val="6A9C2896"/>
    <w:rsid w:val="6A9D1704"/>
    <w:rsid w:val="6AA406AF"/>
    <w:rsid w:val="6AA41299"/>
    <w:rsid w:val="6AA4129B"/>
    <w:rsid w:val="6AA5527A"/>
    <w:rsid w:val="6AA62A8A"/>
    <w:rsid w:val="6AA70170"/>
    <w:rsid w:val="6AAA680F"/>
    <w:rsid w:val="6AAD2648"/>
    <w:rsid w:val="6AAD6223"/>
    <w:rsid w:val="6AAE2FB1"/>
    <w:rsid w:val="6AAF389A"/>
    <w:rsid w:val="6AAF4412"/>
    <w:rsid w:val="6AB07F25"/>
    <w:rsid w:val="6AB166F6"/>
    <w:rsid w:val="6AB212EF"/>
    <w:rsid w:val="6AB4291A"/>
    <w:rsid w:val="6ABC5ACF"/>
    <w:rsid w:val="6ABD5511"/>
    <w:rsid w:val="6ABE2ACF"/>
    <w:rsid w:val="6AC00E45"/>
    <w:rsid w:val="6AC014E4"/>
    <w:rsid w:val="6AC25127"/>
    <w:rsid w:val="6AC42D0E"/>
    <w:rsid w:val="6ACC665A"/>
    <w:rsid w:val="6ACD4F8B"/>
    <w:rsid w:val="6ACE72DF"/>
    <w:rsid w:val="6ACF34A7"/>
    <w:rsid w:val="6AD010E7"/>
    <w:rsid w:val="6AD06CAA"/>
    <w:rsid w:val="6AD11FD0"/>
    <w:rsid w:val="6AD127BE"/>
    <w:rsid w:val="6AD352BD"/>
    <w:rsid w:val="6AD36EFF"/>
    <w:rsid w:val="6AD522AF"/>
    <w:rsid w:val="6AD5301B"/>
    <w:rsid w:val="6AD63F52"/>
    <w:rsid w:val="6AD80119"/>
    <w:rsid w:val="6ADA0087"/>
    <w:rsid w:val="6ADC2329"/>
    <w:rsid w:val="6ADD113D"/>
    <w:rsid w:val="6ADF5E36"/>
    <w:rsid w:val="6ADF7048"/>
    <w:rsid w:val="6AE13A24"/>
    <w:rsid w:val="6AE8052C"/>
    <w:rsid w:val="6AE91C40"/>
    <w:rsid w:val="6AE96AA3"/>
    <w:rsid w:val="6AE974D6"/>
    <w:rsid w:val="6AEB22D4"/>
    <w:rsid w:val="6AEB2489"/>
    <w:rsid w:val="6AEB27BD"/>
    <w:rsid w:val="6AEB5133"/>
    <w:rsid w:val="6AED6B1A"/>
    <w:rsid w:val="6AEE60F9"/>
    <w:rsid w:val="6AEF5E8D"/>
    <w:rsid w:val="6AF03EEE"/>
    <w:rsid w:val="6AF26424"/>
    <w:rsid w:val="6AF266EE"/>
    <w:rsid w:val="6AF3013C"/>
    <w:rsid w:val="6AF429F7"/>
    <w:rsid w:val="6AF50367"/>
    <w:rsid w:val="6AF57A2F"/>
    <w:rsid w:val="6AF67CF8"/>
    <w:rsid w:val="6AF72DE7"/>
    <w:rsid w:val="6AF916C3"/>
    <w:rsid w:val="6AF94977"/>
    <w:rsid w:val="6AFD1B26"/>
    <w:rsid w:val="6AFE099A"/>
    <w:rsid w:val="6AFE1D69"/>
    <w:rsid w:val="6B007298"/>
    <w:rsid w:val="6B0252D8"/>
    <w:rsid w:val="6B032D4B"/>
    <w:rsid w:val="6B05216C"/>
    <w:rsid w:val="6B0762C8"/>
    <w:rsid w:val="6B0868A4"/>
    <w:rsid w:val="6B0B01CB"/>
    <w:rsid w:val="6B0B2E6A"/>
    <w:rsid w:val="6B0B5928"/>
    <w:rsid w:val="6B0C263C"/>
    <w:rsid w:val="6B0D0A9A"/>
    <w:rsid w:val="6B0D2A2C"/>
    <w:rsid w:val="6B115FA9"/>
    <w:rsid w:val="6B1652F8"/>
    <w:rsid w:val="6B16559A"/>
    <w:rsid w:val="6B1824F9"/>
    <w:rsid w:val="6B1955E7"/>
    <w:rsid w:val="6B1D03C6"/>
    <w:rsid w:val="6B1D079C"/>
    <w:rsid w:val="6B1D72D8"/>
    <w:rsid w:val="6B1E46DE"/>
    <w:rsid w:val="6B1E4C77"/>
    <w:rsid w:val="6B1F117A"/>
    <w:rsid w:val="6B22009E"/>
    <w:rsid w:val="6B260094"/>
    <w:rsid w:val="6B267907"/>
    <w:rsid w:val="6B270A6F"/>
    <w:rsid w:val="6B2802DC"/>
    <w:rsid w:val="6B292E43"/>
    <w:rsid w:val="6B2B79D0"/>
    <w:rsid w:val="6B2F4057"/>
    <w:rsid w:val="6B2F7F0F"/>
    <w:rsid w:val="6B31282A"/>
    <w:rsid w:val="6B356BB7"/>
    <w:rsid w:val="6B3B4281"/>
    <w:rsid w:val="6B3B5DAC"/>
    <w:rsid w:val="6B3D1532"/>
    <w:rsid w:val="6B3E6469"/>
    <w:rsid w:val="6B413389"/>
    <w:rsid w:val="6B427FC7"/>
    <w:rsid w:val="6B4415FB"/>
    <w:rsid w:val="6B4B11A0"/>
    <w:rsid w:val="6B4C7A3D"/>
    <w:rsid w:val="6B4D6D68"/>
    <w:rsid w:val="6B4E3089"/>
    <w:rsid w:val="6B4F65A6"/>
    <w:rsid w:val="6B5174C2"/>
    <w:rsid w:val="6B522FCC"/>
    <w:rsid w:val="6B550336"/>
    <w:rsid w:val="6B5A09B7"/>
    <w:rsid w:val="6B5B3BB7"/>
    <w:rsid w:val="6B5D2153"/>
    <w:rsid w:val="6B5E76A1"/>
    <w:rsid w:val="6B5F7DD5"/>
    <w:rsid w:val="6B605C4A"/>
    <w:rsid w:val="6B6432C8"/>
    <w:rsid w:val="6B650F49"/>
    <w:rsid w:val="6B695C7D"/>
    <w:rsid w:val="6B6D159E"/>
    <w:rsid w:val="6B6D2253"/>
    <w:rsid w:val="6B6D752E"/>
    <w:rsid w:val="6B72324E"/>
    <w:rsid w:val="6B751D19"/>
    <w:rsid w:val="6B76381B"/>
    <w:rsid w:val="6B7830EB"/>
    <w:rsid w:val="6B7A6E38"/>
    <w:rsid w:val="6B7B1FC9"/>
    <w:rsid w:val="6B7C0CF9"/>
    <w:rsid w:val="6B7C6387"/>
    <w:rsid w:val="6B7D6216"/>
    <w:rsid w:val="6B7F396D"/>
    <w:rsid w:val="6B7F454C"/>
    <w:rsid w:val="6B826DBE"/>
    <w:rsid w:val="6B85290B"/>
    <w:rsid w:val="6B873BFA"/>
    <w:rsid w:val="6B87651E"/>
    <w:rsid w:val="6B8767E4"/>
    <w:rsid w:val="6B8D2DC3"/>
    <w:rsid w:val="6B8E1866"/>
    <w:rsid w:val="6B8F52FC"/>
    <w:rsid w:val="6B905D32"/>
    <w:rsid w:val="6B910B4D"/>
    <w:rsid w:val="6B92381F"/>
    <w:rsid w:val="6B9304DB"/>
    <w:rsid w:val="6B930AE1"/>
    <w:rsid w:val="6B9517AF"/>
    <w:rsid w:val="6B9679F7"/>
    <w:rsid w:val="6B9723D9"/>
    <w:rsid w:val="6B98140C"/>
    <w:rsid w:val="6B992D89"/>
    <w:rsid w:val="6B9A09F2"/>
    <w:rsid w:val="6B9B36B8"/>
    <w:rsid w:val="6B9C6B3E"/>
    <w:rsid w:val="6B9D5934"/>
    <w:rsid w:val="6B9D6C58"/>
    <w:rsid w:val="6B9D7DCE"/>
    <w:rsid w:val="6B9F07AC"/>
    <w:rsid w:val="6BA15A09"/>
    <w:rsid w:val="6BA1685B"/>
    <w:rsid w:val="6BA6308C"/>
    <w:rsid w:val="6BA7519C"/>
    <w:rsid w:val="6BA80918"/>
    <w:rsid w:val="6BA87420"/>
    <w:rsid w:val="6BA93E8E"/>
    <w:rsid w:val="6BA95219"/>
    <w:rsid w:val="6BAB7C1F"/>
    <w:rsid w:val="6BAD05AC"/>
    <w:rsid w:val="6BB139D6"/>
    <w:rsid w:val="6BB16D5A"/>
    <w:rsid w:val="6BB46B5E"/>
    <w:rsid w:val="6BB64F33"/>
    <w:rsid w:val="6BB81925"/>
    <w:rsid w:val="6BBC3135"/>
    <w:rsid w:val="6BBE2B79"/>
    <w:rsid w:val="6BBF258F"/>
    <w:rsid w:val="6BC2160A"/>
    <w:rsid w:val="6BC31CA0"/>
    <w:rsid w:val="6BC7188C"/>
    <w:rsid w:val="6BC7526C"/>
    <w:rsid w:val="6BC817BC"/>
    <w:rsid w:val="6BCA192C"/>
    <w:rsid w:val="6BCA2773"/>
    <w:rsid w:val="6BCB1ED7"/>
    <w:rsid w:val="6BD51C7B"/>
    <w:rsid w:val="6BD54126"/>
    <w:rsid w:val="6BD93D27"/>
    <w:rsid w:val="6BDE59F0"/>
    <w:rsid w:val="6BDE7D6B"/>
    <w:rsid w:val="6BE207E6"/>
    <w:rsid w:val="6BE24813"/>
    <w:rsid w:val="6BE275C7"/>
    <w:rsid w:val="6BEA0843"/>
    <w:rsid w:val="6BEB1CAB"/>
    <w:rsid w:val="6BED296B"/>
    <w:rsid w:val="6BEE5923"/>
    <w:rsid w:val="6BEE6871"/>
    <w:rsid w:val="6BEF34A7"/>
    <w:rsid w:val="6BEF43D2"/>
    <w:rsid w:val="6BF12D51"/>
    <w:rsid w:val="6BF140EF"/>
    <w:rsid w:val="6BF15F18"/>
    <w:rsid w:val="6BF450B9"/>
    <w:rsid w:val="6BF479C0"/>
    <w:rsid w:val="6BF70FAD"/>
    <w:rsid w:val="6BF749A5"/>
    <w:rsid w:val="6BF76ADB"/>
    <w:rsid w:val="6BF95DDD"/>
    <w:rsid w:val="6BFB5310"/>
    <w:rsid w:val="6BFC1893"/>
    <w:rsid w:val="6BFC2BE7"/>
    <w:rsid w:val="6BFE316D"/>
    <w:rsid w:val="6BFF37A8"/>
    <w:rsid w:val="6C00199C"/>
    <w:rsid w:val="6C005D12"/>
    <w:rsid w:val="6C011838"/>
    <w:rsid w:val="6C01255F"/>
    <w:rsid w:val="6C0131C4"/>
    <w:rsid w:val="6C01344B"/>
    <w:rsid w:val="6C0A5D70"/>
    <w:rsid w:val="6C0C1F7E"/>
    <w:rsid w:val="6C0D7A1D"/>
    <w:rsid w:val="6C0F61B5"/>
    <w:rsid w:val="6C112B1C"/>
    <w:rsid w:val="6C142E2F"/>
    <w:rsid w:val="6C145286"/>
    <w:rsid w:val="6C1526A1"/>
    <w:rsid w:val="6C160001"/>
    <w:rsid w:val="6C162100"/>
    <w:rsid w:val="6C1734C1"/>
    <w:rsid w:val="6C17617B"/>
    <w:rsid w:val="6C177829"/>
    <w:rsid w:val="6C204B89"/>
    <w:rsid w:val="6C237FE5"/>
    <w:rsid w:val="6C240700"/>
    <w:rsid w:val="6C242018"/>
    <w:rsid w:val="6C286CA5"/>
    <w:rsid w:val="6C2D662E"/>
    <w:rsid w:val="6C2E7C1F"/>
    <w:rsid w:val="6C2F349F"/>
    <w:rsid w:val="6C3019A3"/>
    <w:rsid w:val="6C345DDF"/>
    <w:rsid w:val="6C375214"/>
    <w:rsid w:val="6C3C21A9"/>
    <w:rsid w:val="6C400474"/>
    <w:rsid w:val="6C454A8D"/>
    <w:rsid w:val="6C472240"/>
    <w:rsid w:val="6C484137"/>
    <w:rsid w:val="6C4874EE"/>
    <w:rsid w:val="6C4A4CE3"/>
    <w:rsid w:val="6C4C01B4"/>
    <w:rsid w:val="6C4E0498"/>
    <w:rsid w:val="6C506957"/>
    <w:rsid w:val="6C5570DA"/>
    <w:rsid w:val="6C56143C"/>
    <w:rsid w:val="6C586879"/>
    <w:rsid w:val="6C594EDD"/>
    <w:rsid w:val="6C5A3358"/>
    <w:rsid w:val="6C5A7DC9"/>
    <w:rsid w:val="6C5B5D0E"/>
    <w:rsid w:val="6C5F712F"/>
    <w:rsid w:val="6C603100"/>
    <w:rsid w:val="6C632437"/>
    <w:rsid w:val="6C642A03"/>
    <w:rsid w:val="6C661AE1"/>
    <w:rsid w:val="6C6C59E0"/>
    <w:rsid w:val="6C6D194F"/>
    <w:rsid w:val="6C6E3756"/>
    <w:rsid w:val="6C7014E6"/>
    <w:rsid w:val="6C7037E0"/>
    <w:rsid w:val="6C713D27"/>
    <w:rsid w:val="6C72361F"/>
    <w:rsid w:val="6C7342EE"/>
    <w:rsid w:val="6C75718D"/>
    <w:rsid w:val="6C785EA6"/>
    <w:rsid w:val="6C787EA5"/>
    <w:rsid w:val="6C793CDA"/>
    <w:rsid w:val="6C79402A"/>
    <w:rsid w:val="6C7B34AE"/>
    <w:rsid w:val="6C7C2E15"/>
    <w:rsid w:val="6C7E4A82"/>
    <w:rsid w:val="6C8435F3"/>
    <w:rsid w:val="6C864B51"/>
    <w:rsid w:val="6C882205"/>
    <w:rsid w:val="6C88628B"/>
    <w:rsid w:val="6C8A3349"/>
    <w:rsid w:val="6C8B1C10"/>
    <w:rsid w:val="6C8B30D7"/>
    <w:rsid w:val="6C912246"/>
    <w:rsid w:val="6C922A38"/>
    <w:rsid w:val="6C9465CF"/>
    <w:rsid w:val="6C953C39"/>
    <w:rsid w:val="6C9808FC"/>
    <w:rsid w:val="6C9932A8"/>
    <w:rsid w:val="6C9A3F2E"/>
    <w:rsid w:val="6C9C0102"/>
    <w:rsid w:val="6C9D01FF"/>
    <w:rsid w:val="6CA106E2"/>
    <w:rsid w:val="6CA16F49"/>
    <w:rsid w:val="6CA353FA"/>
    <w:rsid w:val="6CA52994"/>
    <w:rsid w:val="6CA704E1"/>
    <w:rsid w:val="6CA949F7"/>
    <w:rsid w:val="6CAA1994"/>
    <w:rsid w:val="6CAE174D"/>
    <w:rsid w:val="6CAE2130"/>
    <w:rsid w:val="6CB12993"/>
    <w:rsid w:val="6CB23D2E"/>
    <w:rsid w:val="6CB279E0"/>
    <w:rsid w:val="6CB329EB"/>
    <w:rsid w:val="6CB35FFF"/>
    <w:rsid w:val="6CB44C15"/>
    <w:rsid w:val="6CB62F1F"/>
    <w:rsid w:val="6CB64F89"/>
    <w:rsid w:val="6CB71846"/>
    <w:rsid w:val="6CB71AD1"/>
    <w:rsid w:val="6CBB2852"/>
    <w:rsid w:val="6CBE1DF8"/>
    <w:rsid w:val="6CBE3BB0"/>
    <w:rsid w:val="6CC15553"/>
    <w:rsid w:val="6CC21D06"/>
    <w:rsid w:val="6CC4178D"/>
    <w:rsid w:val="6CC62535"/>
    <w:rsid w:val="6CCB5651"/>
    <w:rsid w:val="6CCF11ED"/>
    <w:rsid w:val="6CD11799"/>
    <w:rsid w:val="6CD137E8"/>
    <w:rsid w:val="6CD268DA"/>
    <w:rsid w:val="6CD27249"/>
    <w:rsid w:val="6CD4087C"/>
    <w:rsid w:val="6CD42E50"/>
    <w:rsid w:val="6CD539C8"/>
    <w:rsid w:val="6CD6346C"/>
    <w:rsid w:val="6CD71C0E"/>
    <w:rsid w:val="6CDA06F9"/>
    <w:rsid w:val="6CDA50B2"/>
    <w:rsid w:val="6CDB0429"/>
    <w:rsid w:val="6CDC3E24"/>
    <w:rsid w:val="6CE129F5"/>
    <w:rsid w:val="6CE345E9"/>
    <w:rsid w:val="6CE43343"/>
    <w:rsid w:val="6CE4764C"/>
    <w:rsid w:val="6CE61B58"/>
    <w:rsid w:val="6CEA1619"/>
    <w:rsid w:val="6CEA4AD2"/>
    <w:rsid w:val="6CEB5798"/>
    <w:rsid w:val="6CEB7C63"/>
    <w:rsid w:val="6CEC669E"/>
    <w:rsid w:val="6CEE5572"/>
    <w:rsid w:val="6CEF16C6"/>
    <w:rsid w:val="6CF15C1A"/>
    <w:rsid w:val="6CF30E1E"/>
    <w:rsid w:val="6CF40794"/>
    <w:rsid w:val="6CF53DB9"/>
    <w:rsid w:val="6CF56A72"/>
    <w:rsid w:val="6CF6693D"/>
    <w:rsid w:val="6CF82F28"/>
    <w:rsid w:val="6CF85EBD"/>
    <w:rsid w:val="6CF97F81"/>
    <w:rsid w:val="6CFC4937"/>
    <w:rsid w:val="6CFC5A32"/>
    <w:rsid w:val="6CFD352F"/>
    <w:rsid w:val="6D03546E"/>
    <w:rsid w:val="6D060853"/>
    <w:rsid w:val="6D062B39"/>
    <w:rsid w:val="6D083F08"/>
    <w:rsid w:val="6D0B039C"/>
    <w:rsid w:val="6D0B0415"/>
    <w:rsid w:val="6D0D058F"/>
    <w:rsid w:val="6D0E4FDE"/>
    <w:rsid w:val="6D151B73"/>
    <w:rsid w:val="6D1A12B9"/>
    <w:rsid w:val="6D1D16B2"/>
    <w:rsid w:val="6D1E1F78"/>
    <w:rsid w:val="6D213F3B"/>
    <w:rsid w:val="6D225B6F"/>
    <w:rsid w:val="6D234868"/>
    <w:rsid w:val="6D2438A9"/>
    <w:rsid w:val="6D2616BF"/>
    <w:rsid w:val="6D267EE9"/>
    <w:rsid w:val="6D28000C"/>
    <w:rsid w:val="6D2A387A"/>
    <w:rsid w:val="6D2C4F47"/>
    <w:rsid w:val="6D2E24DF"/>
    <w:rsid w:val="6D2E569C"/>
    <w:rsid w:val="6D2F221A"/>
    <w:rsid w:val="6D3021F8"/>
    <w:rsid w:val="6D341F72"/>
    <w:rsid w:val="6D3427F9"/>
    <w:rsid w:val="6D367160"/>
    <w:rsid w:val="6D3732C0"/>
    <w:rsid w:val="6D381229"/>
    <w:rsid w:val="6D397ADD"/>
    <w:rsid w:val="6D3A3C5A"/>
    <w:rsid w:val="6D3A5C30"/>
    <w:rsid w:val="6D3B2F71"/>
    <w:rsid w:val="6D3C61EC"/>
    <w:rsid w:val="6D3C679A"/>
    <w:rsid w:val="6D3C7619"/>
    <w:rsid w:val="6D3D6501"/>
    <w:rsid w:val="6D3E4882"/>
    <w:rsid w:val="6D424D8A"/>
    <w:rsid w:val="6D4413C8"/>
    <w:rsid w:val="6D4541FC"/>
    <w:rsid w:val="6D4610E6"/>
    <w:rsid w:val="6D4649AC"/>
    <w:rsid w:val="6D467324"/>
    <w:rsid w:val="6D47045D"/>
    <w:rsid w:val="6D4778C1"/>
    <w:rsid w:val="6D4B4BBF"/>
    <w:rsid w:val="6D4E297B"/>
    <w:rsid w:val="6D4E2B3E"/>
    <w:rsid w:val="6D4E7FB5"/>
    <w:rsid w:val="6D526BD3"/>
    <w:rsid w:val="6D527299"/>
    <w:rsid w:val="6D541402"/>
    <w:rsid w:val="6D5534BB"/>
    <w:rsid w:val="6D554EC6"/>
    <w:rsid w:val="6D5738DE"/>
    <w:rsid w:val="6D587F45"/>
    <w:rsid w:val="6D5B1281"/>
    <w:rsid w:val="6D5B345A"/>
    <w:rsid w:val="6D5E0058"/>
    <w:rsid w:val="6D60316E"/>
    <w:rsid w:val="6D605C71"/>
    <w:rsid w:val="6D607A1F"/>
    <w:rsid w:val="6D641349"/>
    <w:rsid w:val="6D655EF1"/>
    <w:rsid w:val="6D661224"/>
    <w:rsid w:val="6D674D75"/>
    <w:rsid w:val="6D695D6F"/>
    <w:rsid w:val="6D6C763E"/>
    <w:rsid w:val="6D6F140E"/>
    <w:rsid w:val="6D6F26A2"/>
    <w:rsid w:val="6D714319"/>
    <w:rsid w:val="6D722295"/>
    <w:rsid w:val="6D736F21"/>
    <w:rsid w:val="6D747F2E"/>
    <w:rsid w:val="6D7601AF"/>
    <w:rsid w:val="6D76375A"/>
    <w:rsid w:val="6D77577C"/>
    <w:rsid w:val="6D79435B"/>
    <w:rsid w:val="6D795176"/>
    <w:rsid w:val="6D79768B"/>
    <w:rsid w:val="6D7C5149"/>
    <w:rsid w:val="6D7E459C"/>
    <w:rsid w:val="6D7F149D"/>
    <w:rsid w:val="6D810022"/>
    <w:rsid w:val="6D815DEF"/>
    <w:rsid w:val="6D832FBF"/>
    <w:rsid w:val="6D8346E3"/>
    <w:rsid w:val="6D860B73"/>
    <w:rsid w:val="6D896E89"/>
    <w:rsid w:val="6D8A2C2D"/>
    <w:rsid w:val="6D8D5C72"/>
    <w:rsid w:val="6D8E0D9B"/>
    <w:rsid w:val="6D8F5477"/>
    <w:rsid w:val="6D8F7FF8"/>
    <w:rsid w:val="6D912838"/>
    <w:rsid w:val="6D923E0B"/>
    <w:rsid w:val="6D935C33"/>
    <w:rsid w:val="6D93702D"/>
    <w:rsid w:val="6D964919"/>
    <w:rsid w:val="6D990E66"/>
    <w:rsid w:val="6D9A4907"/>
    <w:rsid w:val="6D9F5C7D"/>
    <w:rsid w:val="6DA17797"/>
    <w:rsid w:val="6DA26C10"/>
    <w:rsid w:val="6DA37943"/>
    <w:rsid w:val="6DAA719A"/>
    <w:rsid w:val="6DAA7499"/>
    <w:rsid w:val="6DAD01EE"/>
    <w:rsid w:val="6DAE555F"/>
    <w:rsid w:val="6DAE65A6"/>
    <w:rsid w:val="6DB02770"/>
    <w:rsid w:val="6DB02C9A"/>
    <w:rsid w:val="6DB2342C"/>
    <w:rsid w:val="6DB32589"/>
    <w:rsid w:val="6DB416FA"/>
    <w:rsid w:val="6DB7522A"/>
    <w:rsid w:val="6DBA5882"/>
    <w:rsid w:val="6DBE48DB"/>
    <w:rsid w:val="6DC02778"/>
    <w:rsid w:val="6DC10ACE"/>
    <w:rsid w:val="6DC16CB0"/>
    <w:rsid w:val="6DC35FFB"/>
    <w:rsid w:val="6DC4028A"/>
    <w:rsid w:val="6DC733AF"/>
    <w:rsid w:val="6DC835BB"/>
    <w:rsid w:val="6DC84A5B"/>
    <w:rsid w:val="6DC925A6"/>
    <w:rsid w:val="6DCA0071"/>
    <w:rsid w:val="6DCE069E"/>
    <w:rsid w:val="6DD02742"/>
    <w:rsid w:val="6DD12E9A"/>
    <w:rsid w:val="6DD13B9E"/>
    <w:rsid w:val="6DD54EFC"/>
    <w:rsid w:val="6DD57623"/>
    <w:rsid w:val="6DD961F5"/>
    <w:rsid w:val="6DDA0E96"/>
    <w:rsid w:val="6DDB03A1"/>
    <w:rsid w:val="6DDE065C"/>
    <w:rsid w:val="6DDE7C44"/>
    <w:rsid w:val="6DE01A2B"/>
    <w:rsid w:val="6DE36FB8"/>
    <w:rsid w:val="6DEA3C3D"/>
    <w:rsid w:val="6DEA517A"/>
    <w:rsid w:val="6DF40232"/>
    <w:rsid w:val="6DF53A13"/>
    <w:rsid w:val="6DF7302F"/>
    <w:rsid w:val="6DF749FB"/>
    <w:rsid w:val="6DF87A46"/>
    <w:rsid w:val="6DF95261"/>
    <w:rsid w:val="6DF96822"/>
    <w:rsid w:val="6DFA0262"/>
    <w:rsid w:val="6DFD2C65"/>
    <w:rsid w:val="6DFF1257"/>
    <w:rsid w:val="6DFF1A9B"/>
    <w:rsid w:val="6E0371A6"/>
    <w:rsid w:val="6E037E17"/>
    <w:rsid w:val="6E043A80"/>
    <w:rsid w:val="6E056C56"/>
    <w:rsid w:val="6E080474"/>
    <w:rsid w:val="6E0B3A87"/>
    <w:rsid w:val="6E0B4130"/>
    <w:rsid w:val="6E0C5196"/>
    <w:rsid w:val="6E0D1392"/>
    <w:rsid w:val="6E0D2CF8"/>
    <w:rsid w:val="6E0E1EA7"/>
    <w:rsid w:val="6E0E67D1"/>
    <w:rsid w:val="6E10211F"/>
    <w:rsid w:val="6E1073A5"/>
    <w:rsid w:val="6E113C84"/>
    <w:rsid w:val="6E1322B9"/>
    <w:rsid w:val="6E134FCA"/>
    <w:rsid w:val="6E1638F6"/>
    <w:rsid w:val="6E16583A"/>
    <w:rsid w:val="6E18507A"/>
    <w:rsid w:val="6E190306"/>
    <w:rsid w:val="6E1A28EB"/>
    <w:rsid w:val="6E1B0DD0"/>
    <w:rsid w:val="6E1B4956"/>
    <w:rsid w:val="6E1D0804"/>
    <w:rsid w:val="6E1D6233"/>
    <w:rsid w:val="6E213DD0"/>
    <w:rsid w:val="6E22672C"/>
    <w:rsid w:val="6E24247F"/>
    <w:rsid w:val="6E250E93"/>
    <w:rsid w:val="6E28049E"/>
    <w:rsid w:val="6E2A5AB6"/>
    <w:rsid w:val="6E304CF2"/>
    <w:rsid w:val="6E311A54"/>
    <w:rsid w:val="6E31417D"/>
    <w:rsid w:val="6E315197"/>
    <w:rsid w:val="6E332F2D"/>
    <w:rsid w:val="6E334C7B"/>
    <w:rsid w:val="6E3779E2"/>
    <w:rsid w:val="6E3A44FA"/>
    <w:rsid w:val="6E3E02FD"/>
    <w:rsid w:val="6E3E0665"/>
    <w:rsid w:val="6E3E5D4E"/>
    <w:rsid w:val="6E407CE8"/>
    <w:rsid w:val="6E4646D5"/>
    <w:rsid w:val="6E46549E"/>
    <w:rsid w:val="6E4719BB"/>
    <w:rsid w:val="6E4730AC"/>
    <w:rsid w:val="6E476478"/>
    <w:rsid w:val="6E4771A5"/>
    <w:rsid w:val="6E4C3C07"/>
    <w:rsid w:val="6E4D30C4"/>
    <w:rsid w:val="6E4D3F44"/>
    <w:rsid w:val="6E4D5EB4"/>
    <w:rsid w:val="6E4F1F96"/>
    <w:rsid w:val="6E502A6C"/>
    <w:rsid w:val="6E512910"/>
    <w:rsid w:val="6E5131A9"/>
    <w:rsid w:val="6E514AED"/>
    <w:rsid w:val="6E532F32"/>
    <w:rsid w:val="6E577730"/>
    <w:rsid w:val="6E590B2E"/>
    <w:rsid w:val="6E591566"/>
    <w:rsid w:val="6E591E2E"/>
    <w:rsid w:val="6E5A2AB6"/>
    <w:rsid w:val="6E5F5E43"/>
    <w:rsid w:val="6E601DA7"/>
    <w:rsid w:val="6E604F33"/>
    <w:rsid w:val="6E611945"/>
    <w:rsid w:val="6E61646E"/>
    <w:rsid w:val="6E637660"/>
    <w:rsid w:val="6E654642"/>
    <w:rsid w:val="6E6761F7"/>
    <w:rsid w:val="6E6E0B1C"/>
    <w:rsid w:val="6E6E6566"/>
    <w:rsid w:val="6E6E7C9D"/>
    <w:rsid w:val="6E6F42DD"/>
    <w:rsid w:val="6E713533"/>
    <w:rsid w:val="6E7428EF"/>
    <w:rsid w:val="6E754B5F"/>
    <w:rsid w:val="6E76481D"/>
    <w:rsid w:val="6E782208"/>
    <w:rsid w:val="6E7A6B28"/>
    <w:rsid w:val="6E7C6A0F"/>
    <w:rsid w:val="6E802EFD"/>
    <w:rsid w:val="6E816AF9"/>
    <w:rsid w:val="6E82269D"/>
    <w:rsid w:val="6E855649"/>
    <w:rsid w:val="6E8A6560"/>
    <w:rsid w:val="6E8B56BB"/>
    <w:rsid w:val="6E8C7F35"/>
    <w:rsid w:val="6E8E5AA7"/>
    <w:rsid w:val="6E90049A"/>
    <w:rsid w:val="6E93008B"/>
    <w:rsid w:val="6E962705"/>
    <w:rsid w:val="6E964EDF"/>
    <w:rsid w:val="6E9810D5"/>
    <w:rsid w:val="6E981518"/>
    <w:rsid w:val="6E9A140B"/>
    <w:rsid w:val="6E9B0015"/>
    <w:rsid w:val="6E9B6820"/>
    <w:rsid w:val="6E9C1208"/>
    <w:rsid w:val="6E9D4FB8"/>
    <w:rsid w:val="6E9D7C64"/>
    <w:rsid w:val="6E9F087F"/>
    <w:rsid w:val="6EA157E4"/>
    <w:rsid w:val="6EA252E3"/>
    <w:rsid w:val="6EA2609B"/>
    <w:rsid w:val="6EA34CC1"/>
    <w:rsid w:val="6EA36E54"/>
    <w:rsid w:val="6EA50329"/>
    <w:rsid w:val="6EA51F5C"/>
    <w:rsid w:val="6EA61A4A"/>
    <w:rsid w:val="6EA6216E"/>
    <w:rsid w:val="6EA6753D"/>
    <w:rsid w:val="6EA847D5"/>
    <w:rsid w:val="6EA952A3"/>
    <w:rsid w:val="6EAA2266"/>
    <w:rsid w:val="6EAF1CBF"/>
    <w:rsid w:val="6EAF3BCA"/>
    <w:rsid w:val="6EB078FE"/>
    <w:rsid w:val="6EB11C12"/>
    <w:rsid w:val="6EB45C8A"/>
    <w:rsid w:val="6EB66F8B"/>
    <w:rsid w:val="6EB73892"/>
    <w:rsid w:val="6EB8314E"/>
    <w:rsid w:val="6EB9069B"/>
    <w:rsid w:val="6EB9616B"/>
    <w:rsid w:val="6EBA449D"/>
    <w:rsid w:val="6EBA7426"/>
    <w:rsid w:val="6EBB1EEA"/>
    <w:rsid w:val="6EBD7FBA"/>
    <w:rsid w:val="6EBE0030"/>
    <w:rsid w:val="6EC0074E"/>
    <w:rsid w:val="6EC03B6E"/>
    <w:rsid w:val="6EC40911"/>
    <w:rsid w:val="6EC73B4E"/>
    <w:rsid w:val="6ECC45DB"/>
    <w:rsid w:val="6ECD0058"/>
    <w:rsid w:val="6ECD512B"/>
    <w:rsid w:val="6ECD69E5"/>
    <w:rsid w:val="6ECE41BE"/>
    <w:rsid w:val="6ED056BC"/>
    <w:rsid w:val="6ED3332C"/>
    <w:rsid w:val="6ED40037"/>
    <w:rsid w:val="6ED56A77"/>
    <w:rsid w:val="6ED678AC"/>
    <w:rsid w:val="6ED750ED"/>
    <w:rsid w:val="6ED85A95"/>
    <w:rsid w:val="6ED96E5B"/>
    <w:rsid w:val="6EDA0906"/>
    <w:rsid w:val="6EDA0F32"/>
    <w:rsid w:val="6EDD52B9"/>
    <w:rsid w:val="6EDE09DC"/>
    <w:rsid w:val="6EDF7F5B"/>
    <w:rsid w:val="6EE35E02"/>
    <w:rsid w:val="6EE42F9F"/>
    <w:rsid w:val="6EE654B8"/>
    <w:rsid w:val="6EE77B0E"/>
    <w:rsid w:val="6EE838B5"/>
    <w:rsid w:val="6EEC734D"/>
    <w:rsid w:val="6EEC7914"/>
    <w:rsid w:val="6EEE229C"/>
    <w:rsid w:val="6EF35D6F"/>
    <w:rsid w:val="6EF77F82"/>
    <w:rsid w:val="6EF83899"/>
    <w:rsid w:val="6EF97076"/>
    <w:rsid w:val="6EFA7C5F"/>
    <w:rsid w:val="6EFB138F"/>
    <w:rsid w:val="6EFB753B"/>
    <w:rsid w:val="6EFC58A8"/>
    <w:rsid w:val="6EFF3AE9"/>
    <w:rsid w:val="6F01167D"/>
    <w:rsid w:val="6F0264AE"/>
    <w:rsid w:val="6F035285"/>
    <w:rsid w:val="6F042ADD"/>
    <w:rsid w:val="6F070975"/>
    <w:rsid w:val="6F0727FD"/>
    <w:rsid w:val="6F0967B3"/>
    <w:rsid w:val="6F0A5873"/>
    <w:rsid w:val="6F0A6EFE"/>
    <w:rsid w:val="6F0D18AD"/>
    <w:rsid w:val="6F0E4051"/>
    <w:rsid w:val="6F102AA6"/>
    <w:rsid w:val="6F141564"/>
    <w:rsid w:val="6F1454DE"/>
    <w:rsid w:val="6F152276"/>
    <w:rsid w:val="6F152A60"/>
    <w:rsid w:val="6F165747"/>
    <w:rsid w:val="6F174878"/>
    <w:rsid w:val="6F1C2AC4"/>
    <w:rsid w:val="6F1C744F"/>
    <w:rsid w:val="6F1F187B"/>
    <w:rsid w:val="6F2138B9"/>
    <w:rsid w:val="6F2467CB"/>
    <w:rsid w:val="6F265E49"/>
    <w:rsid w:val="6F274600"/>
    <w:rsid w:val="6F293378"/>
    <w:rsid w:val="6F2A31C6"/>
    <w:rsid w:val="6F2C100D"/>
    <w:rsid w:val="6F2C6DB5"/>
    <w:rsid w:val="6F2D67C9"/>
    <w:rsid w:val="6F3058F1"/>
    <w:rsid w:val="6F326B2C"/>
    <w:rsid w:val="6F331292"/>
    <w:rsid w:val="6F334527"/>
    <w:rsid w:val="6F3453C7"/>
    <w:rsid w:val="6F345978"/>
    <w:rsid w:val="6F36150E"/>
    <w:rsid w:val="6F37306C"/>
    <w:rsid w:val="6F3818E3"/>
    <w:rsid w:val="6F3F1FF8"/>
    <w:rsid w:val="6F4070DC"/>
    <w:rsid w:val="6F425CF4"/>
    <w:rsid w:val="6F4301B8"/>
    <w:rsid w:val="6F450F0E"/>
    <w:rsid w:val="6F4574B2"/>
    <w:rsid w:val="6F470B7A"/>
    <w:rsid w:val="6F487344"/>
    <w:rsid w:val="6F491A69"/>
    <w:rsid w:val="6F4A2CEA"/>
    <w:rsid w:val="6F4C0E9D"/>
    <w:rsid w:val="6F4E2E73"/>
    <w:rsid w:val="6F4F62CA"/>
    <w:rsid w:val="6F4F6CC5"/>
    <w:rsid w:val="6F5270A5"/>
    <w:rsid w:val="6F53667F"/>
    <w:rsid w:val="6F560F15"/>
    <w:rsid w:val="6F563708"/>
    <w:rsid w:val="6F5A5493"/>
    <w:rsid w:val="6F5A569D"/>
    <w:rsid w:val="6F5B0F03"/>
    <w:rsid w:val="6F5D22EE"/>
    <w:rsid w:val="6F5E5CF8"/>
    <w:rsid w:val="6F5E7024"/>
    <w:rsid w:val="6F60756A"/>
    <w:rsid w:val="6F6124AC"/>
    <w:rsid w:val="6F6247CC"/>
    <w:rsid w:val="6F6309C2"/>
    <w:rsid w:val="6F6344FE"/>
    <w:rsid w:val="6F680832"/>
    <w:rsid w:val="6F6910DF"/>
    <w:rsid w:val="6F6A11F0"/>
    <w:rsid w:val="6F6A4880"/>
    <w:rsid w:val="6F6E7579"/>
    <w:rsid w:val="6F6F47C8"/>
    <w:rsid w:val="6F705B16"/>
    <w:rsid w:val="6F743340"/>
    <w:rsid w:val="6F745B76"/>
    <w:rsid w:val="6F763592"/>
    <w:rsid w:val="6F7755AF"/>
    <w:rsid w:val="6F7B0D5D"/>
    <w:rsid w:val="6F7C2166"/>
    <w:rsid w:val="6F7C2532"/>
    <w:rsid w:val="6F7F0E01"/>
    <w:rsid w:val="6F82198B"/>
    <w:rsid w:val="6F857885"/>
    <w:rsid w:val="6F8700B5"/>
    <w:rsid w:val="6F89796C"/>
    <w:rsid w:val="6F8D4F75"/>
    <w:rsid w:val="6F8E037A"/>
    <w:rsid w:val="6F8E3996"/>
    <w:rsid w:val="6F913138"/>
    <w:rsid w:val="6F9217E4"/>
    <w:rsid w:val="6F937433"/>
    <w:rsid w:val="6F9631B1"/>
    <w:rsid w:val="6F965E4A"/>
    <w:rsid w:val="6F99211D"/>
    <w:rsid w:val="6F997064"/>
    <w:rsid w:val="6F9A651D"/>
    <w:rsid w:val="6F9C6E6A"/>
    <w:rsid w:val="6F9F38A6"/>
    <w:rsid w:val="6F9F4DC3"/>
    <w:rsid w:val="6FA14528"/>
    <w:rsid w:val="6FA2196C"/>
    <w:rsid w:val="6FA4610B"/>
    <w:rsid w:val="6FA478DC"/>
    <w:rsid w:val="6FAC5DC7"/>
    <w:rsid w:val="6FB02B42"/>
    <w:rsid w:val="6FB06033"/>
    <w:rsid w:val="6FB34408"/>
    <w:rsid w:val="6FB4692F"/>
    <w:rsid w:val="6FB63558"/>
    <w:rsid w:val="6FB64B0B"/>
    <w:rsid w:val="6FB661A3"/>
    <w:rsid w:val="6FBA57A7"/>
    <w:rsid w:val="6FBB7F7F"/>
    <w:rsid w:val="6FBD5D5F"/>
    <w:rsid w:val="6FC521E5"/>
    <w:rsid w:val="6FC60A64"/>
    <w:rsid w:val="6FC62B37"/>
    <w:rsid w:val="6FC65C07"/>
    <w:rsid w:val="6FC7642F"/>
    <w:rsid w:val="6FC81C33"/>
    <w:rsid w:val="6FC84C37"/>
    <w:rsid w:val="6FC91D62"/>
    <w:rsid w:val="6FCA5365"/>
    <w:rsid w:val="6FCB22E7"/>
    <w:rsid w:val="6FCD41A6"/>
    <w:rsid w:val="6FCD494A"/>
    <w:rsid w:val="6FCE0FE2"/>
    <w:rsid w:val="6FD03639"/>
    <w:rsid w:val="6FD34557"/>
    <w:rsid w:val="6FD36013"/>
    <w:rsid w:val="6FD709EA"/>
    <w:rsid w:val="6FD82FB1"/>
    <w:rsid w:val="6FD96A94"/>
    <w:rsid w:val="6FDA606D"/>
    <w:rsid w:val="6FDA6E58"/>
    <w:rsid w:val="6FE349A7"/>
    <w:rsid w:val="6FE4411B"/>
    <w:rsid w:val="6FEC5D33"/>
    <w:rsid w:val="6FED4D02"/>
    <w:rsid w:val="6FED6B5D"/>
    <w:rsid w:val="6FEF02C9"/>
    <w:rsid w:val="6FF200F8"/>
    <w:rsid w:val="6FF209E5"/>
    <w:rsid w:val="6FF507BC"/>
    <w:rsid w:val="6FF54BF5"/>
    <w:rsid w:val="6FF719F5"/>
    <w:rsid w:val="6FF90062"/>
    <w:rsid w:val="6FF92F26"/>
    <w:rsid w:val="6FFB0F66"/>
    <w:rsid w:val="6FFB5DA0"/>
    <w:rsid w:val="70003576"/>
    <w:rsid w:val="70007E7C"/>
    <w:rsid w:val="70020B9C"/>
    <w:rsid w:val="700332D7"/>
    <w:rsid w:val="70037ED1"/>
    <w:rsid w:val="70061C67"/>
    <w:rsid w:val="7006239F"/>
    <w:rsid w:val="700F5FDF"/>
    <w:rsid w:val="70100E79"/>
    <w:rsid w:val="701270D5"/>
    <w:rsid w:val="7018622B"/>
    <w:rsid w:val="70195D4E"/>
    <w:rsid w:val="701A4821"/>
    <w:rsid w:val="701C5E3B"/>
    <w:rsid w:val="701D5210"/>
    <w:rsid w:val="701D6289"/>
    <w:rsid w:val="701E2712"/>
    <w:rsid w:val="701E65F2"/>
    <w:rsid w:val="70242978"/>
    <w:rsid w:val="70254C6F"/>
    <w:rsid w:val="702755F9"/>
    <w:rsid w:val="70281123"/>
    <w:rsid w:val="702D454E"/>
    <w:rsid w:val="702E0A9E"/>
    <w:rsid w:val="70300DF5"/>
    <w:rsid w:val="70307DD5"/>
    <w:rsid w:val="703732E5"/>
    <w:rsid w:val="703A03D0"/>
    <w:rsid w:val="703A7FCD"/>
    <w:rsid w:val="703D24EC"/>
    <w:rsid w:val="703F00D8"/>
    <w:rsid w:val="703F1C87"/>
    <w:rsid w:val="703F2EA4"/>
    <w:rsid w:val="70410AB2"/>
    <w:rsid w:val="70410CAB"/>
    <w:rsid w:val="70426992"/>
    <w:rsid w:val="7043499E"/>
    <w:rsid w:val="704745AF"/>
    <w:rsid w:val="7047527F"/>
    <w:rsid w:val="70475A73"/>
    <w:rsid w:val="704834C4"/>
    <w:rsid w:val="70494C60"/>
    <w:rsid w:val="704B0302"/>
    <w:rsid w:val="704C2E40"/>
    <w:rsid w:val="704D1389"/>
    <w:rsid w:val="704D6F83"/>
    <w:rsid w:val="70515238"/>
    <w:rsid w:val="70526DB8"/>
    <w:rsid w:val="705275B4"/>
    <w:rsid w:val="70562588"/>
    <w:rsid w:val="705A4074"/>
    <w:rsid w:val="705A4EED"/>
    <w:rsid w:val="705D6547"/>
    <w:rsid w:val="705E60FC"/>
    <w:rsid w:val="705F7CBF"/>
    <w:rsid w:val="70625BDF"/>
    <w:rsid w:val="706345FC"/>
    <w:rsid w:val="70636498"/>
    <w:rsid w:val="706572AA"/>
    <w:rsid w:val="70684A9C"/>
    <w:rsid w:val="706A66F6"/>
    <w:rsid w:val="706C3377"/>
    <w:rsid w:val="707208FE"/>
    <w:rsid w:val="70736AB7"/>
    <w:rsid w:val="70776866"/>
    <w:rsid w:val="707862A2"/>
    <w:rsid w:val="707A17CE"/>
    <w:rsid w:val="707B4287"/>
    <w:rsid w:val="707E1144"/>
    <w:rsid w:val="708041E9"/>
    <w:rsid w:val="7081521E"/>
    <w:rsid w:val="70817921"/>
    <w:rsid w:val="70837583"/>
    <w:rsid w:val="708469D9"/>
    <w:rsid w:val="70854DE6"/>
    <w:rsid w:val="7086390D"/>
    <w:rsid w:val="7087469B"/>
    <w:rsid w:val="70892336"/>
    <w:rsid w:val="708D4DA6"/>
    <w:rsid w:val="708D5AF8"/>
    <w:rsid w:val="709014A6"/>
    <w:rsid w:val="7090631B"/>
    <w:rsid w:val="70953C74"/>
    <w:rsid w:val="70960B1B"/>
    <w:rsid w:val="7097602A"/>
    <w:rsid w:val="709B7BA2"/>
    <w:rsid w:val="709E0402"/>
    <w:rsid w:val="709E4F67"/>
    <w:rsid w:val="709F581F"/>
    <w:rsid w:val="70A014A1"/>
    <w:rsid w:val="70A43F74"/>
    <w:rsid w:val="70A94894"/>
    <w:rsid w:val="70AE2AFF"/>
    <w:rsid w:val="70B003F3"/>
    <w:rsid w:val="70B42E17"/>
    <w:rsid w:val="70B62375"/>
    <w:rsid w:val="70B74406"/>
    <w:rsid w:val="70B75C05"/>
    <w:rsid w:val="70B76329"/>
    <w:rsid w:val="70B7634B"/>
    <w:rsid w:val="70B8549E"/>
    <w:rsid w:val="70B943DF"/>
    <w:rsid w:val="70BA3662"/>
    <w:rsid w:val="70BC5A74"/>
    <w:rsid w:val="70BF61DD"/>
    <w:rsid w:val="70C2333D"/>
    <w:rsid w:val="70C25941"/>
    <w:rsid w:val="70C43D7E"/>
    <w:rsid w:val="70C47A1B"/>
    <w:rsid w:val="70C51C42"/>
    <w:rsid w:val="70C66C78"/>
    <w:rsid w:val="70C91CC5"/>
    <w:rsid w:val="70CC0359"/>
    <w:rsid w:val="70CC6341"/>
    <w:rsid w:val="70D41FE1"/>
    <w:rsid w:val="70D632DE"/>
    <w:rsid w:val="70D830D2"/>
    <w:rsid w:val="70D85ED0"/>
    <w:rsid w:val="70DF0D3D"/>
    <w:rsid w:val="70DF6D2C"/>
    <w:rsid w:val="70E01203"/>
    <w:rsid w:val="70E022B0"/>
    <w:rsid w:val="70E21D42"/>
    <w:rsid w:val="70E3005D"/>
    <w:rsid w:val="70E311BE"/>
    <w:rsid w:val="70E41E48"/>
    <w:rsid w:val="70E4609A"/>
    <w:rsid w:val="70E478AC"/>
    <w:rsid w:val="70E531A9"/>
    <w:rsid w:val="70E61166"/>
    <w:rsid w:val="70E61308"/>
    <w:rsid w:val="70E6421A"/>
    <w:rsid w:val="70E84484"/>
    <w:rsid w:val="70ED0AD3"/>
    <w:rsid w:val="70ED237A"/>
    <w:rsid w:val="70EE3DEB"/>
    <w:rsid w:val="70EE4663"/>
    <w:rsid w:val="70EE7B51"/>
    <w:rsid w:val="70F14E41"/>
    <w:rsid w:val="70F24CBA"/>
    <w:rsid w:val="70F36BDF"/>
    <w:rsid w:val="70F4267E"/>
    <w:rsid w:val="70F570D8"/>
    <w:rsid w:val="70F64BBD"/>
    <w:rsid w:val="70FB3EA1"/>
    <w:rsid w:val="70FC0CB9"/>
    <w:rsid w:val="70FD0733"/>
    <w:rsid w:val="710103BC"/>
    <w:rsid w:val="71010A3C"/>
    <w:rsid w:val="71025A80"/>
    <w:rsid w:val="71033D52"/>
    <w:rsid w:val="71050354"/>
    <w:rsid w:val="7107028E"/>
    <w:rsid w:val="710705DB"/>
    <w:rsid w:val="71082B4D"/>
    <w:rsid w:val="710B179C"/>
    <w:rsid w:val="710F6C70"/>
    <w:rsid w:val="7111076A"/>
    <w:rsid w:val="71162814"/>
    <w:rsid w:val="711726A6"/>
    <w:rsid w:val="71175DED"/>
    <w:rsid w:val="71190798"/>
    <w:rsid w:val="711A0F7A"/>
    <w:rsid w:val="711B0171"/>
    <w:rsid w:val="711B7D93"/>
    <w:rsid w:val="71246EFE"/>
    <w:rsid w:val="71256624"/>
    <w:rsid w:val="71273C73"/>
    <w:rsid w:val="71285972"/>
    <w:rsid w:val="712A050C"/>
    <w:rsid w:val="712E5CCE"/>
    <w:rsid w:val="712F54E7"/>
    <w:rsid w:val="712F781D"/>
    <w:rsid w:val="713017CD"/>
    <w:rsid w:val="7132117C"/>
    <w:rsid w:val="71323F61"/>
    <w:rsid w:val="71331132"/>
    <w:rsid w:val="71331681"/>
    <w:rsid w:val="71334BFF"/>
    <w:rsid w:val="713F417E"/>
    <w:rsid w:val="71404FD2"/>
    <w:rsid w:val="714057B4"/>
    <w:rsid w:val="714317DA"/>
    <w:rsid w:val="71432700"/>
    <w:rsid w:val="71441750"/>
    <w:rsid w:val="71444D09"/>
    <w:rsid w:val="714A5F3C"/>
    <w:rsid w:val="714B6368"/>
    <w:rsid w:val="714C3186"/>
    <w:rsid w:val="714C732A"/>
    <w:rsid w:val="714E346F"/>
    <w:rsid w:val="714E7679"/>
    <w:rsid w:val="714F580A"/>
    <w:rsid w:val="714F7A66"/>
    <w:rsid w:val="71520B39"/>
    <w:rsid w:val="71531B0F"/>
    <w:rsid w:val="715349C6"/>
    <w:rsid w:val="71554F33"/>
    <w:rsid w:val="715778BC"/>
    <w:rsid w:val="7158568B"/>
    <w:rsid w:val="71641613"/>
    <w:rsid w:val="71676001"/>
    <w:rsid w:val="716A4378"/>
    <w:rsid w:val="716A555D"/>
    <w:rsid w:val="716D1C5F"/>
    <w:rsid w:val="716D307E"/>
    <w:rsid w:val="716D68C6"/>
    <w:rsid w:val="716F7C7C"/>
    <w:rsid w:val="717134E4"/>
    <w:rsid w:val="71715A86"/>
    <w:rsid w:val="71717D14"/>
    <w:rsid w:val="71720130"/>
    <w:rsid w:val="71720A2D"/>
    <w:rsid w:val="71734237"/>
    <w:rsid w:val="71736FA0"/>
    <w:rsid w:val="71774E77"/>
    <w:rsid w:val="71780010"/>
    <w:rsid w:val="71781226"/>
    <w:rsid w:val="71795A97"/>
    <w:rsid w:val="717C3A27"/>
    <w:rsid w:val="717C6A82"/>
    <w:rsid w:val="717E1D3F"/>
    <w:rsid w:val="7180268F"/>
    <w:rsid w:val="71803726"/>
    <w:rsid w:val="71822349"/>
    <w:rsid w:val="71831FE9"/>
    <w:rsid w:val="71835196"/>
    <w:rsid w:val="718411C7"/>
    <w:rsid w:val="71841EDF"/>
    <w:rsid w:val="71854CC7"/>
    <w:rsid w:val="71865A13"/>
    <w:rsid w:val="71881DF4"/>
    <w:rsid w:val="718920CD"/>
    <w:rsid w:val="718A0D98"/>
    <w:rsid w:val="718A3BF5"/>
    <w:rsid w:val="718F0167"/>
    <w:rsid w:val="71947E41"/>
    <w:rsid w:val="719635A1"/>
    <w:rsid w:val="71965A29"/>
    <w:rsid w:val="719D5359"/>
    <w:rsid w:val="719D6CFC"/>
    <w:rsid w:val="719E05D9"/>
    <w:rsid w:val="719F0A90"/>
    <w:rsid w:val="71A15B43"/>
    <w:rsid w:val="71A25D7E"/>
    <w:rsid w:val="71A45613"/>
    <w:rsid w:val="71A46811"/>
    <w:rsid w:val="71A57937"/>
    <w:rsid w:val="71A6722B"/>
    <w:rsid w:val="71A70D65"/>
    <w:rsid w:val="71AB66B4"/>
    <w:rsid w:val="71B040A6"/>
    <w:rsid w:val="71B33490"/>
    <w:rsid w:val="71B45134"/>
    <w:rsid w:val="71B46258"/>
    <w:rsid w:val="71BA30A6"/>
    <w:rsid w:val="71BB2AA9"/>
    <w:rsid w:val="71C157E8"/>
    <w:rsid w:val="71C216EE"/>
    <w:rsid w:val="71C25F5B"/>
    <w:rsid w:val="71C33966"/>
    <w:rsid w:val="71C37AA0"/>
    <w:rsid w:val="71C72FAA"/>
    <w:rsid w:val="71C73175"/>
    <w:rsid w:val="71C8407F"/>
    <w:rsid w:val="71CB0F79"/>
    <w:rsid w:val="71CB518E"/>
    <w:rsid w:val="71CD4428"/>
    <w:rsid w:val="71CF578D"/>
    <w:rsid w:val="71CF6CA3"/>
    <w:rsid w:val="71D50EC6"/>
    <w:rsid w:val="71D83002"/>
    <w:rsid w:val="71D91E2A"/>
    <w:rsid w:val="71DA0174"/>
    <w:rsid w:val="71DA4058"/>
    <w:rsid w:val="71DA4268"/>
    <w:rsid w:val="71DB4EF2"/>
    <w:rsid w:val="71DC285D"/>
    <w:rsid w:val="71DD12C4"/>
    <w:rsid w:val="71DE3E25"/>
    <w:rsid w:val="71DE6BF4"/>
    <w:rsid w:val="71DF3FBB"/>
    <w:rsid w:val="71E35A54"/>
    <w:rsid w:val="71E50324"/>
    <w:rsid w:val="71E95CFD"/>
    <w:rsid w:val="71EA16DE"/>
    <w:rsid w:val="71EB3587"/>
    <w:rsid w:val="71EC0B0F"/>
    <w:rsid w:val="71EC35D6"/>
    <w:rsid w:val="71ED13AF"/>
    <w:rsid w:val="71ED1CBD"/>
    <w:rsid w:val="71EE7C27"/>
    <w:rsid w:val="71EE7C7D"/>
    <w:rsid w:val="71EF5B42"/>
    <w:rsid w:val="71F03618"/>
    <w:rsid w:val="71F10AF1"/>
    <w:rsid w:val="71F64363"/>
    <w:rsid w:val="71F82D1E"/>
    <w:rsid w:val="71F91B4C"/>
    <w:rsid w:val="71FA0D4D"/>
    <w:rsid w:val="720545DE"/>
    <w:rsid w:val="720556EE"/>
    <w:rsid w:val="72085661"/>
    <w:rsid w:val="720A2AB3"/>
    <w:rsid w:val="720C4F85"/>
    <w:rsid w:val="721433A0"/>
    <w:rsid w:val="721450E5"/>
    <w:rsid w:val="721A59CF"/>
    <w:rsid w:val="721B1F54"/>
    <w:rsid w:val="721D311C"/>
    <w:rsid w:val="721F1EFC"/>
    <w:rsid w:val="72201F7D"/>
    <w:rsid w:val="72211790"/>
    <w:rsid w:val="72211FD4"/>
    <w:rsid w:val="722342A7"/>
    <w:rsid w:val="72235477"/>
    <w:rsid w:val="722414F9"/>
    <w:rsid w:val="72250405"/>
    <w:rsid w:val="72283B1B"/>
    <w:rsid w:val="7229435E"/>
    <w:rsid w:val="722B1363"/>
    <w:rsid w:val="722B34F2"/>
    <w:rsid w:val="722E2BFF"/>
    <w:rsid w:val="723131B0"/>
    <w:rsid w:val="72325AD1"/>
    <w:rsid w:val="72345931"/>
    <w:rsid w:val="7236034D"/>
    <w:rsid w:val="7237674A"/>
    <w:rsid w:val="72387AA6"/>
    <w:rsid w:val="723A2E63"/>
    <w:rsid w:val="723A78A1"/>
    <w:rsid w:val="723B363E"/>
    <w:rsid w:val="723B75EB"/>
    <w:rsid w:val="723D4605"/>
    <w:rsid w:val="723D763E"/>
    <w:rsid w:val="723E09D1"/>
    <w:rsid w:val="723E4415"/>
    <w:rsid w:val="723F2AB7"/>
    <w:rsid w:val="72493AB8"/>
    <w:rsid w:val="724B029B"/>
    <w:rsid w:val="724B10D8"/>
    <w:rsid w:val="724D3923"/>
    <w:rsid w:val="724F52AF"/>
    <w:rsid w:val="724F6439"/>
    <w:rsid w:val="72512267"/>
    <w:rsid w:val="72534775"/>
    <w:rsid w:val="725648BB"/>
    <w:rsid w:val="72574CD4"/>
    <w:rsid w:val="725A487E"/>
    <w:rsid w:val="725A7E65"/>
    <w:rsid w:val="72606A7B"/>
    <w:rsid w:val="7262735B"/>
    <w:rsid w:val="726423DD"/>
    <w:rsid w:val="726450EF"/>
    <w:rsid w:val="726571BB"/>
    <w:rsid w:val="726773CA"/>
    <w:rsid w:val="72690375"/>
    <w:rsid w:val="726B1E30"/>
    <w:rsid w:val="726C423A"/>
    <w:rsid w:val="7271175A"/>
    <w:rsid w:val="72722305"/>
    <w:rsid w:val="7273031A"/>
    <w:rsid w:val="72747E6A"/>
    <w:rsid w:val="727530EB"/>
    <w:rsid w:val="727741D8"/>
    <w:rsid w:val="727748CE"/>
    <w:rsid w:val="727A2890"/>
    <w:rsid w:val="727B19DE"/>
    <w:rsid w:val="727B22E5"/>
    <w:rsid w:val="727B4CF6"/>
    <w:rsid w:val="727F131A"/>
    <w:rsid w:val="728223E4"/>
    <w:rsid w:val="72831DE2"/>
    <w:rsid w:val="728328AE"/>
    <w:rsid w:val="728329D8"/>
    <w:rsid w:val="728502B9"/>
    <w:rsid w:val="7288482C"/>
    <w:rsid w:val="72894856"/>
    <w:rsid w:val="728E76DB"/>
    <w:rsid w:val="728F516A"/>
    <w:rsid w:val="72942A63"/>
    <w:rsid w:val="72946BF8"/>
    <w:rsid w:val="72964632"/>
    <w:rsid w:val="729A72B3"/>
    <w:rsid w:val="729B3A99"/>
    <w:rsid w:val="729D2786"/>
    <w:rsid w:val="729E6284"/>
    <w:rsid w:val="72A214DD"/>
    <w:rsid w:val="72A21DCA"/>
    <w:rsid w:val="72A5457D"/>
    <w:rsid w:val="72A749E7"/>
    <w:rsid w:val="72A8579F"/>
    <w:rsid w:val="72A921C5"/>
    <w:rsid w:val="72AB1428"/>
    <w:rsid w:val="72AD1FF1"/>
    <w:rsid w:val="72AE52DC"/>
    <w:rsid w:val="72B127FB"/>
    <w:rsid w:val="72B179DB"/>
    <w:rsid w:val="72B218C5"/>
    <w:rsid w:val="72B41344"/>
    <w:rsid w:val="72B66239"/>
    <w:rsid w:val="72BA1699"/>
    <w:rsid w:val="72BE6A8F"/>
    <w:rsid w:val="72C14C4A"/>
    <w:rsid w:val="72C15D7E"/>
    <w:rsid w:val="72C25CDD"/>
    <w:rsid w:val="72C42E61"/>
    <w:rsid w:val="72C46CF2"/>
    <w:rsid w:val="72CE4721"/>
    <w:rsid w:val="72CE74F1"/>
    <w:rsid w:val="72CF2F53"/>
    <w:rsid w:val="72D02082"/>
    <w:rsid w:val="72D34E5A"/>
    <w:rsid w:val="72D35913"/>
    <w:rsid w:val="72D46630"/>
    <w:rsid w:val="72D56C36"/>
    <w:rsid w:val="72DB199C"/>
    <w:rsid w:val="72DC2001"/>
    <w:rsid w:val="72E00F2C"/>
    <w:rsid w:val="72E07B78"/>
    <w:rsid w:val="72E35AD3"/>
    <w:rsid w:val="72E4131B"/>
    <w:rsid w:val="72E440E7"/>
    <w:rsid w:val="72E53B3C"/>
    <w:rsid w:val="72E53C9F"/>
    <w:rsid w:val="72E562BE"/>
    <w:rsid w:val="72EA29E6"/>
    <w:rsid w:val="72EA471E"/>
    <w:rsid w:val="72EA6287"/>
    <w:rsid w:val="72EC0A84"/>
    <w:rsid w:val="72F00D60"/>
    <w:rsid w:val="72F03C66"/>
    <w:rsid w:val="72F1346D"/>
    <w:rsid w:val="72F31BE0"/>
    <w:rsid w:val="72F33181"/>
    <w:rsid w:val="72F55E85"/>
    <w:rsid w:val="72F638C8"/>
    <w:rsid w:val="72F75D7B"/>
    <w:rsid w:val="72F8220D"/>
    <w:rsid w:val="72FB3D4A"/>
    <w:rsid w:val="73006A88"/>
    <w:rsid w:val="73016CBE"/>
    <w:rsid w:val="730265CD"/>
    <w:rsid w:val="730A4E4C"/>
    <w:rsid w:val="73111034"/>
    <w:rsid w:val="73135FAA"/>
    <w:rsid w:val="731573C4"/>
    <w:rsid w:val="731A0518"/>
    <w:rsid w:val="731A084E"/>
    <w:rsid w:val="731A6471"/>
    <w:rsid w:val="731A73F7"/>
    <w:rsid w:val="731B37A6"/>
    <w:rsid w:val="731E026D"/>
    <w:rsid w:val="731E248D"/>
    <w:rsid w:val="731F40D0"/>
    <w:rsid w:val="73212B1D"/>
    <w:rsid w:val="73221C9A"/>
    <w:rsid w:val="73242C64"/>
    <w:rsid w:val="732630B5"/>
    <w:rsid w:val="732665DF"/>
    <w:rsid w:val="73284146"/>
    <w:rsid w:val="732B5CB4"/>
    <w:rsid w:val="732E2532"/>
    <w:rsid w:val="73304324"/>
    <w:rsid w:val="73305F80"/>
    <w:rsid w:val="73311B87"/>
    <w:rsid w:val="73331937"/>
    <w:rsid w:val="7333309A"/>
    <w:rsid w:val="73355ECC"/>
    <w:rsid w:val="73373F08"/>
    <w:rsid w:val="73394550"/>
    <w:rsid w:val="733A07D1"/>
    <w:rsid w:val="733A5FBD"/>
    <w:rsid w:val="733E4774"/>
    <w:rsid w:val="73403B0B"/>
    <w:rsid w:val="73406EC8"/>
    <w:rsid w:val="73413603"/>
    <w:rsid w:val="734308F9"/>
    <w:rsid w:val="73454476"/>
    <w:rsid w:val="73466223"/>
    <w:rsid w:val="73471B2B"/>
    <w:rsid w:val="734C0E4D"/>
    <w:rsid w:val="734D4C9D"/>
    <w:rsid w:val="73501447"/>
    <w:rsid w:val="73505856"/>
    <w:rsid w:val="73542D44"/>
    <w:rsid w:val="73560664"/>
    <w:rsid w:val="73590327"/>
    <w:rsid w:val="735D6064"/>
    <w:rsid w:val="735E3B75"/>
    <w:rsid w:val="73600ACB"/>
    <w:rsid w:val="736332AF"/>
    <w:rsid w:val="73641D22"/>
    <w:rsid w:val="73682F12"/>
    <w:rsid w:val="736C4F2C"/>
    <w:rsid w:val="736D5068"/>
    <w:rsid w:val="736D51F5"/>
    <w:rsid w:val="736E5FD0"/>
    <w:rsid w:val="73705841"/>
    <w:rsid w:val="73711338"/>
    <w:rsid w:val="737358E4"/>
    <w:rsid w:val="7374448A"/>
    <w:rsid w:val="73751EC6"/>
    <w:rsid w:val="737554AA"/>
    <w:rsid w:val="737574A4"/>
    <w:rsid w:val="73776068"/>
    <w:rsid w:val="73790700"/>
    <w:rsid w:val="737978B6"/>
    <w:rsid w:val="737A0CB5"/>
    <w:rsid w:val="737F1197"/>
    <w:rsid w:val="73823358"/>
    <w:rsid w:val="73832023"/>
    <w:rsid w:val="73837DB1"/>
    <w:rsid w:val="7384200D"/>
    <w:rsid w:val="73864B9D"/>
    <w:rsid w:val="73866C65"/>
    <w:rsid w:val="73867905"/>
    <w:rsid w:val="73870838"/>
    <w:rsid w:val="738A00A0"/>
    <w:rsid w:val="738C1EB1"/>
    <w:rsid w:val="738E08BD"/>
    <w:rsid w:val="738E15D2"/>
    <w:rsid w:val="738E6D7E"/>
    <w:rsid w:val="738F07BA"/>
    <w:rsid w:val="739252FC"/>
    <w:rsid w:val="73950818"/>
    <w:rsid w:val="73966464"/>
    <w:rsid w:val="73993706"/>
    <w:rsid w:val="739A433D"/>
    <w:rsid w:val="739A4FF8"/>
    <w:rsid w:val="739B2D97"/>
    <w:rsid w:val="73A447C5"/>
    <w:rsid w:val="73A63EF2"/>
    <w:rsid w:val="73A64DFE"/>
    <w:rsid w:val="73AB1A11"/>
    <w:rsid w:val="73AC739D"/>
    <w:rsid w:val="73AD1737"/>
    <w:rsid w:val="73AE22BA"/>
    <w:rsid w:val="73B138D8"/>
    <w:rsid w:val="73B30CF9"/>
    <w:rsid w:val="73B94996"/>
    <w:rsid w:val="73B95245"/>
    <w:rsid w:val="73C021DE"/>
    <w:rsid w:val="73C10EFE"/>
    <w:rsid w:val="73C142DF"/>
    <w:rsid w:val="73C60CFB"/>
    <w:rsid w:val="73C82E9D"/>
    <w:rsid w:val="73CA5EA6"/>
    <w:rsid w:val="73CC5822"/>
    <w:rsid w:val="73CE5376"/>
    <w:rsid w:val="73D153A7"/>
    <w:rsid w:val="73D35A3E"/>
    <w:rsid w:val="73D53914"/>
    <w:rsid w:val="73D631AD"/>
    <w:rsid w:val="73D708E1"/>
    <w:rsid w:val="73D77AC3"/>
    <w:rsid w:val="73DA595C"/>
    <w:rsid w:val="73DB349E"/>
    <w:rsid w:val="73DC7E57"/>
    <w:rsid w:val="73DD635C"/>
    <w:rsid w:val="73DD7A02"/>
    <w:rsid w:val="73E144FC"/>
    <w:rsid w:val="73E609C5"/>
    <w:rsid w:val="73E648E4"/>
    <w:rsid w:val="73E80BA5"/>
    <w:rsid w:val="73E92360"/>
    <w:rsid w:val="73EA24AA"/>
    <w:rsid w:val="73EA6A03"/>
    <w:rsid w:val="73EB18EA"/>
    <w:rsid w:val="73EB7057"/>
    <w:rsid w:val="73EB78B4"/>
    <w:rsid w:val="73EC0C76"/>
    <w:rsid w:val="73EF560D"/>
    <w:rsid w:val="73F42AD1"/>
    <w:rsid w:val="73F96488"/>
    <w:rsid w:val="73FA543B"/>
    <w:rsid w:val="73FD0676"/>
    <w:rsid w:val="73FD4C57"/>
    <w:rsid w:val="73FE1D33"/>
    <w:rsid w:val="73FE7446"/>
    <w:rsid w:val="74043399"/>
    <w:rsid w:val="740512B9"/>
    <w:rsid w:val="740554AB"/>
    <w:rsid w:val="7406361F"/>
    <w:rsid w:val="74084017"/>
    <w:rsid w:val="740D171B"/>
    <w:rsid w:val="740D65C2"/>
    <w:rsid w:val="740E2D3F"/>
    <w:rsid w:val="740E630D"/>
    <w:rsid w:val="741022E8"/>
    <w:rsid w:val="74116CA7"/>
    <w:rsid w:val="74157B59"/>
    <w:rsid w:val="74170EAD"/>
    <w:rsid w:val="742013E9"/>
    <w:rsid w:val="74212BF9"/>
    <w:rsid w:val="74213B86"/>
    <w:rsid w:val="742714E8"/>
    <w:rsid w:val="742A21C1"/>
    <w:rsid w:val="742B60A6"/>
    <w:rsid w:val="742C6585"/>
    <w:rsid w:val="742D3A61"/>
    <w:rsid w:val="742F606D"/>
    <w:rsid w:val="742F712C"/>
    <w:rsid w:val="74304E91"/>
    <w:rsid w:val="74315FE5"/>
    <w:rsid w:val="743552A1"/>
    <w:rsid w:val="743742E5"/>
    <w:rsid w:val="74386189"/>
    <w:rsid w:val="743933F1"/>
    <w:rsid w:val="743A555A"/>
    <w:rsid w:val="743C50A5"/>
    <w:rsid w:val="743D27AA"/>
    <w:rsid w:val="74401C78"/>
    <w:rsid w:val="7441520C"/>
    <w:rsid w:val="74423512"/>
    <w:rsid w:val="744320A6"/>
    <w:rsid w:val="74481F5D"/>
    <w:rsid w:val="744A6AA0"/>
    <w:rsid w:val="744C4184"/>
    <w:rsid w:val="744D304D"/>
    <w:rsid w:val="744E04D0"/>
    <w:rsid w:val="744E1893"/>
    <w:rsid w:val="74503D0B"/>
    <w:rsid w:val="74544018"/>
    <w:rsid w:val="745547B9"/>
    <w:rsid w:val="74560411"/>
    <w:rsid w:val="74562486"/>
    <w:rsid w:val="74590289"/>
    <w:rsid w:val="745B0270"/>
    <w:rsid w:val="745C5608"/>
    <w:rsid w:val="745D1272"/>
    <w:rsid w:val="745D4EC1"/>
    <w:rsid w:val="746016D7"/>
    <w:rsid w:val="746164A5"/>
    <w:rsid w:val="746240CC"/>
    <w:rsid w:val="74635152"/>
    <w:rsid w:val="74635876"/>
    <w:rsid w:val="746462C0"/>
    <w:rsid w:val="746559C0"/>
    <w:rsid w:val="74693A36"/>
    <w:rsid w:val="746A7228"/>
    <w:rsid w:val="746C35BF"/>
    <w:rsid w:val="746D3B68"/>
    <w:rsid w:val="746F2D1F"/>
    <w:rsid w:val="747132F2"/>
    <w:rsid w:val="747420C3"/>
    <w:rsid w:val="74760DD4"/>
    <w:rsid w:val="74781982"/>
    <w:rsid w:val="747864B7"/>
    <w:rsid w:val="747A43C5"/>
    <w:rsid w:val="747B1CE8"/>
    <w:rsid w:val="74800F1E"/>
    <w:rsid w:val="748138E7"/>
    <w:rsid w:val="74837FF6"/>
    <w:rsid w:val="74891C59"/>
    <w:rsid w:val="74893442"/>
    <w:rsid w:val="748B7FF1"/>
    <w:rsid w:val="748C35F0"/>
    <w:rsid w:val="748D4BEB"/>
    <w:rsid w:val="748F0408"/>
    <w:rsid w:val="748F78B0"/>
    <w:rsid w:val="74912B7B"/>
    <w:rsid w:val="74917229"/>
    <w:rsid w:val="74970DA2"/>
    <w:rsid w:val="74983D3F"/>
    <w:rsid w:val="74987BC9"/>
    <w:rsid w:val="749B3BA8"/>
    <w:rsid w:val="749C70C3"/>
    <w:rsid w:val="749E7D95"/>
    <w:rsid w:val="74A53DE0"/>
    <w:rsid w:val="74A60F58"/>
    <w:rsid w:val="74A71386"/>
    <w:rsid w:val="74A73092"/>
    <w:rsid w:val="74A75C61"/>
    <w:rsid w:val="74AE3E5B"/>
    <w:rsid w:val="74AF0886"/>
    <w:rsid w:val="74B111E3"/>
    <w:rsid w:val="74B15A78"/>
    <w:rsid w:val="74B23A41"/>
    <w:rsid w:val="74B46C47"/>
    <w:rsid w:val="74B6030E"/>
    <w:rsid w:val="74B60C9F"/>
    <w:rsid w:val="74B94244"/>
    <w:rsid w:val="74BC021D"/>
    <w:rsid w:val="74BD6B57"/>
    <w:rsid w:val="74BF164A"/>
    <w:rsid w:val="74BF387B"/>
    <w:rsid w:val="74BF4E47"/>
    <w:rsid w:val="74C258C9"/>
    <w:rsid w:val="74C30814"/>
    <w:rsid w:val="74C531E4"/>
    <w:rsid w:val="74C53EDD"/>
    <w:rsid w:val="74C9759E"/>
    <w:rsid w:val="74CB0829"/>
    <w:rsid w:val="74CB5404"/>
    <w:rsid w:val="74CC7C90"/>
    <w:rsid w:val="74CE5D59"/>
    <w:rsid w:val="74CF121C"/>
    <w:rsid w:val="74D02D69"/>
    <w:rsid w:val="74D21D47"/>
    <w:rsid w:val="74D80766"/>
    <w:rsid w:val="74D837E8"/>
    <w:rsid w:val="74D95BD5"/>
    <w:rsid w:val="74DC14B0"/>
    <w:rsid w:val="74DE453F"/>
    <w:rsid w:val="74E16D1A"/>
    <w:rsid w:val="74E24747"/>
    <w:rsid w:val="74E370D7"/>
    <w:rsid w:val="74E40C13"/>
    <w:rsid w:val="74E64B85"/>
    <w:rsid w:val="74E914A4"/>
    <w:rsid w:val="74E934D2"/>
    <w:rsid w:val="74E938A0"/>
    <w:rsid w:val="74E94D90"/>
    <w:rsid w:val="74E96209"/>
    <w:rsid w:val="74EA0580"/>
    <w:rsid w:val="74EB4BCA"/>
    <w:rsid w:val="74ED2287"/>
    <w:rsid w:val="74ED59EB"/>
    <w:rsid w:val="74F623F4"/>
    <w:rsid w:val="74F633EC"/>
    <w:rsid w:val="74F6564D"/>
    <w:rsid w:val="74F7781C"/>
    <w:rsid w:val="74FA0448"/>
    <w:rsid w:val="74FB0D61"/>
    <w:rsid w:val="74FB0FD2"/>
    <w:rsid w:val="74FC1D64"/>
    <w:rsid w:val="74FC684B"/>
    <w:rsid w:val="74FE7E7C"/>
    <w:rsid w:val="7500515A"/>
    <w:rsid w:val="75012720"/>
    <w:rsid w:val="750352CD"/>
    <w:rsid w:val="75050FC9"/>
    <w:rsid w:val="75055C1A"/>
    <w:rsid w:val="75062E6E"/>
    <w:rsid w:val="75065381"/>
    <w:rsid w:val="75065707"/>
    <w:rsid w:val="75077219"/>
    <w:rsid w:val="75086F80"/>
    <w:rsid w:val="750A4728"/>
    <w:rsid w:val="750E563B"/>
    <w:rsid w:val="750E6608"/>
    <w:rsid w:val="75107AA4"/>
    <w:rsid w:val="75141E12"/>
    <w:rsid w:val="7517117A"/>
    <w:rsid w:val="751749C0"/>
    <w:rsid w:val="75183224"/>
    <w:rsid w:val="75195611"/>
    <w:rsid w:val="751B68F6"/>
    <w:rsid w:val="751C1045"/>
    <w:rsid w:val="751F7D14"/>
    <w:rsid w:val="752177C5"/>
    <w:rsid w:val="75232F11"/>
    <w:rsid w:val="75256932"/>
    <w:rsid w:val="752624ED"/>
    <w:rsid w:val="75264391"/>
    <w:rsid w:val="752927A1"/>
    <w:rsid w:val="752939A7"/>
    <w:rsid w:val="752B77C5"/>
    <w:rsid w:val="75302E47"/>
    <w:rsid w:val="75310C7E"/>
    <w:rsid w:val="75317E1D"/>
    <w:rsid w:val="75341CDE"/>
    <w:rsid w:val="753463EC"/>
    <w:rsid w:val="7536642D"/>
    <w:rsid w:val="753A3576"/>
    <w:rsid w:val="753B58AE"/>
    <w:rsid w:val="753D5807"/>
    <w:rsid w:val="753E5BC5"/>
    <w:rsid w:val="7546770D"/>
    <w:rsid w:val="75473E4E"/>
    <w:rsid w:val="754B5EE0"/>
    <w:rsid w:val="754D56B9"/>
    <w:rsid w:val="754E7901"/>
    <w:rsid w:val="754F68EC"/>
    <w:rsid w:val="75501F76"/>
    <w:rsid w:val="755300A4"/>
    <w:rsid w:val="75553B95"/>
    <w:rsid w:val="75564FBF"/>
    <w:rsid w:val="755851EF"/>
    <w:rsid w:val="755A1FE4"/>
    <w:rsid w:val="755B13C5"/>
    <w:rsid w:val="755C5ED4"/>
    <w:rsid w:val="755D05C4"/>
    <w:rsid w:val="755D49C7"/>
    <w:rsid w:val="75621B16"/>
    <w:rsid w:val="756B7C6A"/>
    <w:rsid w:val="756D14F2"/>
    <w:rsid w:val="756E1B39"/>
    <w:rsid w:val="7572048E"/>
    <w:rsid w:val="7572523E"/>
    <w:rsid w:val="7573084E"/>
    <w:rsid w:val="75732663"/>
    <w:rsid w:val="7573453D"/>
    <w:rsid w:val="757504D7"/>
    <w:rsid w:val="757557C1"/>
    <w:rsid w:val="757B7FB2"/>
    <w:rsid w:val="757C749F"/>
    <w:rsid w:val="757E2758"/>
    <w:rsid w:val="757E601D"/>
    <w:rsid w:val="757F6F59"/>
    <w:rsid w:val="757F7C2A"/>
    <w:rsid w:val="75801756"/>
    <w:rsid w:val="758040AB"/>
    <w:rsid w:val="7581476C"/>
    <w:rsid w:val="7583116E"/>
    <w:rsid w:val="75831A35"/>
    <w:rsid w:val="75845DEB"/>
    <w:rsid w:val="7588438B"/>
    <w:rsid w:val="758A6EF9"/>
    <w:rsid w:val="758A78E7"/>
    <w:rsid w:val="758C285D"/>
    <w:rsid w:val="759104FA"/>
    <w:rsid w:val="759352CC"/>
    <w:rsid w:val="75947A0C"/>
    <w:rsid w:val="759549A5"/>
    <w:rsid w:val="759955BB"/>
    <w:rsid w:val="759A13B9"/>
    <w:rsid w:val="759A1474"/>
    <w:rsid w:val="759A57DB"/>
    <w:rsid w:val="759A59A2"/>
    <w:rsid w:val="759D0E5E"/>
    <w:rsid w:val="759D3A62"/>
    <w:rsid w:val="759F4700"/>
    <w:rsid w:val="75A0265D"/>
    <w:rsid w:val="75A22FFD"/>
    <w:rsid w:val="75A33FFD"/>
    <w:rsid w:val="75A57AA2"/>
    <w:rsid w:val="75A964A8"/>
    <w:rsid w:val="75AA6730"/>
    <w:rsid w:val="75AA7868"/>
    <w:rsid w:val="75AC6CB3"/>
    <w:rsid w:val="75AF254B"/>
    <w:rsid w:val="75B0413A"/>
    <w:rsid w:val="75B13C2A"/>
    <w:rsid w:val="75B52BB2"/>
    <w:rsid w:val="75B81C32"/>
    <w:rsid w:val="75BB728C"/>
    <w:rsid w:val="75C059F9"/>
    <w:rsid w:val="75C17E37"/>
    <w:rsid w:val="75C3280A"/>
    <w:rsid w:val="75C34A7C"/>
    <w:rsid w:val="75C44B59"/>
    <w:rsid w:val="75C45F92"/>
    <w:rsid w:val="75C7048D"/>
    <w:rsid w:val="75C800A3"/>
    <w:rsid w:val="75C86B8D"/>
    <w:rsid w:val="75C91A45"/>
    <w:rsid w:val="75CA7122"/>
    <w:rsid w:val="75CB5D33"/>
    <w:rsid w:val="75CD6CE0"/>
    <w:rsid w:val="75D0023F"/>
    <w:rsid w:val="75D26A89"/>
    <w:rsid w:val="75D5177C"/>
    <w:rsid w:val="75D9533B"/>
    <w:rsid w:val="75DC58BB"/>
    <w:rsid w:val="75DF1877"/>
    <w:rsid w:val="75E06270"/>
    <w:rsid w:val="75E10AE8"/>
    <w:rsid w:val="75E37579"/>
    <w:rsid w:val="75E51996"/>
    <w:rsid w:val="75E6065B"/>
    <w:rsid w:val="75E93512"/>
    <w:rsid w:val="75F35C73"/>
    <w:rsid w:val="75F53CFA"/>
    <w:rsid w:val="75F8506B"/>
    <w:rsid w:val="75FD139B"/>
    <w:rsid w:val="75FD31DE"/>
    <w:rsid w:val="75FD539A"/>
    <w:rsid w:val="75FD5713"/>
    <w:rsid w:val="75FF1A16"/>
    <w:rsid w:val="76016C9C"/>
    <w:rsid w:val="7602404D"/>
    <w:rsid w:val="7606457C"/>
    <w:rsid w:val="760A1219"/>
    <w:rsid w:val="760B43BF"/>
    <w:rsid w:val="760D5C22"/>
    <w:rsid w:val="76106232"/>
    <w:rsid w:val="76116C59"/>
    <w:rsid w:val="76121E75"/>
    <w:rsid w:val="76150980"/>
    <w:rsid w:val="7616070B"/>
    <w:rsid w:val="76165678"/>
    <w:rsid w:val="761709B0"/>
    <w:rsid w:val="76195799"/>
    <w:rsid w:val="761B2E44"/>
    <w:rsid w:val="761B4E66"/>
    <w:rsid w:val="761B7FF8"/>
    <w:rsid w:val="761F455C"/>
    <w:rsid w:val="76211FD1"/>
    <w:rsid w:val="76216207"/>
    <w:rsid w:val="7625790C"/>
    <w:rsid w:val="76260D0A"/>
    <w:rsid w:val="76283871"/>
    <w:rsid w:val="762A1FC9"/>
    <w:rsid w:val="762A3DDE"/>
    <w:rsid w:val="762B223C"/>
    <w:rsid w:val="762B5256"/>
    <w:rsid w:val="762D1CAC"/>
    <w:rsid w:val="762F0B3E"/>
    <w:rsid w:val="762F67FE"/>
    <w:rsid w:val="7631353F"/>
    <w:rsid w:val="763322F8"/>
    <w:rsid w:val="76333E02"/>
    <w:rsid w:val="763421EA"/>
    <w:rsid w:val="7634291F"/>
    <w:rsid w:val="76373A91"/>
    <w:rsid w:val="7639099B"/>
    <w:rsid w:val="763C171D"/>
    <w:rsid w:val="763E07E5"/>
    <w:rsid w:val="763F0304"/>
    <w:rsid w:val="76403F91"/>
    <w:rsid w:val="76417ACF"/>
    <w:rsid w:val="76420B26"/>
    <w:rsid w:val="76426A44"/>
    <w:rsid w:val="76432065"/>
    <w:rsid w:val="764331A4"/>
    <w:rsid w:val="764400C9"/>
    <w:rsid w:val="764448A1"/>
    <w:rsid w:val="76465BB7"/>
    <w:rsid w:val="76480C6B"/>
    <w:rsid w:val="76484188"/>
    <w:rsid w:val="764A06A3"/>
    <w:rsid w:val="764D6B7C"/>
    <w:rsid w:val="764F3A6F"/>
    <w:rsid w:val="765121DE"/>
    <w:rsid w:val="765131B7"/>
    <w:rsid w:val="765337CF"/>
    <w:rsid w:val="76540707"/>
    <w:rsid w:val="765437BF"/>
    <w:rsid w:val="76554A10"/>
    <w:rsid w:val="765B18CB"/>
    <w:rsid w:val="765C3673"/>
    <w:rsid w:val="7661093F"/>
    <w:rsid w:val="76656BBC"/>
    <w:rsid w:val="7667733F"/>
    <w:rsid w:val="76682193"/>
    <w:rsid w:val="76691572"/>
    <w:rsid w:val="766A28BF"/>
    <w:rsid w:val="766B6D46"/>
    <w:rsid w:val="766B7303"/>
    <w:rsid w:val="766D2ACA"/>
    <w:rsid w:val="766F30C8"/>
    <w:rsid w:val="7670430F"/>
    <w:rsid w:val="76755D4C"/>
    <w:rsid w:val="767F34BB"/>
    <w:rsid w:val="76804601"/>
    <w:rsid w:val="76850B0A"/>
    <w:rsid w:val="76865901"/>
    <w:rsid w:val="768704EA"/>
    <w:rsid w:val="768B7A62"/>
    <w:rsid w:val="768D351B"/>
    <w:rsid w:val="769117C0"/>
    <w:rsid w:val="76936B90"/>
    <w:rsid w:val="76945FB7"/>
    <w:rsid w:val="76963105"/>
    <w:rsid w:val="769C51EB"/>
    <w:rsid w:val="769E68D0"/>
    <w:rsid w:val="76A02ADF"/>
    <w:rsid w:val="76A22F32"/>
    <w:rsid w:val="76A343E6"/>
    <w:rsid w:val="76A35580"/>
    <w:rsid w:val="76A8616B"/>
    <w:rsid w:val="76AA53AF"/>
    <w:rsid w:val="76AB67DB"/>
    <w:rsid w:val="76AD5F03"/>
    <w:rsid w:val="76B00024"/>
    <w:rsid w:val="76B01F26"/>
    <w:rsid w:val="76B05CA2"/>
    <w:rsid w:val="76B47E04"/>
    <w:rsid w:val="76B8067A"/>
    <w:rsid w:val="76B83D57"/>
    <w:rsid w:val="76BD2920"/>
    <w:rsid w:val="76BE750E"/>
    <w:rsid w:val="76C1104C"/>
    <w:rsid w:val="76C31119"/>
    <w:rsid w:val="76C4391C"/>
    <w:rsid w:val="76C64F29"/>
    <w:rsid w:val="76C818E7"/>
    <w:rsid w:val="76C87DF1"/>
    <w:rsid w:val="76C950CC"/>
    <w:rsid w:val="76CA3D0B"/>
    <w:rsid w:val="76CB1576"/>
    <w:rsid w:val="76CB6FB4"/>
    <w:rsid w:val="76D020D7"/>
    <w:rsid w:val="76D11007"/>
    <w:rsid w:val="76D130C4"/>
    <w:rsid w:val="76D17CA6"/>
    <w:rsid w:val="76D331B5"/>
    <w:rsid w:val="76D35472"/>
    <w:rsid w:val="76D571E5"/>
    <w:rsid w:val="76D62744"/>
    <w:rsid w:val="76D864EB"/>
    <w:rsid w:val="76D93D16"/>
    <w:rsid w:val="76DA4C22"/>
    <w:rsid w:val="76DB4537"/>
    <w:rsid w:val="76E00535"/>
    <w:rsid w:val="76E02BA4"/>
    <w:rsid w:val="76E17DCE"/>
    <w:rsid w:val="76E25F86"/>
    <w:rsid w:val="76E26911"/>
    <w:rsid w:val="76E32CB0"/>
    <w:rsid w:val="76E35331"/>
    <w:rsid w:val="76E834CC"/>
    <w:rsid w:val="76EA1531"/>
    <w:rsid w:val="76EA715D"/>
    <w:rsid w:val="76EC4442"/>
    <w:rsid w:val="76EC6BF6"/>
    <w:rsid w:val="76ED5705"/>
    <w:rsid w:val="76EF0BA0"/>
    <w:rsid w:val="76EF1881"/>
    <w:rsid w:val="76EF59E3"/>
    <w:rsid w:val="76F63C98"/>
    <w:rsid w:val="76FB26A4"/>
    <w:rsid w:val="76FB2E52"/>
    <w:rsid w:val="76FF1031"/>
    <w:rsid w:val="770141A8"/>
    <w:rsid w:val="770363F2"/>
    <w:rsid w:val="77076611"/>
    <w:rsid w:val="77083FBC"/>
    <w:rsid w:val="770914B0"/>
    <w:rsid w:val="77093157"/>
    <w:rsid w:val="770A31B7"/>
    <w:rsid w:val="770B0EE8"/>
    <w:rsid w:val="770D0ADE"/>
    <w:rsid w:val="770D3F88"/>
    <w:rsid w:val="770E1A0E"/>
    <w:rsid w:val="770F5ADA"/>
    <w:rsid w:val="77127DBA"/>
    <w:rsid w:val="7717315C"/>
    <w:rsid w:val="771B59CA"/>
    <w:rsid w:val="771C58CB"/>
    <w:rsid w:val="771F14E9"/>
    <w:rsid w:val="77210F67"/>
    <w:rsid w:val="77223EC4"/>
    <w:rsid w:val="77227245"/>
    <w:rsid w:val="77245B27"/>
    <w:rsid w:val="772654BE"/>
    <w:rsid w:val="772876E2"/>
    <w:rsid w:val="772942E6"/>
    <w:rsid w:val="772A41A1"/>
    <w:rsid w:val="772B0F4F"/>
    <w:rsid w:val="772D7339"/>
    <w:rsid w:val="7731472F"/>
    <w:rsid w:val="77332605"/>
    <w:rsid w:val="77343901"/>
    <w:rsid w:val="7735668C"/>
    <w:rsid w:val="77360746"/>
    <w:rsid w:val="77365565"/>
    <w:rsid w:val="773724AC"/>
    <w:rsid w:val="77376F0A"/>
    <w:rsid w:val="7738591E"/>
    <w:rsid w:val="773865B2"/>
    <w:rsid w:val="7739116C"/>
    <w:rsid w:val="773C3699"/>
    <w:rsid w:val="773D40FD"/>
    <w:rsid w:val="773D62E7"/>
    <w:rsid w:val="773F02E4"/>
    <w:rsid w:val="77411C88"/>
    <w:rsid w:val="7746420D"/>
    <w:rsid w:val="774A41A1"/>
    <w:rsid w:val="774D23F8"/>
    <w:rsid w:val="774D7ED2"/>
    <w:rsid w:val="774E42BC"/>
    <w:rsid w:val="77524F93"/>
    <w:rsid w:val="7753335B"/>
    <w:rsid w:val="77535A7C"/>
    <w:rsid w:val="77580860"/>
    <w:rsid w:val="775C50F9"/>
    <w:rsid w:val="775D2135"/>
    <w:rsid w:val="775D28A2"/>
    <w:rsid w:val="775F485E"/>
    <w:rsid w:val="77612857"/>
    <w:rsid w:val="776263F0"/>
    <w:rsid w:val="77632779"/>
    <w:rsid w:val="776576C5"/>
    <w:rsid w:val="77664A79"/>
    <w:rsid w:val="776852E1"/>
    <w:rsid w:val="776931E5"/>
    <w:rsid w:val="776C308B"/>
    <w:rsid w:val="776F024C"/>
    <w:rsid w:val="776F04E2"/>
    <w:rsid w:val="77710680"/>
    <w:rsid w:val="77711159"/>
    <w:rsid w:val="77711417"/>
    <w:rsid w:val="77740084"/>
    <w:rsid w:val="77780A19"/>
    <w:rsid w:val="7778247E"/>
    <w:rsid w:val="777B2EA2"/>
    <w:rsid w:val="777D4798"/>
    <w:rsid w:val="777D78F4"/>
    <w:rsid w:val="77801423"/>
    <w:rsid w:val="77802E98"/>
    <w:rsid w:val="778132FE"/>
    <w:rsid w:val="77813B4D"/>
    <w:rsid w:val="77814838"/>
    <w:rsid w:val="77832A2C"/>
    <w:rsid w:val="778413DA"/>
    <w:rsid w:val="778866CF"/>
    <w:rsid w:val="778A0166"/>
    <w:rsid w:val="778E1AB4"/>
    <w:rsid w:val="77906A91"/>
    <w:rsid w:val="77920AD8"/>
    <w:rsid w:val="77930E49"/>
    <w:rsid w:val="77950ABC"/>
    <w:rsid w:val="779D1394"/>
    <w:rsid w:val="779D4A9A"/>
    <w:rsid w:val="779E5990"/>
    <w:rsid w:val="779E6DA3"/>
    <w:rsid w:val="779F2DD3"/>
    <w:rsid w:val="77A0590A"/>
    <w:rsid w:val="77A3260C"/>
    <w:rsid w:val="77A52654"/>
    <w:rsid w:val="77A647DF"/>
    <w:rsid w:val="77A81DF1"/>
    <w:rsid w:val="77AA4C0D"/>
    <w:rsid w:val="77AE2FBF"/>
    <w:rsid w:val="77AF75B6"/>
    <w:rsid w:val="77B356F7"/>
    <w:rsid w:val="77BB2308"/>
    <w:rsid w:val="77BC3256"/>
    <w:rsid w:val="77BD252E"/>
    <w:rsid w:val="77BE67FD"/>
    <w:rsid w:val="77BF2816"/>
    <w:rsid w:val="77BF7CD3"/>
    <w:rsid w:val="77C02EC2"/>
    <w:rsid w:val="77C14575"/>
    <w:rsid w:val="77C16E08"/>
    <w:rsid w:val="77C2310E"/>
    <w:rsid w:val="77C80358"/>
    <w:rsid w:val="77C95D41"/>
    <w:rsid w:val="77CB4C2A"/>
    <w:rsid w:val="77CB6F64"/>
    <w:rsid w:val="77CC7902"/>
    <w:rsid w:val="77D02EC3"/>
    <w:rsid w:val="77D376E9"/>
    <w:rsid w:val="77D50EFF"/>
    <w:rsid w:val="77D533CF"/>
    <w:rsid w:val="77D94E08"/>
    <w:rsid w:val="77DB77B8"/>
    <w:rsid w:val="77DD61A2"/>
    <w:rsid w:val="77DE5CA0"/>
    <w:rsid w:val="77DF6220"/>
    <w:rsid w:val="77DF65E6"/>
    <w:rsid w:val="77E2357A"/>
    <w:rsid w:val="77E474A8"/>
    <w:rsid w:val="77EA482A"/>
    <w:rsid w:val="77EA76D4"/>
    <w:rsid w:val="77EB7E9D"/>
    <w:rsid w:val="77EE0D2F"/>
    <w:rsid w:val="77EE10FE"/>
    <w:rsid w:val="77EE3F52"/>
    <w:rsid w:val="77F00820"/>
    <w:rsid w:val="77F030DC"/>
    <w:rsid w:val="77F0370F"/>
    <w:rsid w:val="77F40807"/>
    <w:rsid w:val="77F53AF3"/>
    <w:rsid w:val="77F55BF6"/>
    <w:rsid w:val="77FF30BA"/>
    <w:rsid w:val="78014554"/>
    <w:rsid w:val="780214B9"/>
    <w:rsid w:val="78021C82"/>
    <w:rsid w:val="78026AB2"/>
    <w:rsid w:val="78071753"/>
    <w:rsid w:val="78091A7E"/>
    <w:rsid w:val="780A3D05"/>
    <w:rsid w:val="780B16D0"/>
    <w:rsid w:val="780B32AF"/>
    <w:rsid w:val="780C7C90"/>
    <w:rsid w:val="780D13D9"/>
    <w:rsid w:val="780D4E1A"/>
    <w:rsid w:val="780E01AC"/>
    <w:rsid w:val="780F21A0"/>
    <w:rsid w:val="780F633C"/>
    <w:rsid w:val="781300CE"/>
    <w:rsid w:val="78150229"/>
    <w:rsid w:val="78186ADB"/>
    <w:rsid w:val="78194624"/>
    <w:rsid w:val="781A4443"/>
    <w:rsid w:val="781B0ACD"/>
    <w:rsid w:val="781B1698"/>
    <w:rsid w:val="781C28F4"/>
    <w:rsid w:val="781C53C7"/>
    <w:rsid w:val="78205D3E"/>
    <w:rsid w:val="78213678"/>
    <w:rsid w:val="78216964"/>
    <w:rsid w:val="78223CB6"/>
    <w:rsid w:val="78233045"/>
    <w:rsid w:val="78270244"/>
    <w:rsid w:val="782911A0"/>
    <w:rsid w:val="782B703A"/>
    <w:rsid w:val="783035E4"/>
    <w:rsid w:val="78375136"/>
    <w:rsid w:val="783A59B9"/>
    <w:rsid w:val="783D039B"/>
    <w:rsid w:val="783F7703"/>
    <w:rsid w:val="784026D0"/>
    <w:rsid w:val="784205AA"/>
    <w:rsid w:val="78456B18"/>
    <w:rsid w:val="78463506"/>
    <w:rsid w:val="7847611C"/>
    <w:rsid w:val="78485761"/>
    <w:rsid w:val="78494054"/>
    <w:rsid w:val="78496FE4"/>
    <w:rsid w:val="784A6D5B"/>
    <w:rsid w:val="7850291A"/>
    <w:rsid w:val="78511A69"/>
    <w:rsid w:val="78532BA5"/>
    <w:rsid w:val="78537246"/>
    <w:rsid w:val="78544C7D"/>
    <w:rsid w:val="78551983"/>
    <w:rsid w:val="78563431"/>
    <w:rsid w:val="78574743"/>
    <w:rsid w:val="78581F4A"/>
    <w:rsid w:val="78595AD2"/>
    <w:rsid w:val="785A5C2E"/>
    <w:rsid w:val="785D1C40"/>
    <w:rsid w:val="785F458E"/>
    <w:rsid w:val="78620876"/>
    <w:rsid w:val="78634D2A"/>
    <w:rsid w:val="78661799"/>
    <w:rsid w:val="78671DE4"/>
    <w:rsid w:val="78675A1E"/>
    <w:rsid w:val="786F1E72"/>
    <w:rsid w:val="7870111B"/>
    <w:rsid w:val="78701120"/>
    <w:rsid w:val="78720B4A"/>
    <w:rsid w:val="78722934"/>
    <w:rsid w:val="7875297F"/>
    <w:rsid w:val="78766E78"/>
    <w:rsid w:val="787916B2"/>
    <w:rsid w:val="78793B80"/>
    <w:rsid w:val="78794E20"/>
    <w:rsid w:val="787C729A"/>
    <w:rsid w:val="78802E22"/>
    <w:rsid w:val="7881186B"/>
    <w:rsid w:val="78822752"/>
    <w:rsid w:val="788368C7"/>
    <w:rsid w:val="78854AED"/>
    <w:rsid w:val="7889100D"/>
    <w:rsid w:val="78893305"/>
    <w:rsid w:val="788B6614"/>
    <w:rsid w:val="788D7BF5"/>
    <w:rsid w:val="78900EAB"/>
    <w:rsid w:val="78916568"/>
    <w:rsid w:val="789239B0"/>
    <w:rsid w:val="78925F81"/>
    <w:rsid w:val="78933E36"/>
    <w:rsid w:val="78933E4B"/>
    <w:rsid w:val="78951E43"/>
    <w:rsid w:val="78953CC0"/>
    <w:rsid w:val="7896634A"/>
    <w:rsid w:val="789776BB"/>
    <w:rsid w:val="7897780D"/>
    <w:rsid w:val="789A320E"/>
    <w:rsid w:val="789F30DA"/>
    <w:rsid w:val="78A12FCB"/>
    <w:rsid w:val="78A241A2"/>
    <w:rsid w:val="78A549F4"/>
    <w:rsid w:val="78A644FE"/>
    <w:rsid w:val="78A71647"/>
    <w:rsid w:val="78AB4268"/>
    <w:rsid w:val="78AC0956"/>
    <w:rsid w:val="78AD5F2E"/>
    <w:rsid w:val="78AE34E1"/>
    <w:rsid w:val="78AE7516"/>
    <w:rsid w:val="78AF4444"/>
    <w:rsid w:val="78B026A7"/>
    <w:rsid w:val="78B0434A"/>
    <w:rsid w:val="78B0565B"/>
    <w:rsid w:val="78B103C4"/>
    <w:rsid w:val="78B245D5"/>
    <w:rsid w:val="78B60FD0"/>
    <w:rsid w:val="78B9378D"/>
    <w:rsid w:val="78BA7B38"/>
    <w:rsid w:val="78BB2902"/>
    <w:rsid w:val="78BE7A69"/>
    <w:rsid w:val="78BF4F25"/>
    <w:rsid w:val="78BF513D"/>
    <w:rsid w:val="78C01FE3"/>
    <w:rsid w:val="78C602F3"/>
    <w:rsid w:val="78C622F2"/>
    <w:rsid w:val="78C838B8"/>
    <w:rsid w:val="78CB444D"/>
    <w:rsid w:val="78CB5777"/>
    <w:rsid w:val="78CC28B5"/>
    <w:rsid w:val="78CD085E"/>
    <w:rsid w:val="78CD6C59"/>
    <w:rsid w:val="78CE10FC"/>
    <w:rsid w:val="78D12B0B"/>
    <w:rsid w:val="78D87096"/>
    <w:rsid w:val="78D92F0F"/>
    <w:rsid w:val="78D95F7A"/>
    <w:rsid w:val="78DA3095"/>
    <w:rsid w:val="78DA40E2"/>
    <w:rsid w:val="78DA4910"/>
    <w:rsid w:val="78DA6AAF"/>
    <w:rsid w:val="78DC290B"/>
    <w:rsid w:val="78DE149D"/>
    <w:rsid w:val="78E0349D"/>
    <w:rsid w:val="78E271BE"/>
    <w:rsid w:val="78E301B9"/>
    <w:rsid w:val="78E40770"/>
    <w:rsid w:val="78E427B8"/>
    <w:rsid w:val="78E61DD6"/>
    <w:rsid w:val="78EB3CEE"/>
    <w:rsid w:val="78EB6E61"/>
    <w:rsid w:val="78EC5276"/>
    <w:rsid w:val="78ED08C9"/>
    <w:rsid w:val="78ED46AE"/>
    <w:rsid w:val="78EE53F0"/>
    <w:rsid w:val="78F26522"/>
    <w:rsid w:val="78F37495"/>
    <w:rsid w:val="78F435CA"/>
    <w:rsid w:val="78F50105"/>
    <w:rsid w:val="78F714CC"/>
    <w:rsid w:val="78F85789"/>
    <w:rsid w:val="78F90A1F"/>
    <w:rsid w:val="78FA73AE"/>
    <w:rsid w:val="78FC1D9C"/>
    <w:rsid w:val="78FD6301"/>
    <w:rsid w:val="78FD6EB1"/>
    <w:rsid w:val="78FF7221"/>
    <w:rsid w:val="79020DB3"/>
    <w:rsid w:val="790271FB"/>
    <w:rsid w:val="7907671A"/>
    <w:rsid w:val="790A136B"/>
    <w:rsid w:val="790B0CA3"/>
    <w:rsid w:val="790F14FF"/>
    <w:rsid w:val="7911568E"/>
    <w:rsid w:val="7911666E"/>
    <w:rsid w:val="79126AC8"/>
    <w:rsid w:val="7914172E"/>
    <w:rsid w:val="79160294"/>
    <w:rsid w:val="79171678"/>
    <w:rsid w:val="79172B57"/>
    <w:rsid w:val="791740B9"/>
    <w:rsid w:val="7919169C"/>
    <w:rsid w:val="79195D5B"/>
    <w:rsid w:val="791B235D"/>
    <w:rsid w:val="791C3C49"/>
    <w:rsid w:val="791C6AA7"/>
    <w:rsid w:val="791E2936"/>
    <w:rsid w:val="79226246"/>
    <w:rsid w:val="792326D1"/>
    <w:rsid w:val="792C2D62"/>
    <w:rsid w:val="792C60C3"/>
    <w:rsid w:val="792C6E9B"/>
    <w:rsid w:val="792D5AF4"/>
    <w:rsid w:val="792E144E"/>
    <w:rsid w:val="79304997"/>
    <w:rsid w:val="7931113C"/>
    <w:rsid w:val="79322F24"/>
    <w:rsid w:val="7934048B"/>
    <w:rsid w:val="79363AB5"/>
    <w:rsid w:val="79364B04"/>
    <w:rsid w:val="793669B3"/>
    <w:rsid w:val="793F108E"/>
    <w:rsid w:val="7944084D"/>
    <w:rsid w:val="7946736F"/>
    <w:rsid w:val="79497094"/>
    <w:rsid w:val="794A6BF4"/>
    <w:rsid w:val="794B3BF1"/>
    <w:rsid w:val="794C2356"/>
    <w:rsid w:val="794E1D51"/>
    <w:rsid w:val="794F1EF7"/>
    <w:rsid w:val="794F5049"/>
    <w:rsid w:val="794F5053"/>
    <w:rsid w:val="79580C6A"/>
    <w:rsid w:val="795929EE"/>
    <w:rsid w:val="795B1E8E"/>
    <w:rsid w:val="795B4E25"/>
    <w:rsid w:val="795C5D27"/>
    <w:rsid w:val="795E751D"/>
    <w:rsid w:val="79607BBF"/>
    <w:rsid w:val="796161D9"/>
    <w:rsid w:val="79631AFA"/>
    <w:rsid w:val="79637969"/>
    <w:rsid w:val="796721D7"/>
    <w:rsid w:val="796A1B1D"/>
    <w:rsid w:val="796A4C12"/>
    <w:rsid w:val="796C341F"/>
    <w:rsid w:val="796D792D"/>
    <w:rsid w:val="79700516"/>
    <w:rsid w:val="79700AF2"/>
    <w:rsid w:val="79705BC0"/>
    <w:rsid w:val="79741976"/>
    <w:rsid w:val="79750E76"/>
    <w:rsid w:val="797573CC"/>
    <w:rsid w:val="79766B7E"/>
    <w:rsid w:val="79782160"/>
    <w:rsid w:val="797F760D"/>
    <w:rsid w:val="79875DCD"/>
    <w:rsid w:val="79891DD3"/>
    <w:rsid w:val="798B38F6"/>
    <w:rsid w:val="798C0D2A"/>
    <w:rsid w:val="798D3BBD"/>
    <w:rsid w:val="798E5F18"/>
    <w:rsid w:val="798F7ED3"/>
    <w:rsid w:val="7991666A"/>
    <w:rsid w:val="79932180"/>
    <w:rsid w:val="79945CC4"/>
    <w:rsid w:val="7995003D"/>
    <w:rsid w:val="799C58EB"/>
    <w:rsid w:val="799D15EA"/>
    <w:rsid w:val="799E3233"/>
    <w:rsid w:val="79A14872"/>
    <w:rsid w:val="79A23636"/>
    <w:rsid w:val="79A34D2E"/>
    <w:rsid w:val="79A451D7"/>
    <w:rsid w:val="79A55E05"/>
    <w:rsid w:val="79AC5264"/>
    <w:rsid w:val="79AD35E9"/>
    <w:rsid w:val="79AE1CDA"/>
    <w:rsid w:val="79AE27B1"/>
    <w:rsid w:val="79B23958"/>
    <w:rsid w:val="79B272B6"/>
    <w:rsid w:val="79B43EAB"/>
    <w:rsid w:val="79B52E7A"/>
    <w:rsid w:val="79B82A6C"/>
    <w:rsid w:val="79BC6BDC"/>
    <w:rsid w:val="79BF3A63"/>
    <w:rsid w:val="79C13118"/>
    <w:rsid w:val="79C47E60"/>
    <w:rsid w:val="79C57DBC"/>
    <w:rsid w:val="79C7075C"/>
    <w:rsid w:val="79C75F7E"/>
    <w:rsid w:val="79CB31C9"/>
    <w:rsid w:val="79CB4140"/>
    <w:rsid w:val="79CC7878"/>
    <w:rsid w:val="79CD03BC"/>
    <w:rsid w:val="79CF24EF"/>
    <w:rsid w:val="79CF6145"/>
    <w:rsid w:val="79D0207C"/>
    <w:rsid w:val="79D1447B"/>
    <w:rsid w:val="79DA1206"/>
    <w:rsid w:val="79DE6E9F"/>
    <w:rsid w:val="79DF0290"/>
    <w:rsid w:val="79DF509A"/>
    <w:rsid w:val="79E14507"/>
    <w:rsid w:val="79E145D8"/>
    <w:rsid w:val="79EC036B"/>
    <w:rsid w:val="79EC327A"/>
    <w:rsid w:val="79EE5580"/>
    <w:rsid w:val="79F30142"/>
    <w:rsid w:val="79F56EFB"/>
    <w:rsid w:val="79F60DF9"/>
    <w:rsid w:val="79FE226E"/>
    <w:rsid w:val="79FF632B"/>
    <w:rsid w:val="7A022DC7"/>
    <w:rsid w:val="7A025545"/>
    <w:rsid w:val="7A025928"/>
    <w:rsid w:val="7A0301C3"/>
    <w:rsid w:val="7A051E5D"/>
    <w:rsid w:val="7A0526C4"/>
    <w:rsid w:val="7A065E4B"/>
    <w:rsid w:val="7A073A52"/>
    <w:rsid w:val="7A08423E"/>
    <w:rsid w:val="7A0A5144"/>
    <w:rsid w:val="7A0C3E77"/>
    <w:rsid w:val="7A0D2171"/>
    <w:rsid w:val="7A0D67B7"/>
    <w:rsid w:val="7A0F17C6"/>
    <w:rsid w:val="7A10639E"/>
    <w:rsid w:val="7A110E92"/>
    <w:rsid w:val="7A14059A"/>
    <w:rsid w:val="7A16633E"/>
    <w:rsid w:val="7A170193"/>
    <w:rsid w:val="7A173CC5"/>
    <w:rsid w:val="7A196384"/>
    <w:rsid w:val="7A1D61D1"/>
    <w:rsid w:val="7A207767"/>
    <w:rsid w:val="7A2653E0"/>
    <w:rsid w:val="7A2722BC"/>
    <w:rsid w:val="7A290E39"/>
    <w:rsid w:val="7A2A145E"/>
    <w:rsid w:val="7A2A6259"/>
    <w:rsid w:val="7A2A75DF"/>
    <w:rsid w:val="7A2F3C9D"/>
    <w:rsid w:val="7A2F43F7"/>
    <w:rsid w:val="7A311A55"/>
    <w:rsid w:val="7A326A5A"/>
    <w:rsid w:val="7A327DC8"/>
    <w:rsid w:val="7A343244"/>
    <w:rsid w:val="7A344C06"/>
    <w:rsid w:val="7A3541A7"/>
    <w:rsid w:val="7A393914"/>
    <w:rsid w:val="7A3A1994"/>
    <w:rsid w:val="7A3C6F37"/>
    <w:rsid w:val="7A3E71C6"/>
    <w:rsid w:val="7A3F744A"/>
    <w:rsid w:val="7A426851"/>
    <w:rsid w:val="7A450222"/>
    <w:rsid w:val="7A45494F"/>
    <w:rsid w:val="7A49160E"/>
    <w:rsid w:val="7A4A4B85"/>
    <w:rsid w:val="7A4D60A4"/>
    <w:rsid w:val="7A503ABD"/>
    <w:rsid w:val="7A504CD2"/>
    <w:rsid w:val="7A510C8C"/>
    <w:rsid w:val="7A565786"/>
    <w:rsid w:val="7A572A26"/>
    <w:rsid w:val="7A5952DF"/>
    <w:rsid w:val="7A5A0D4E"/>
    <w:rsid w:val="7A5A11C3"/>
    <w:rsid w:val="7A5A3222"/>
    <w:rsid w:val="7A5A4A08"/>
    <w:rsid w:val="7A5C7A74"/>
    <w:rsid w:val="7A5D377D"/>
    <w:rsid w:val="7A5F7E60"/>
    <w:rsid w:val="7A617D70"/>
    <w:rsid w:val="7A660A9B"/>
    <w:rsid w:val="7A666701"/>
    <w:rsid w:val="7A682BDE"/>
    <w:rsid w:val="7A6C21F7"/>
    <w:rsid w:val="7A6C2AE5"/>
    <w:rsid w:val="7A6F0C50"/>
    <w:rsid w:val="7A7201C8"/>
    <w:rsid w:val="7A723622"/>
    <w:rsid w:val="7A745199"/>
    <w:rsid w:val="7A7C4234"/>
    <w:rsid w:val="7A7E670B"/>
    <w:rsid w:val="7A8060C5"/>
    <w:rsid w:val="7A806A3F"/>
    <w:rsid w:val="7A84733D"/>
    <w:rsid w:val="7A861C01"/>
    <w:rsid w:val="7A876630"/>
    <w:rsid w:val="7A882523"/>
    <w:rsid w:val="7A8B2E16"/>
    <w:rsid w:val="7A8E1A04"/>
    <w:rsid w:val="7A8E70F5"/>
    <w:rsid w:val="7A8F6828"/>
    <w:rsid w:val="7A9015BF"/>
    <w:rsid w:val="7A926810"/>
    <w:rsid w:val="7A946657"/>
    <w:rsid w:val="7A9560E4"/>
    <w:rsid w:val="7A962EFD"/>
    <w:rsid w:val="7A9840BD"/>
    <w:rsid w:val="7A9A258D"/>
    <w:rsid w:val="7A9B5F74"/>
    <w:rsid w:val="7A9B7CED"/>
    <w:rsid w:val="7A9E2F85"/>
    <w:rsid w:val="7A9E5282"/>
    <w:rsid w:val="7A9F4156"/>
    <w:rsid w:val="7AA046C5"/>
    <w:rsid w:val="7AA11A60"/>
    <w:rsid w:val="7AA24BF5"/>
    <w:rsid w:val="7AA42279"/>
    <w:rsid w:val="7AA65740"/>
    <w:rsid w:val="7AA67610"/>
    <w:rsid w:val="7AA75E13"/>
    <w:rsid w:val="7AA8192D"/>
    <w:rsid w:val="7AAF5C3F"/>
    <w:rsid w:val="7AB02EC1"/>
    <w:rsid w:val="7AB10201"/>
    <w:rsid w:val="7AB77877"/>
    <w:rsid w:val="7AB84E94"/>
    <w:rsid w:val="7ABC4845"/>
    <w:rsid w:val="7ABD1A5A"/>
    <w:rsid w:val="7ABF1865"/>
    <w:rsid w:val="7AC13633"/>
    <w:rsid w:val="7AC26CE3"/>
    <w:rsid w:val="7AC35510"/>
    <w:rsid w:val="7AC504DC"/>
    <w:rsid w:val="7AC6090F"/>
    <w:rsid w:val="7AC7564C"/>
    <w:rsid w:val="7AC757A2"/>
    <w:rsid w:val="7AC91003"/>
    <w:rsid w:val="7AC93591"/>
    <w:rsid w:val="7ACA6C60"/>
    <w:rsid w:val="7ACB1A30"/>
    <w:rsid w:val="7ACC632F"/>
    <w:rsid w:val="7ACD6029"/>
    <w:rsid w:val="7AD07B85"/>
    <w:rsid w:val="7AD27169"/>
    <w:rsid w:val="7AD30192"/>
    <w:rsid w:val="7AD434CF"/>
    <w:rsid w:val="7AD45790"/>
    <w:rsid w:val="7AD60787"/>
    <w:rsid w:val="7ADA0E4B"/>
    <w:rsid w:val="7ADB0642"/>
    <w:rsid w:val="7ADC767C"/>
    <w:rsid w:val="7ADD3E0D"/>
    <w:rsid w:val="7AE3744A"/>
    <w:rsid w:val="7AE87256"/>
    <w:rsid w:val="7AEA195F"/>
    <w:rsid w:val="7AED0E50"/>
    <w:rsid w:val="7AF46C08"/>
    <w:rsid w:val="7AF53D8F"/>
    <w:rsid w:val="7AF55289"/>
    <w:rsid w:val="7AFA7BBE"/>
    <w:rsid w:val="7AFB289A"/>
    <w:rsid w:val="7AFB7DDF"/>
    <w:rsid w:val="7AFD3EEE"/>
    <w:rsid w:val="7AFD6C4D"/>
    <w:rsid w:val="7AFE221A"/>
    <w:rsid w:val="7B0000C6"/>
    <w:rsid w:val="7B023921"/>
    <w:rsid w:val="7B051EB8"/>
    <w:rsid w:val="7B073FE5"/>
    <w:rsid w:val="7B0A18DC"/>
    <w:rsid w:val="7B0A75C5"/>
    <w:rsid w:val="7B0B2992"/>
    <w:rsid w:val="7B0C26DB"/>
    <w:rsid w:val="7B0D3D3E"/>
    <w:rsid w:val="7B0F5668"/>
    <w:rsid w:val="7B113691"/>
    <w:rsid w:val="7B1259C6"/>
    <w:rsid w:val="7B141CEB"/>
    <w:rsid w:val="7B144CED"/>
    <w:rsid w:val="7B1D5A14"/>
    <w:rsid w:val="7B1F1633"/>
    <w:rsid w:val="7B203CBD"/>
    <w:rsid w:val="7B213DEF"/>
    <w:rsid w:val="7B227A5D"/>
    <w:rsid w:val="7B2514C4"/>
    <w:rsid w:val="7B27291A"/>
    <w:rsid w:val="7B28222B"/>
    <w:rsid w:val="7B2B209D"/>
    <w:rsid w:val="7B31118F"/>
    <w:rsid w:val="7B34730E"/>
    <w:rsid w:val="7B3625A4"/>
    <w:rsid w:val="7B375A39"/>
    <w:rsid w:val="7B39423D"/>
    <w:rsid w:val="7B397D2C"/>
    <w:rsid w:val="7B3A5DEB"/>
    <w:rsid w:val="7B3C73AF"/>
    <w:rsid w:val="7B3D2862"/>
    <w:rsid w:val="7B3D2BFF"/>
    <w:rsid w:val="7B4842D3"/>
    <w:rsid w:val="7B48510A"/>
    <w:rsid w:val="7B4C178B"/>
    <w:rsid w:val="7B4D10F9"/>
    <w:rsid w:val="7B4D392B"/>
    <w:rsid w:val="7B4D775B"/>
    <w:rsid w:val="7B4E5CC0"/>
    <w:rsid w:val="7B4F735A"/>
    <w:rsid w:val="7B515CE4"/>
    <w:rsid w:val="7B53302B"/>
    <w:rsid w:val="7B56159A"/>
    <w:rsid w:val="7B561D93"/>
    <w:rsid w:val="7B592E36"/>
    <w:rsid w:val="7B5A1446"/>
    <w:rsid w:val="7B5B7920"/>
    <w:rsid w:val="7B5C0230"/>
    <w:rsid w:val="7B5C599F"/>
    <w:rsid w:val="7B5C7910"/>
    <w:rsid w:val="7B5D01A8"/>
    <w:rsid w:val="7B61255E"/>
    <w:rsid w:val="7B6208A3"/>
    <w:rsid w:val="7B623F06"/>
    <w:rsid w:val="7B6469C0"/>
    <w:rsid w:val="7B684038"/>
    <w:rsid w:val="7B6B1613"/>
    <w:rsid w:val="7B6C6120"/>
    <w:rsid w:val="7B7069BE"/>
    <w:rsid w:val="7B722DFD"/>
    <w:rsid w:val="7B726F2A"/>
    <w:rsid w:val="7B727FB2"/>
    <w:rsid w:val="7B7359C4"/>
    <w:rsid w:val="7B737372"/>
    <w:rsid w:val="7B823047"/>
    <w:rsid w:val="7B863BBA"/>
    <w:rsid w:val="7B8E1B7B"/>
    <w:rsid w:val="7B917F69"/>
    <w:rsid w:val="7B922684"/>
    <w:rsid w:val="7B966986"/>
    <w:rsid w:val="7B9A7B04"/>
    <w:rsid w:val="7B9B20FE"/>
    <w:rsid w:val="7B9B49E7"/>
    <w:rsid w:val="7B9B6E42"/>
    <w:rsid w:val="7B9E0AB5"/>
    <w:rsid w:val="7BA038DB"/>
    <w:rsid w:val="7BA066E4"/>
    <w:rsid w:val="7BA143A2"/>
    <w:rsid w:val="7BA16059"/>
    <w:rsid w:val="7BA63B80"/>
    <w:rsid w:val="7BAA7C27"/>
    <w:rsid w:val="7BAC3AA4"/>
    <w:rsid w:val="7BAC67D6"/>
    <w:rsid w:val="7BAF6717"/>
    <w:rsid w:val="7BB0466A"/>
    <w:rsid w:val="7BB12152"/>
    <w:rsid w:val="7BB22AEE"/>
    <w:rsid w:val="7BB240A6"/>
    <w:rsid w:val="7BB433AD"/>
    <w:rsid w:val="7BB626E1"/>
    <w:rsid w:val="7BBA2B0C"/>
    <w:rsid w:val="7BBA446A"/>
    <w:rsid w:val="7BBA7C4E"/>
    <w:rsid w:val="7BBC47D3"/>
    <w:rsid w:val="7BC1155C"/>
    <w:rsid w:val="7BC23D2C"/>
    <w:rsid w:val="7BC50C4C"/>
    <w:rsid w:val="7BCA02F1"/>
    <w:rsid w:val="7BCA3E22"/>
    <w:rsid w:val="7BCA64BC"/>
    <w:rsid w:val="7BCB58D8"/>
    <w:rsid w:val="7BCB6251"/>
    <w:rsid w:val="7BCC0840"/>
    <w:rsid w:val="7BD01A37"/>
    <w:rsid w:val="7BD02224"/>
    <w:rsid w:val="7BD030BF"/>
    <w:rsid w:val="7BD07E02"/>
    <w:rsid w:val="7BD2597F"/>
    <w:rsid w:val="7BD26CAA"/>
    <w:rsid w:val="7BD30056"/>
    <w:rsid w:val="7BD31E5F"/>
    <w:rsid w:val="7BD3501F"/>
    <w:rsid w:val="7BD53A0B"/>
    <w:rsid w:val="7BE1574B"/>
    <w:rsid w:val="7BE42551"/>
    <w:rsid w:val="7BE64482"/>
    <w:rsid w:val="7BE74907"/>
    <w:rsid w:val="7BEB02BA"/>
    <w:rsid w:val="7BEE27A1"/>
    <w:rsid w:val="7BEF5DDE"/>
    <w:rsid w:val="7BF00238"/>
    <w:rsid w:val="7BF021B1"/>
    <w:rsid w:val="7BFC03BB"/>
    <w:rsid w:val="7BFC0ECA"/>
    <w:rsid w:val="7BFC5046"/>
    <w:rsid w:val="7BFD7BB3"/>
    <w:rsid w:val="7BFF5171"/>
    <w:rsid w:val="7BFF623F"/>
    <w:rsid w:val="7C01703E"/>
    <w:rsid w:val="7C031EB9"/>
    <w:rsid w:val="7C032FE2"/>
    <w:rsid w:val="7C0404D4"/>
    <w:rsid w:val="7C0E4215"/>
    <w:rsid w:val="7C1148B7"/>
    <w:rsid w:val="7C1907B0"/>
    <w:rsid w:val="7C193049"/>
    <w:rsid w:val="7C19581E"/>
    <w:rsid w:val="7C1A479B"/>
    <w:rsid w:val="7C1B456E"/>
    <w:rsid w:val="7C1D4118"/>
    <w:rsid w:val="7C1F0E7C"/>
    <w:rsid w:val="7C201EC1"/>
    <w:rsid w:val="7C207721"/>
    <w:rsid w:val="7C253041"/>
    <w:rsid w:val="7C2B1FA6"/>
    <w:rsid w:val="7C302E20"/>
    <w:rsid w:val="7C3038C7"/>
    <w:rsid w:val="7C370E8F"/>
    <w:rsid w:val="7C382350"/>
    <w:rsid w:val="7C3B22CC"/>
    <w:rsid w:val="7C3C4F02"/>
    <w:rsid w:val="7C3D5939"/>
    <w:rsid w:val="7C3E2855"/>
    <w:rsid w:val="7C3E61B2"/>
    <w:rsid w:val="7C412649"/>
    <w:rsid w:val="7C415EBC"/>
    <w:rsid w:val="7C431B49"/>
    <w:rsid w:val="7C437725"/>
    <w:rsid w:val="7C44234C"/>
    <w:rsid w:val="7C45314C"/>
    <w:rsid w:val="7C471B6A"/>
    <w:rsid w:val="7C484C0E"/>
    <w:rsid w:val="7C4A4343"/>
    <w:rsid w:val="7C4C76C0"/>
    <w:rsid w:val="7C5B15B7"/>
    <w:rsid w:val="7C5B1DCA"/>
    <w:rsid w:val="7C5F0674"/>
    <w:rsid w:val="7C6248CE"/>
    <w:rsid w:val="7C651F86"/>
    <w:rsid w:val="7C653B65"/>
    <w:rsid w:val="7C674E0F"/>
    <w:rsid w:val="7C6770BC"/>
    <w:rsid w:val="7C6879D3"/>
    <w:rsid w:val="7C6C1EA8"/>
    <w:rsid w:val="7C6E003E"/>
    <w:rsid w:val="7C6E545A"/>
    <w:rsid w:val="7C6E5683"/>
    <w:rsid w:val="7C703EEA"/>
    <w:rsid w:val="7C735D1B"/>
    <w:rsid w:val="7C7D0122"/>
    <w:rsid w:val="7C7E126F"/>
    <w:rsid w:val="7C80165A"/>
    <w:rsid w:val="7C80187B"/>
    <w:rsid w:val="7C834203"/>
    <w:rsid w:val="7C86221B"/>
    <w:rsid w:val="7C8A0BB7"/>
    <w:rsid w:val="7C8C1396"/>
    <w:rsid w:val="7C8C215D"/>
    <w:rsid w:val="7C8E3E01"/>
    <w:rsid w:val="7C9107D5"/>
    <w:rsid w:val="7C915787"/>
    <w:rsid w:val="7C922F5D"/>
    <w:rsid w:val="7C935948"/>
    <w:rsid w:val="7C945D56"/>
    <w:rsid w:val="7C970242"/>
    <w:rsid w:val="7C986F9A"/>
    <w:rsid w:val="7C9966BB"/>
    <w:rsid w:val="7C9A5B20"/>
    <w:rsid w:val="7C9C06F4"/>
    <w:rsid w:val="7C9C4E30"/>
    <w:rsid w:val="7C9D182F"/>
    <w:rsid w:val="7C9E2630"/>
    <w:rsid w:val="7C9F57B4"/>
    <w:rsid w:val="7CA35649"/>
    <w:rsid w:val="7CA41E10"/>
    <w:rsid w:val="7CA511E2"/>
    <w:rsid w:val="7CA83F63"/>
    <w:rsid w:val="7CA87D53"/>
    <w:rsid w:val="7CAA23E0"/>
    <w:rsid w:val="7CAC2DA1"/>
    <w:rsid w:val="7CAD7C8B"/>
    <w:rsid w:val="7CAF6D42"/>
    <w:rsid w:val="7CAF728A"/>
    <w:rsid w:val="7CB018A3"/>
    <w:rsid w:val="7CB232B2"/>
    <w:rsid w:val="7CB35456"/>
    <w:rsid w:val="7CB73A8E"/>
    <w:rsid w:val="7CBA3BBF"/>
    <w:rsid w:val="7CBB5E89"/>
    <w:rsid w:val="7CBB7A8B"/>
    <w:rsid w:val="7CC06CC5"/>
    <w:rsid w:val="7CC101A0"/>
    <w:rsid w:val="7CC23C96"/>
    <w:rsid w:val="7CC4108A"/>
    <w:rsid w:val="7CC50493"/>
    <w:rsid w:val="7CC572F7"/>
    <w:rsid w:val="7CC62E96"/>
    <w:rsid w:val="7CCA07DE"/>
    <w:rsid w:val="7CCA097D"/>
    <w:rsid w:val="7CCA5C8C"/>
    <w:rsid w:val="7CD33386"/>
    <w:rsid w:val="7CD56B15"/>
    <w:rsid w:val="7CD57F11"/>
    <w:rsid w:val="7CD61F7E"/>
    <w:rsid w:val="7CD66EBC"/>
    <w:rsid w:val="7CD67E98"/>
    <w:rsid w:val="7CD7423A"/>
    <w:rsid w:val="7CD74B0C"/>
    <w:rsid w:val="7CD77B41"/>
    <w:rsid w:val="7CD84ABD"/>
    <w:rsid w:val="7CDA0CF9"/>
    <w:rsid w:val="7CDF3961"/>
    <w:rsid w:val="7CE1563C"/>
    <w:rsid w:val="7CE335D7"/>
    <w:rsid w:val="7CE57797"/>
    <w:rsid w:val="7CE60D64"/>
    <w:rsid w:val="7CE8639B"/>
    <w:rsid w:val="7CEA4AFA"/>
    <w:rsid w:val="7CEC138A"/>
    <w:rsid w:val="7CEC1F9E"/>
    <w:rsid w:val="7CEC2230"/>
    <w:rsid w:val="7CED07B7"/>
    <w:rsid w:val="7CED1952"/>
    <w:rsid w:val="7CEF209C"/>
    <w:rsid w:val="7CF517A5"/>
    <w:rsid w:val="7CF6291D"/>
    <w:rsid w:val="7CF81E41"/>
    <w:rsid w:val="7CF83A46"/>
    <w:rsid w:val="7CFC4DBF"/>
    <w:rsid w:val="7CFC5647"/>
    <w:rsid w:val="7CFF5506"/>
    <w:rsid w:val="7D004ED0"/>
    <w:rsid w:val="7D01708A"/>
    <w:rsid w:val="7D041C6D"/>
    <w:rsid w:val="7D0579DF"/>
    <w:rsid w:val="7D070B2F"/>
    <w:rsid w:val="7D096BF4"/>
    <w:rsid w:val="7D0A16ED"/>
    <w:rsid w:val="7D0C1646"/>
    <w:rsid w:val="7D0C44C3"/>
    <w:rsid w:val="7D0E1E78"/>
    <w:rsid w:val="7D106C0C"/>
    <w:rsid w:val="7D112F2C"/>
    <w:rsid w:val="7D117BC2"/>
    <w:rsid w:val="7D134B4E"/>
    <w:rsid w:val="7D135741"/>
    <w:rsid w:val="7D1358CE"/>
    <w:rsid w:val="7D19078D"/>
    <w:rsid w:val="7D1A1311"/>
    <w:rsid w:val="7D1B1112"/>
    <w:rsid w:val="7D1F2D4F"/>
    <w:rsid w:val="7D1F690E"/>
    <w:rsid w:val="7D2255D4"/>
    <w:rsid w:val="7D261A07"/>
    <w:rsid w:val="7D2A01E9"/>
    <w:rsid w:val="7D2F5507"/>
    <w:rsid w:val="7D30272D"/>
    <w:rsid w:val="7D314892"/>
    <w:rsid w:val="7D320377"/>
    <w:rsid w:val="7D327C7D"/>
    <w:rsid w:val="7D333BDB"/>
    <w:rsid w:val="7D3401CC"/>
    <w:rsid w:val="7D381336"/>
    <w:rsid w:val="7D3A3B95"/>
    <w:rsid w:val="7D3D26AC"/>
    <w:rsid w:val="7D3E058A"/>
    <w:rsid w:val="7D3F3608"/>
    <w:rsid w:val="7D420717"/>
    <w:rsid w:val="7D445236"/>
    <w:rsid w:val="7D484428"/>
    <w:rsid w:val="7D495555"/>
    <w:rsid w:val="7D4C50B5"/>
    <w:rsid w:val="7D4D0429"/>
    <w:rsid w:val="7D4D4514"/>
    <w:rsid w:val="7D4E7F19"/>
    <w:rsid w:val="7D514BD9"/>
    <w:rsid w:val="7D514D99"/>
    <w:rsid w:val="7D523A1D"/>
    <w:rsid w:val="7D554646"/>
    <w:rsid w:val="7D571B53"/>
    <w:rsid w:val="7D580B59"/>
    <w:rsid w:val="7D58797C"/>
    <w:rsid w:val="7D59560A"/>
    <w:rsid w:val="7D5C52C7"/>
    <w:rsid w:val="7D5D08D3"/>
    <w:rsid w:val="7D5D3D79"/>
    <w:rsid w:val="7D6208B4"/>
    <w:rsid w:val="7D6543CE"/>
    <w:rsid w:val="7D6549EE"/>
    <w:rsid w:val="7D7003DC"/>
    <w:rsid w:val="7D7564EE"/>
    <w:rsid w:val="7D7726B5"/>
    <w:rsid w:val="7D795B77"/>
    <w:rsid w:val="7D7B4EE0"/>
    <w:rsid w:val="7D7E1A39"/>
    <w:rsid w:val="7D80341E"/>
    <w:rsid w:val="7D8230F5"/>
    <w:rsid w:val="7D84699B"/>
    <w:rsid w:val="7D880349"/>
    <w:rsid w:val="7D8B7E61"/>
    <w:rsid w:val="7D8E5007"/>
    <w:rsid w:val="7D8F0335"/>
    <w:rsid w:val="7D9160EF"/>
    <w:rsid w:val="7D92141E"/>
    <w:rsid w:val="7D92648E"/>
    <w:rsid w:val="7D9615F5"/>
    <w:rsid w:val="7D9B1B81"/>
    <w:rsid w:val="7D9C2906"/>
    <w:rsid w:val="7D9D046B"/>
    <w:rsid w:val="7D9D0ADF"/>
    <w:rsid w:val="7D9D3421"/>
    <w:rsid w:val="7D9E426D"/>
    <w:rsid w:val="7DA32C45"/>
    <w:rsid w:val="7DA4386B"/>
    <w:rsid w:val="7DA46929"/>
    <w:rsid w:val="7DA717AF"/>
    <w:rsid w:val="7DA721D5"/>
    <w:rsid w:val="7DA73B73"/>
    <w:rsid w:val="7DA94232"/>
    <w:rsid w:val="7DAA230F"/>
    <w:rsid w:val="7DAD5051"/>
    <w:rsid w:val="7DAE1BAD"/>
    <w:rsid w:val="7DAE42D4"/>
    <w:rsid w:val="7DAE6038"/>
    <w:rsid w:val="7DB15435"/>
    <w:rsid w:val="7DB313A9"/>
    <w:rsid w:val="7DB339AA"/>
    <w:rsid w:val="7DB620B5"/>
    <w:rsid w:val="7DB96B6A"/>
    <w:rsid w:val="7DBD3A2A"/>
    <w:rsid w:val="7DC01986"/>
    <w:rsid w:val="7DC3498E"/>
    <w:rsid w:val="7DC417DD"/>
    <w:rsid w:val="7DC418D0"/>
    <w:rsid w:val="7DC7507C"/>
    <w:rsid w:val="7DC75D21"/>
    <w:rsid w:val="7DC85B84"/>
    <w:rsid w:val="7DC86817"/>
    <w:rsid w:val="7DCB30A5"/>
    <w:rsid w:val="7DCC4BD9"/>
    <w:rsid w:val="7DCD1C62"/>
    <w:rsid w:val="7DCD3C47"/>
    <w:rsid w:val="7DCE3708"/>
    <w:rsid w:val="7DCF1E7D"/>
    <w:rsid w:val="7DCF34AC"/>
    <w:rsid w:val="7DD029FD"/>
    <w:rsid w:val="7DD30CC5"/>
    <w:rsid w:val="7DD45CDB"/>
    <w:rsid w:val="7DD64731"/>
    <w:rsid w:val="7DD82F57"/>
    <w:rsid w:val="7DD83D6B"/>
    <w:rsid w:val="7DDA29E0"/>
    <w:rsid w:val="7DDD7B67"/>
    <w:rsid w:val="7DDE6E83"/>
    <w:rsid w:val="7DDF41D0"/>
    <w:rsid w:val="7DE21491"/>
    <w:rsid w:val="7DE63585"/>
    <w:rsid w:val="7DE91E04"/>
    <w:rsid w:val="7DEB3446"/>
    <w:rsid w:val="7DEB425E"/>
    <w:rsid w:val="7DEC7C68"/>
    <w:rsid w:val="7DF069B8"/>
    <w:rsid w:val="7DF06AC6"/>
    <w:rsid w:val="7DF261CC"/>
    <w:rsid w:val="7DF40AD7"/>
    <w:rsid w:val="7DF53A81"/>
    <w:rsid w:val="7DF72320"/>
    <w:rsid w:val="7DF91451"/>
    <w:rsid w:val="7DFB76AC"/>
    <w:rsid w:val="7DFC12E6"/>
    <w:rsid w:val="7DFC4756"/>
    <w:rsid w:val="7DFE2C9A"/>
    <w:rsid w:val="7DFF2F57"/>
    <w:rsid w:val="7E02755F"/>
    <w:rsid w:val="7E030274"/>
    <w:rsid w:val="7E0406B8"/>
    <w:rsid w:val="7E041A2F"/>
    <w:rsid w:val="7E047B51"/>
    <w:rsid w:val="7E052AC5"/>
    <w:rsid w:val="7E0533D3"/>
    <w:rsid w:val="7E064B5B"/>
    <w:rsid w:val="7E0660B2"/>
    <w:rsid w:val="7E0E7570"/>
    <w:rsid w:val="7E1472D1"/>
    <w:rsid w:val="7E1474C1"/>
    <w:rsid w:val="7E162C6E"/>
    <w:rsid w:val="7E1809F2"/>
    <w:rsid w:val="7E1914D9"/>
    <w:rsid w:val="7E1A040E"/>
    <w:rsid w:val="7E1A3EA6"/>
    <w:rsid w:val="7E1A56D1"/>
    <w:rsid w:val="7E1C205F"/>
    <w:rsid w:val="7E1C6C18"/>
    <w:rsid w:val="7E1D2B8E"/>
    <w:rsid w:val="7E1E059F"/>
    <w:rsid w:val="7E234C1A"/>
    <w:rsid w:val="7E242266"/>
    <w:rsid w:val="7E2554B9"/>
    <w:rsid w:val="7E290634"/>
    <w:rsid w:val="7E29262D"/>
    <w:rsid w:val="7E292B7C"/>
    <w:rsid w:val="7E2C06D2"/>
    <w:rsid w:val="7E2C239F"/>
    <w:rsid w:val="7E2D02F6"/>
    <w:rsid w:val="7E2E0D60"/>
    <w:rsid w:val="7E2F2B7E"/>
    <w:rsid w:val="7E307881"/>
    <w:rsid w:val="7E337B7F"/>
    <w:rsid w:val="7E350773"/>
    <w:rsid w:val="7E361FD4"/>
    <w:rsid w:val="7E3637B7"/>
    <w:rsid w:val="7E3662B8"/>
    <w:rsid w:val="7E375538"/>
    <w:rsid w:val="7E3C0BE7"/>
    <w:rsid w:val="7E3C6B5B"/>
    <w:rsid w:val="7E3E2703"/>
    <w:rsid w:val="7E3F63C2"/>
    <w:rsid w:val="7E3F6A2D"/>
    <w:rsid w:val="7E420658"/>
    <w:rsid w:val="7E4A7F7D"/>
    <w:rsid w:val="7E4D682C"/>
    <w:rsid w:val="7E4E5881"/>
    <w:rsid w:val="7E4F5344"/>
    <w:rsid w:val="7E4F7221"/>
    <w:rsid w:val="7E50738C"/>
    <w:rsid w:val="7E522147"/>
    <w:rsid w:val="7E567554"/>
    <w:rsid w:val="7E5709D1"/>
    <w:rsid w:val="7E584A7E"/>
    <w:rsid w:val="7E5A1F07"/>
    <w:rsid w:val="7E5A655F"/>
    <w:rsid w:val="7E5C5F99"/>
    <w:rsid w:val="7E5E62C0"/>
    <w:rsid w:val="7E5F005E"/>
    <w:rsid w:val="7E631380"/>
    <w:rsid w:val="7E643FF6"/>
    <w:rsid w:val="7E650C89"/>
    <w:rsid w:val="7E6B6D5A"/>
    <w:rsid w:val="7E6D5CC7"/>
    <w:rsid w:val="7E7020B1"/>
    <w:rsid w:val="7E714745"/>
    <w:rsid w:val="7E7153B5"/>
    <w:rsid w:val="7E715D8A"/>
    <w:rsid w:val="7E734F47"/>
    <w:rsid w:val="7E773501"/>
    <w:rsid w:val="7E78242A"/>
    <w:rsid w:val="7E7B5467"/>
    <w:rsid w:val="7E7E002F"/>
    <w:rsid w:val="7E7F0C76"/>
    <w:rsid w:val="7E7F5E1A"/>
    <w:rsid w:val="7E83324E"/>
    <w:rsid w:val="7E872677"/>
    <w:rsid w:val="7E89196E"/>
    <w:rsid w:val="7E8B06B9"/>
    <w:rsid w:val="7E8B0DA9"/>
    <w:rsid w:val="7E8C0B56"/>
    <w:rsid w:val="7E8C28D4"/>
    <w:rsid w:val="7E8F6013"/>
    <w:rsid w:val="7E9347D9"/>
    <w:rsid w:val="7E951F51"/>
    <w:rsid w:val="7E9604C1"/>
    <w:rsid w:val="7E981A0F"/>
    <w:rsid w:val="7E9E1217"/>
    <w:rsid w:val="7EA072FC"/>
    <w:rsid w:val="7EA12E56"/>
    <w:rsid w:val="7EA25820"/>
    <w:rsid w:val="7EA3421B"/>
    <w:rsid w:val="7EA3690B"/>
    <w:rsid w:val="7EA40652"/>
    <w:rsid w:val="7EA60D5C"/>
    <w:rsid w:val="7EA61F16"/>
    <w:rsid w:val="7EA70CFE"/>
    <w:rsid w:val="7EA71CC3"/>
    <w:rsid w:val="7EA84B99"/>
    <w:rsid w:val="7EAA42BD"/>
    <w:rsid w:val="7EAA595F"/>
    <w:rsid w:val="7EAC0A3C"/>
    <w:rsid w:val="7EAD0D18"/>
    <w:rsid w:val="7EAE4D17"/>
    <w:rsid w:val="7EAF4DC4"/>
    <w:rsid w:val="7EB1588F"/>
    <w:rsid w:val="7EB26710"/>
    <w:rsid w:val="7EB35D8D"/>
    <w:rsid w:val="7EB42B90"/>
    <w:rsid w:val="7EB718D5"/>
    <w:rsid w:val="7EC209D1"/>
    <w:rsid w:val="7EC75E1E"/>
    <w:rsid w:val="7EC92522"/>
    <w:rsid w:val="7EC933F8"/>
    <w:rsid w:val="7EC978F8"/>
    <w:rsid w:val="7ECC01C9"/>
    <w:rsid w:val="7ECD6FF0"/>
    <w:rsid w:val="7ED2301E"/>
    <w:rsid w:val="7ED30E6D"/>
    <w:rsid w:val="7EDA0AAA"/>
    <w:rsid w:val="7EDF3793"/>
    <w:rsid w:val="7EE247CA"/>
    <w:rsid w:val="7EE321C3"/>
    <w:rsid w:val="7EE3445D"/>
    <w:rsid w:val="7EE37BF7"/>
    <w:rsid w:val="7EE629BF"/>
    <w:rsid w:val="7EE744A4"/>
    <w:rsid w:val="7EE81176"/>
    <w:rsid w:val="7EEA25E0"/>
    <w:rsid w:val="7EEB04C5"/>
    <w:rsid w:val="7EEB69D9"/>
    <w:rsid w:val="7EEE135A"/>
    <w:rsid w:val="7EEE6593"/>
    <w:rsid w:val="7EEF1F32"/>
    <w:rsid w:val="7EEF5203"/>
    <w:rsid w:val="7EF206C7"/>
    <w:rsid w:val="7EF2626C"/>
    <w:rsid w:val="7EF319A2"/>
    <w:rsid w:val="7EF37531"/>
    <w:rsid w:val="7EF44573"/>
    <w:rsid w:val="7EF83CB8"/>
    <w:rsid w:val="7EF854FF"/>
    <w:rsid w:val="7EF92432"/>
    <w:rsid w:val="7EFA1BED"/>
    <w:rsid w:val="7EFE6D44"/>
    <w:rsid w:val="7F034693"/>
    <w:rsid w:val="7F05377D"/>
    <w:rsid w:val="7F053A08"/>
    <w:rsid w:val="7F090727"/>
    <w:rsid w:val="7F0A6320"/>
    <w:rsid w:val="7F0C5989"/>
    <w:rsid w:val="7F0F2476"/>
    <w:rsid w:val="7F0F5769"/>
    <w:rsid w:val="7F107751"/>
    <w:rsid w:val="7F1314A8"/>
    <w:rsid w:val="7F134AF3"/>
    <w:rsid w:val="7F146746"/>
    <w:rsid w:val="7F177517"/>
    <w:rsid w:val="7F185771"/>
    <w:rsid w:val="7F1866A0"/>
    <w:rsid w:val="7F1B6415"/>
    <w:rsid w:val="7F1D0576"/>
    <w:rsid w:val="7F1E733A"/>
    <w:rsid w:val="7F1F7C1B"/>
    <w:rsid w:val="7F2205B9"/>
    <w:rsid w:val="7F231321"/>
    <w:rsid w:val="7F23313C"/>
    <w:rsid w:val="7F235DF7"/>
    <w:rsid w:val="7F237B5F"/>
    <w:rsid w:val="7F2744B5"/>
    <w:rsid w:val="7F282B21"/>
    <w:rsid w:val="7F2B4A50"/>
    <w:rsid w:val="7F2C5935"/>
    <w:rsid w:val="7F2D63F0"/>
    <w:rsid w:val="7F2E6131"/>
    <w:rsid w:val="7F2E6800"/>
    <w:rsid w:val="7F2F600F"/>
    <w:rsid w:val="7F2F6B75"/>
    <w:rsid w:val="7F305834"/>
    <w:rsid w:val="7F306CC5"/>
    <w:rsid w:val="7F3203B0"/>
    <w:rsid w:val="7F351206"/>
    <w:rsid w:val="7F3529E5"/>
    <w:rsid w:val="7F380ACB"/>
    <w:rsid w:val="7F38617E"/>
    <w:rsid w:val="7F3926AD"/>
    <w:rsid w:val="7F39513A"/>
    <w:rsid w:val="7F3D4AF1"/>
    <w:rsid w:val="7F3E06AC"/>
    <w:rsid w:val="7F407108"/>
    <w:rsid w:val="7F416FFC"/>
    <w:rsid w:val="7F445D6B"/>
    <w:rsid w:val="7F460316"/>
    <w:rsid w:val="7F490B20"/>
    <w:rsid w:val="7F4969CD"/>
    <w:rsid w:val="7F4A3436"/>
    <w:rsid w:val="7F4A43D6"/>
    <w:rsid w:val="7F4C09C9"/>
    <w:rsid w:val="7F4D07C9"/>
    <w:rsid w:val="7F4E4391"/>
    <w:rsid w:val="7F4F5C22"/>
    <w:rsid w:val="7F505FCF"/>
    <w:rsid w:val="7F561E31"/>
    <w:rsid w:val="7F56575B"/>
    <w:rsid w:val="7F59309D"/>
    <w:rsid w:val="7F5A54EA"/>
    <w:rsid w:val="7F5D0DFD"/>
    <w:rsid w:val="7F5E7A3E"/>
    <w:rsid w:val="7F605733"/>
    <w:rsid w:val="7F6110B5"/>
    <w:rsid w:val="7F6147D0"/>
    <w:rsid w:val="7F651737"/>
    <w:rsid w:val="7F6517A6"/>
    <w:rsid w:val="7F65418E"/>
    <w:rsid w:val="7F67653F"/>
    <w:rsid w:val="7F6F4CBA"/>
    <w:rsid w:val="7F723691"/>
    <w:rsid w:val="7F725800"/>
    <w:rsid w:val="7F746FD3"/>
    <w:rsid w:val="7F777F4F"/>
    <w:rsid w:val="7F784776"/>
    <w:rsid w:val="7F792B1D"/>
    <w:rsid w:val="7F793DA5"/>
    <w:rsid w:val="7F7960C3"/>
    <w:rsid w:val="7F7A4090"/>
    <w:rsid w:val="7F7B7222"/>
    <w:rsid w:val="7F7C0185"/>
    <w:rsid w:val="7F7C609E"/>
    <w:rsid w:val="7F801D68"/>
    <w:rsid w:val="7F805B1B"/>
    <w:rsid w:val="7F837A08"/>
    <w:rsid w:val="7F841644"/>
    <w:rsid w:val="7F8426BA"/>
    <w:rsid w:val="7F84690C"/>
    <w:rsid w:val="7F8552E3"/>
    <w:rsid w:val="7F8724D0"/>
    <w:rsid w:val="7F8A11F6"/>
    <w:rsid w:val="7F8B1748"/>
    <w:rsid w:val="7F8C412C"/>
    <w:rsid w:val="7F8C7DDD"/>
    <w:rsid w:val="7F8D1FA1"/>
    <w:rsid w:val="7F8D200E"/>
    <w:rsid w:val="7F8F282D"/>
    <w:rsid w:val="7F900722"/>
    <w:rsid w:val="7F9029B4"/>
    <w:rsid w:val="7F9164EA"/>
    <w:rsid w:val="7F933696"/>
    <w:rsid w:val="7F93417D"/>
    <w:rsid w:val="7F945A3A"/>
    <w:rsid w:val="7F967659"/>
    <w:rsid w:val="7F992F67"/>
    <w:rsid w:val="7F9B25DD"/>
    <w:rsid w:val="7FA05707"/>
    <w:rsid w:val="7FA07E10"/>
    <w:rsid w:val="7FA20FC5"/>
    <w:rsid w:val="7FA6032E"/>
    <w:rsid w:val="7FA82B6B"/>
    <w:rsid w:val="7FA87BE7"/>
    <w:rsid w:val="7FAA2620"/>
    <w:rsid w:val="7FAA427D"/>
    <w:rsid w:val="7FAA7792"/>
    <w:rsid w:val="7FAB1802"/>
    <w:rsid w:val="7FAB4B8C"/>
    <w:rsid w:val="7FAC050C"/>
    <w:rsid w:val="7FAC34B4"/>
    <w:rsid w:val="7FAC5B64"/>
    <w:rsid w:val="7FAD7D3C"/>
    <w:rsid w:val="7FC2629C"/>
    <w:rsid w:val="7FC35A9F"/>
    <w:rsid w:val="7FC36BAD"/>
    <w:rsid w:val="7FC44FA5"/>
    <w:rsid w:val="7FC7241A"/>
    <w:rsid w:val="7FC77E57"/>
    <w:rsid w:val="7FCA0AA1"/>
    <w:rsid w:val="7FCB425F"/>
    <w:rsid w:val="7FCF4633"/>
    <w:rsid w:val="7FD01601"/>
    <w:rsid w:val="7FD1147A"/>
    <w:rsid w:val="7FD15D25"/>
    <w:rsid w:val="7FD47314"/>
    <w:rsid w:val="7FD52EFE"/>
    <w:rsid w:val="7FD77710"/>
    <w:rsid w:val="7FD92D25"/>
    <w:rsid w:val="7FD97CA8"/>
    <w:rsid w:val="7FDA065E"/>
    <w:rsid w:val="7FDC3A08"/>
    <w:rsid w:val="7FE11C4D"/>
    <w:rsid w:val="7FE2614B"/>
    <w:rsid w:val="7FE65FB8"/>
    <w:rsid w:val="7FE66BC7"/>
    <w:rsid w:val="7FE90E75"/>
    <w:rsid w:val="7FE938F8"/>
    <w:rsid w:val="7FEA5CC2"/>
    <w:rsid w:val="7FEC38BF"/>
    <w:rsid w:val="7FED778E"/>
    <w:rsid w:val="7FEF25B9"/>
    <w:rsid w:val="7FF03376"/>
    <w:rsid w:val="7FF320D7"/>
    <w:rsid w:val="7FF57F6E"/>
    <w:rsid w:val="7FF836A5"/>
    <w:rsid w:val="7FFC56F0"/>
    <w:rsid w:val="7FFC64B8"/>
    <w:rsid w:val="7FFD4508"/>
    <w:rsid w:val="7FFF0578"/>
    <w:rsid w:val="7FFF7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qFormat="1" w:uiPriority="0" w:name="HTML Acronym"/>
    <w:lsdException w:uiPriority="0" w:name="HTML Address"/>
    <w:lsdException w:qFormat="1" w:uiPriority="0" w:name="HTML Cite"/>
    <w:lsdException w:qFormat="1" w:uiPriority="0" w:name="HTML Code"/>
    <w:lsdException w:qFormat="1" w:uiPriority="0" w:name="HTML Definition"/>
    <w:lsdException w:uiPriority="0" w:name="HTML Keyboard"/>
    <w:lsdException w:uiPriority="0" w:name="HTML Preformatted"/>
    <w:lsdException w:uiPriority="0" w:name="HTML Sample"/>
    <w:lsdException w:uiPriority="0" w:name="HTML Typewriter"/>
    <w:lsdException w:qFormat="1"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toc 3"/>
    <w:basedOn w:val="1"/>
    <w:next w:val="1"/>
    <w:semiHidden/>
    <w:unhideWhenUsed/>
    <w:qFormat/>
    <w:uiPriority w:val="0"/>
    <w:pPr>
      <w:ind w:left="840" w:leftChars="400"/>
    </w:pPr>
  </w:style>
  <w:style w:type="paragraph" w:styleId="7">
    <w:name w:val="Balloon Text"/>
    <w:basedOn w:val="1"/>
    <w:link w:val="28"/>
    <w:qFormat/>
    <w:uiPriority w:val="0"/>
    <w:rPr>
      <w:sz w:val="18"/>
      <w:szCs w:val="18"/>
    </w:rPr>
  </w:style>
  <w:style w:type="paragraph" w:styleId="8">
    <w:name w:val="footer"/>
    <w:basedOn w:val="1"/>
    <w:link w:val="32"/>
    <w:unhideWhenUsed/>
    <w:qFormat/>
    <w:uiPriority w:val="0"/>
    <w:pPr>
      <w:tabs>
        <w:tab w:val="center" w:pos="4153"/>
        <w:tab w:val="right" w:pos="8306"/>
      </w:tabs>
      <w:snapToGrid w:val="0"/>
      <w:jc w:val="left"/>
    </w:pPr>
    <w:rPr>
      <w:sz w:val="18"/>
      <w:szCs w:val="18"/>
    </w:rPr>
  </w:style>
  <w:style w:type="paragraph" w:styleId="9">
    <w:name w:val="header"/>
    <w:basedOn w:val="1"/>
    <w:link w:val="31"/>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0"/>
  </w:style>
  <w:style w:type="paragraph" w:styleId="11">
    <w:name w:val="toc 2"/>
    <w:basedOn w:val="1"/>
    <w:next w:val="1"/>
    <w:semiHidden/>
    <w:unhideWhenUsed/>
    <w:qFormat/>
    <w:uiPriority w:val="0"/>
    <w:pPr>
      <w:ind w:left="420" w:leftChars="200"/>
    </w:pPr>
  </w:style>
  <w:style w:type="paragraph" w:styleId="12">
    <w:name w:val="Normal (Web)"/>
    <w:basedOn w:val="1"/>
    <w:qFormat/>
    <w:uiPriority w:val="0"/>
    <w:pPr>
      <w:spacing w:beforeAutospacing="1" w:afterAutospacing="1"/>
      <w:jc w:val="left"/>
    </w:pPr>
    <w:rPr>
      <w:rFonts w:cs="Times New Roman"/>
      <w:kern w:val="0"/>
      <w:sz w:val="24"/>
    </w:rPr>
  </w:style>
  <w:style w:type="paragraph" w:styleId="13">
    <w:name w:val="annotation subject"/>
    <w:basedOn w:val="5"/>
    <w:next w:val="5"/>
    <w:link w:val="30"/>
    <w:qFormat/>
    <w:uiPriority w:val="0"/>
    <w:rPr>
      <w:b/>
      <w:bCs/>
    </w:rPr>
  </w:style>
  <w:style w:type="character" w:styleId="16">
    <w:name w:val="Strong"/>
    <w:basedOn w:val="15"/>
    <w:qFormat/>
    <w:uiPriority w:val="0"/>
    <w:rPr>
      <w:b/>
    </w:rPr>
  </w:style>
  <w:style w:type="character" w:styleId="17">
    <w:name w:val="FollowedHyperlink"/>
    <w:basedOn w:val="15"/>
    <w:qFormat/>
    <w:uiPriority w:val="0"/>
    <w:rPr>
      <w:color w:val="800080"/>
      <w:u w:val="none"/>
    </w:rPr>
  </w:style>
  <w:style w:type="character" w:styleId="18">
    <w:name w:val="Emphasis"/>
    <w:basedOn w:val="15"/>
    <w:qFormat/>
    <w:uiPriority w:val="0"/>
  </w:style>
  <w:style w:type="character" w:styleId="19">
    <w:name w:val="HTML Definition"/>
    <w:basedOn w:val="15"/>
    <w:semiHidden/>
    <w:unhideWhenUsed/>
    <w:qFormat/>
    <w:uiPriority w:val="0"/>
  </w:style>
  <w:style w:type="character" w:styleId="20">
    <w:name w:val="HTML Acronym"/>
    <w:basedOn w:val="15"/>
    <w:semiHidden/>
    <w:unhideWhenUsed/>
    <w:qFormat/>
    <w:uiPriority w:val="0"/>
  </w:style>
  <w:style w:type="character" w:styleId="21">
    <w:name w:val="HTML Variable"/>
    <w:basedOn w:val="15"/>
    <w:semiHidden/>
    <w:unhideWhenUsed/>
    <w:qFormat/>
    <w:uiPriority w:val="0"/>
  </w:style>
  <w:style w:type="character" w:styleId="22">
    <w:name w:val="Hyperlink"/>
    <w:basedOn w:val="15"/>
    <w:qFormat/>
    <w:uiPriority w:val="0"/>
    <w:rPr>
      <w:color w:val="0000FF"/>
      <w:u w:val="none"/>
    </w:rPr>
  </w:style>
  <w:style w:type="character" w:styleId="23">
    <w:name w:val="HTML Code"/>
    <w:basedOn w:val="15"/>
    <w:semiHidden/>
    <w:unhideWhenUsed/>
    <w:qFormat/>
    <w:uiPriority w:val="0"/>
    <w:rPr>
      <w:rFonts w:ascii="Courier New" w:hAnsi="Courier New"/>
      <w:sz w:val="20"/>
    </w:rPr>
  </w:style>
  <w:style w:type="character" w:styleId="24">
    <w:name w:val="annotation reference"/>
    <w:basedOn w:val="15"/>
    <w:qFormat/>
    <w:uiPriority w:val="0"/>
    <w:rPr>
      <w:sz w:val="21"/>
      <w:szCs w:val="21"/>
    </w:rPr>
  </w:style>
  <w:style w:type="character" w:styleId="25">
    <w:name w:val="HTML Cite"/>
    <w:basedOn w:val="15"/>
    <w:semiHidden/>
    <w:unhideWhenUsed/>
    <w:qFormat/>
    <w:uiPriority w:val="0"/>
  </w:style>
  <w:style w:type="character" w:customStyle="1" w:styleId="26">
    <w:name w:val="标题 1 字符"/>
    <w:basedOn w:val="15"/>
    <w:link w:val="2"/>
    <w:qFormat/>
    <w:uiPriority w:val="0"/>
    <w:rPr>
      <w:rFonts w:asciiTheme="minorHAnsi" w:hAnsiTheme="minorHAnsi" w:eastAsiaTheme="minorEastAsia" w:cstheme="minorBidi"/>
      <w:b/>
      <w:bCs/>
      <w:kern w:val="44"/>
      <w:sz w:val="44"/>
      <w:szCs w:val="44"/>
    </w:rPr>
  </w:style>
  <w:style w:type="paragraph" w:customStyle="1" w:styleId="2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8">
    <w:name w:val="批注框文本 字符"/>
    <w:basedOn w:val="15"/>
    <w:link w:val="7"/>
    <w:qFormat/>
    <w:uiPriority w:val="0"/>
    <w:rPr>
      <w:rFonts w:asciiTheme="minorHAnsi" w:hAnsiTheme="minorHAnsi" w:eastAsiaTheme="minorEastAsia" w:cstheme="minorBidi"/>
      <w:kern w:val="2"/>
      <w:sz w:val="18"/>
      <w:szCs w:val="18"/>
    </w:rPr>
  </w:style>
  <w:style w:type="character" w:customStyle="1" w:styleId="29">
    <w:name w:val="批注文字 字符"/>
    <w:basedOn w:val="15"/>
    <w:link w:val="5"/>
    <w:qFormat/>
    <w:uiPriority w:val="0"/>
    <w:rPr>
      <w:rFonts w:asciiTheme="minorHAnsi" w:hAnsiTheme="minorHAnsi" w:eastAsiaTheme="minorEastAsia" w:cstheme="minorBidi"/>
      <w:kern w:val="2"/>
      <w:sz w:val="21"/>
      <w:szCs w:val="24"/>
    </w:rPr>
  </w:style>
  <w:style w:type="character" w:customStyle="1" w:styleId="30">
    <w:name w:val="批注主题 字符"/>
    <w:basedOn w:val="29"/>
    <w:link w:val="13"/>
    <w:qFormat/>
    <w:uiPriority w:val="0"/>
    <w:rPr>
      <w:rFonts w:asciiTheme="minorHAnsi" w:hAnsiTheme="minorHAnsi" w:eastAsiaTheme="minorEastAsia" w:cstheme="minorBidi"/>
      <w:kern w:val="2"/>
      <w:sz w:val="21"/>
      <w:szCs w:val="24"/>
    </w:rPr>
  </w:style>
  <w:style w:type="character" w:customStyle="1" w:styleId="31">
    <w:name w:val="页眉 字符"/>
    <w:basedOn w:val="15"/>
    <w:link w:val="9"/>
    <w:qFormat/>
    <w:uiPriority w:val="0"/>
    <w:rPr>
      <w:rFonts w:asciiTheme="minorHAnsi" w:hAnsiTheme="minorHAnsi" w:eastAsiaTheme="minorEastAsia" w:cstheme="minorBidi"/>
      <w:kern w:val="2"/>
      <w:sz w:val="18"/>
      <w:szCs w:val="18"/>
    </w:rPr>
  </w:style>
  <w:style w:type="character" w:customStyle="1" w:styleId="32">
    <w:name w:val="页脚 字符"/>
    <w:basedOn w:val="15"/>
    <w:link w:val="8"/>
    <w:qFormat/>
    <w:uiPriority w:val="0"/>
    <w:rPr>
      <w:rFonts w:asciiTheme="minorHAnsi" w:hAnsiTheme="minorHAnsi" w:eastAsiaTheme="minorEastAsia" w:cstheme="minorBidi"/>
      <w:kern w:val="2"/>
      <w:sz w:val="18"/>
      <w:szCs w:val="18"/>
    </w:rPr>
  </w:style>
  <w:style w:type="character" w:customStyle="1" w:styleId="33">
    <w:name w:val="txtcontent11"/>
    <w:basedOn w:val="15"/>
    <w:qFormat/>
    <w:uiPriority w:val="0"/>
    <w:rPr>
      <w:rFonts w:hint="eastAsia" w:ascii="宋体" w:hAnsi="宋体" w:eastAsia="宋体" w:cs="宋体"/>
      <w:color w:val="000000"/>
      <w:sz w:val="21"/>
      <w:szCs w:val="21"/>
    </w:rPr>
  </w:style>
  <w:style w:type="character" w:customStyle="1" w:styleId="34">
    <w:name w:val="标题 2 Char"/>
    <w:link w:val="3"/>
    <w:qFormat/>
    <w:uiPriority w:val="0"/>
    <w:rPr>
      <w:rFonts w:ascii="Arial" w:hAnsi="Arial" w:eastAsia="黑体"/>
      <w:b/>
      <w:sz w:val="32"/>
    </w:rPr>
  </w:style>
  <w:style w:type="character" w:customStyle="1" w:styleId="35">
    <w:name w:val="标题 3 Char"/>
    <w:link w:val="4"/>
    <w:qFormat/>
    <w:uiPriority w:val="0"/>
    <w:rPr>
      <w:b/>
      <w:sz w:val="32"/>
    </w:rPr>
  </w:style>
  <w:style w:type="character" w:customStyle="1" w:styleId="36">
    <w:name w:val="cnblogs_code2"/>
    <w:basedOn w:val="15"/>
    <w:qFormat/>
    <w:uiPriority w:val="0"/>
  </w:style>
  <w:style w:type="character" w:customStyle="1" w:styleId="37">
    <w:name w:val="current"/>
    <w:basedOn w:val="15"/>
    <w:qFormat/>
    <w:uiPriority w:val="0"/>
    <w:rPr>
      <w:b/>
      <w:color w:val="FFFFFF"/>
      <w:bdr w:val="single" w:color="000080" w:sz="6" w:space="0"/>
      <w:shd w:val="clear" w:fill="2E6AB1"/>
    </w:rPr>
  </w:style>
  <w:style w:type="character" w:customStyle="1" w:styleId="38">
    <w:name w:val="focus"/>
    <w:basedOn w:val="15"/>
    <w:qFormat/>
    <w:uiPriority w:val="0"/>
  </w:style>
  <w:style w:type="character" w:customStyle="1" w:styleId="39">
    <w:name w:val="high-light-bg3"/>
    <w:basedOn w:val="15"/>
    <w:qFormat/>
    <w:uiPriority w:val="0"/>
    <w:rPr>
      <w:shd w:val="clear" w:fill="FEE972"/>
    </w:rPr>
  </w:style>
  <w:style w:type="paragraph" w:customStyle="1" w:styleId="40">
    <w:name w:val="WPSOffice手动目录 1"/>
    <w:uiPriority w:val="0"/>
    <w:pPr>
      <w:ind w:leftChars="0"/>
    </w:pPr>
    <w:rPr>
      <w:rFonts w:ascii="Times New Roman" w:hAnsi="Times New Roman" w:eastAsia="宋体" w:cs="Times New Roman"/>
      <w:sz w:val="20"/>
      <w:szCs w:val="20"/>
    </w:rPr>
  </w:style>
  <w:style w:type="paragraph" w:customStyle="1" w:styleId="41">
    <w:name w:val="WPSOffice手动目录 3"/>
    <w:qFormat/>
    <w:uiPriority w:val="0"/>
    <w:pPr>
      <w:ind w:leftChars="400"/>
    </w:pPr>
    <w:rPr>
      <w:rFonts w:ascii="Times New Roman" w:hAnsi="Times New Roman" w:eastAsia="宋体" w:cs="Times New Roman"/>
      <w:sz w:val="20"/>
      <w:szCs w:val="20"/>
    </w:rPr>
  </w:style>
  <w:style w:type="paragraph" w:customStyle="1" w:styleId="4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8.bin"/><Relationship Id="rId98" Type="http://schemas.openxmlformats.org/officeDocument/2006/relationships/oleObject" Target="embeddings/oleObject57.bin"/><Relationship Id="rId97" Type="http://schemas.openxmlformats.org/officeDocument/2006/relationships/oleObject" Target="embeddings/oleObject56.bin"/><Relationship Id="rId96" Type="http://schemas.openxmlformats.org/officeDocument/2006/relationships/oleObject" Target="embeddings/oleObject55.bin"/><Relationship Id="rId95" Type="http://schemas.openxmlformats.org/officeDocument/2006/relationships/oleObject" Target="embeddings/oleObject54.bin"/><Relationship Id="rId94" Type="http://schemas.openxmlformats.org/officeDocument/2006/relationships/image" Target="media/image33.emf"/><Relationship Id="rId93" Type="http://schemas.openxmlformats.org/officeDocument/2006/relationships/oleObject" Target="embeddings/oleObject53.bin"/><Relationship Id="rId92" Type="http://schemas.openxmlformats.org/officeDocument/2006/relationships/oleObject" Target="embeddings/oleObject52.bin"/><Relationship Id="rId91" Type="http://schemas.openxmlformats.org/officeDocument/2006/relationships/image" Target="media/image32.emf"/><Relationship Id="rId90" Type="http://schemas.openxmlformats.org/officeDocument/2006/relationships/oleObject" Target="embeddings/oleObject51.bin"/><Relationship Id="rId9" Type="http://schemas.openxmlformats.org/officeDocument/2006/relationships/oleObject" Target="embeddings/oleObject1.bin"/><Relationship Id="rId89" Type="http://schemas.openxmlformats.org/officeDocument/2006/relationships/oleObject" Target="embeddings/oleObject50.bin"/><Relationship Id="rId88" Type="http://schemas.openxmlformats.org/officeDocument/2006/relationships/oleObject" Target="embeddings/oleObject49.bin"/><Relationship Id="rId87" Type="http://schemas.openxmlformats.org/officeDocument/2006/relationships/oleObject" Target="embeddings/oleObject48.bin"/><Relationship Id="rId86" Type="http://schemas.openxmlformats.org/officeDocument/2006/relationships/oleObject" Target="embeddings/oleObject47.bin"/><Relationship Id="rId85" Type="http://schemas.openxmlformats.org/officeDocument/2006/relationships/oleObject" Target="embeddings/oleObject46.bin"/><Relationship Id="rId84" Type="http://schemas.openxmlformats.org/officeDocument/2006/relationships/oleObject" Target="embeddings/oleObject45.bin"/><Relationship Id="rId83" Type="http://schemas.openxmlformats.org/officeDocument/2006/relationships/oleObject" Target="embeddings/oleObject44.bin"/><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image" Target="media/image31.wmf"/><Relationship Id="rId8" Type="http://schemas.openxmlformats.org/officeDocument/2006/relationships/theme" Target="theme/theme1.xml"/><Relationship Id="rId79" Type="http://schemas.openxmlformats.org/officeDocument/2006/relationships/oleObject" Target="embeddings/oleObject41.bin"/><Relationship Id="rId78" Type="http://schemas.openxmlformats.org/officeDocument/2006/relationships/image" Target="media/image30.wmf"/><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image" Target="media/image29.wmf"/><Relationship Id="rId74" Type="http://schemas.openxmlformats.org/officeDocument/2006/relationships/oleObject" Target="embeddings/oleObject38.bin"/><Relationship Id="rId73" Type="http://schemas.openxmlformats.org/officeDocument/2006/relationships/oleObject" Target="embeddings/oleObject37.bin"/><Relationship Id="rId72" Type="http://schemas.openxmlformats.org/officeDocument/2006/relationships/image" Target="media/image28.wmf"/><Relationship Id="rId71" Type="http://schemas.openxmlformats.org/officeDocument/2006/relationships/oleObject" Target="embeddings/oleObject36.bin"/><Relationship Id="rId70" Type="http://schemas.openxmlformats.org/officeDocument/2006/relationships/image" Target="media/image27.wmf"/><Relationship Id="rId7" Type="http://schemas.openxmlformats.org/officeDocument/2006/relationships/footer" Target="footer5.xml"/><Relationship Id="rId69" Type="http://schemas.openxmlformats.org/officeDocument/2006/relationships/oleObject" Target="embeddings/oleObject35.bin"/><Relationship Id="rId68" Type="http://schemas.openxmlformats.org/officeDocument/2006/relationships/oleObject" Target="embeddings/oleObject34.bin"/><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26.wmf"/><Relationship Id="rId64" Type="http://schemas.openxmlformats.org/officeDocument/2006/relationships/oleObject" Target="embeddings/oleObject31.bin"/><Relationship Id="rId63" Type="http://schemas.openxmlformats.org/officeDocument/2006/relationships/image" Target="media/image25.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4.wmf"/><Relationship Id="rId6" Type="http://schemas.openxmlformats.org/officeDocument/2006/relationships/footer" Target="footer4.xml"/><Relationship Id="rId59" Type="http://schemas.openxmlformats.org/officeDocument/2006/relationships/oleObject" Target="embeddings/oleObject28.bin"/><Relationship Id="rId58" Type="http://schemas.openxmlformats.org/officeDocument/2006/relationships/image" Target="media/image23.emf"/><Relationship Id="rId57" Type="http://schemas.openxmlformats.org/officeDocument/2006/relationships/oleObject" Target="embeddings/oleObject27.bin"/><Relationship Id="rId56" Type="http://schemas.openxmlformats.org/officeDocument/2006/relationships/image" Target="media/image22.wmf"/><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1.wmf"/><Relationship Id="rId50" Type="http://schemas.openxmlformats.org/officeDocument/2006/relationships/oleObject" Target="embeddings/oleObject22.bin"/><Relationship Id="rId5" Type="http://schemas.openxmlformats.org/officeDocument/2006/relationships/footer" Target="footer3.xml"/><Relationship Id="rId49" Type="http://schemas.openxmlformats.org/officeDocument/2006/relationships/image" Target="media/image20.wmf"/><Relationship Id="rId48" Type="http://schemas.openxmlformats.org/officeDocument/2006/relationships/oleObject" Target="embeddings/oleObject21.bin"/><Relationship Id="rId47" Type="http://schemas.openxmlformats.org/officeDocument/2006/relationships/image" Target="media/image19.wmf"/><Relationship Id="rId46" Type="http://schemas.openxmlformats.org/officeDocument/2006/relationships/oleObject" Target="embeddings/oleObject20.bin"/><Relationship Id="rId45" Type="http://schemas.openxmlformats.org/officeDocument/2006/relationships/image" Target="media/image18.wmf"/><Relationship Id="rId44" Type="http://schemas.openxmlformats.org/officeDocument/2006/relationships/oleObject" Target="embeddings/oleObject19.bin"/><Relationship Id="rId43" Type="http://schemas.openxmlformats.org/officeDocument/2006/relationships/image" Target="media/image17.wmf"/><Relationship Id="rId42" Type="http://schemas.openxmlformats.org/officeDocument/2006/relationships/oleObject" Target="embeddings/oleObject18.bin"/><Relationship Id="rId41" Type="http://schemas.openxmlformats.org/officeDocument/2006/relationships/image" Target="media/image16.wmf"/><Relationship Id="rId40" Type="http://schemas.openxmlformats.org/officeDocument/2006/relationships/oleObject" Target="embeddings/oleObject17.bin"/><Relationship Id="rId4" Type="http://schemas.openxmlformats.org/officeDocument/2006/relationships/footer" Target="footer2.xml"/><Relationship Id="rId39" Type="http://schemas.openxmlformats.org/officeDocument/2006/relationships/image" Target="media/image15.wmf"/><Relationship Id="rId38" Type="http://schemas.openxmlformats.org/officeDocument/2006/relationships/oleObject" Target="embeddings/oleObject16.bin"/><Relationship Id="rId37" Type="http://schemas.openxmlformats.org/officeDocument/2006/relationships/image" Target="media/image14.wmf"/><Relationship Id="rId36" Type="http://schemas.openxmlformats.org/officeDocument/2006/relationships/oleObject" Target="embeddings/oleObject15.bin"/><Relationship Id="rId35" Type="http://schemas.openxmlformats.org/officeDocument/2006/relationships/image" Target="media/image13.wmf"/><Relationship Id="rId34" Type="http://schemas.openxmlformats.org/officeDocument/2006/relationships/oleObject" Target="embeddings/oleObject14.bin"/><Relationship Id="rId33" Type="http://schemas.openxmlformats.org/officeDocument/2006/relationships/image" Target="media/image12.wmf"/><Relationship Id="rId32" Type="http://schemas.openxmlformats.org/officeDocument/2006/relationships/oleObject" Target="embeddings/oleObject13.bin"/><Relationship Id="rId31" Type="http://schemas.openxmlformats.org/officeDocument/2006/relationships/image" Target="media/image11.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0.wmf"/><Relationship Id="rId27" Type="http://schemas.openxmlformats.org/officeDocument/2006/relationships/oleObject" Target="embeddings/oleObject10.bin"/><Relationship Id="rId26" Type="http://schemas.openxmlformats.org/officeDocument/2006/relationships/image" Target="media/image9.wmf"/><Relationship Id="rId25" Type="http://schemas.openxmlformats.org/officeDocument/2006/relationships/oleObject" Target="embeddings/oleObject9.bin"/><Relationship Id="rId249" Type="http://schemas.openxmlformats.org/officeDocument/2006/relationships/fontTable" Target="fontTable.xml"/><Relationship Id="rId248" Type="http://schemas.openxmlformats.org/officeDocument/2006/relationships/customXml" Target="../customXml/item2.xml"/><Relationship Id="rId247" Type="http://schemas.openxmlformats.org/officeDocument/2006/relationships/customXml" Target="../customXml/item1.xml"/><Relationship Id="rId246" Type="http://schemas.openxmlformats.org/officeDocument/2006/relationships/image" Target="media/image68.emf"/><Relationship Id="rId245" Type="http://schemas.openxmlformats.org/officeDocument/2006/relationships/oleObject" Target="embeddings/oleObject169.bin"/><Relationship Id="rId244" Type="http://schemas.openxmlformats.org/officeDocument/2006/relationships/oleObject" Target="embeddings/oleObject168.bin"/><Relationship Id="rId243" Type="http://schemas.openxmlformats.org/officeDocument/2006/relationships/oleObject" Target="embeddings/oleObject167.bin"/><Relationship Id="rId242" Type="http://schemas.openxmlformats.org/officeDocument/2006/relationships/oleObject" Target="embeddings/oleObject166.bin"/><Relationship Id="rId241" Type="http://schemas.openxmlformats.org/officeDocument/2006/relationships/oleObject" Target="embeddings/oleObject165.bin"/><Relationship Id="rId240" Type="http://schemas.openxmlformats.org/officeDocument/2006/relationships/oleObject" Target="embeddings/oleObject164.bin"/><Relationship Id="rId24" Type="http://schemas.openxmlformats.org/officeDocument/2006/relationships/image" Target="media/image8.wmf"/><Relationship Id="rId239" Type="http://schemas.openxmlformats.org/officeDocument/2006/relationships/oleObject" Target="embeddings/oleObject163.bin"/><Relationship Id="rId238" Type="http://schemas.openxmlformats.org/officeDocument/2006/relationships/oleObject" Target="embeddings/oleObject162.bin"/><Relationship Id="rId237" Type="http://schemas.openxmlformats.org/officeDocument/2006/relationships/oleObject" Target="embeddings/oleObject161.bin"/><Relationship Id="rId236" Type="http://schemas.openxmlformats.org/officeDocument/2006/relationships/oleObject" Target="embeddings/oleObject160.bin"/><Relationship Id="rId235" Type="http://schemas.openxmlformats.org/officeDocument/2006/relationships/oleObject" Target="embeddings/oleObject159.bin"/><Relationship Id="rId234" Type="http://schemas.openxmlformats.org/officeDocument/2006/relationships/oleObject" Target="embeddings/oleObject158.bin"/><Relationship Id="rId233" Type="http://schemas.openxmlformats.org/officeDocument/2006/relationships/oleObject" Target="embeddings/oleObject157.bin"/><Relationship Id="rId232" Type="http://schemas.openxmlformats.org/officeDocument/2006/relationships/oleObject" Target="embeddings/oleObject156.bin"/><Relationship Id="rId231" Type="http://schemas.openxmlformats.org/officeDocument/2006/relationships/oleObject" Target="embeddings/oleObject155.bin"/><Relationship Id="rId230" Type="http://schemas.openxmlformats.org/officeDocument/2006/relationships/image" Target="media/image67.wmf"/><Relationship Id="rId23" Type="http://schemas.openxmlformats.org/officeDocument/2006/relationships/oleObject" Target="embeddings/oleObject8.bin"/><Relationship Id="rId229" Type="http://schemas.openxmlformats.org/officeDocument/2006/relationships/oleObject" Target="embeddings/oleObject154.bin"/><Relationship Id="rId228" Type="http://schemas.openxmlformats.org/officeDocument/2006/relationships/image" Target="media/image66.emf"/><Relationship Id="rId227" Type="http://schemas.openxmlformats.org/officeDocument/2006/relationships/oleObject" Target="embeddings/oleObject153.bin"/><Relationship Id="rId226" Type="http://schemas.openxmlformats.org/officeDocument/2006/relationships/oleObject" Target="embeddings/oleObject152.bin"/><Relationship Id="rId225" Type="http://schemas.openxmlformats.org/officeDocument/2006/relationships/oleObject" Target="embeddings/oleObject151.bin"/><Relationship Id="rId224" Type="http://schemas.openxmlformats.org/officeDocument/2006/relationships/oleObject" Target="embeddings/oleObject150.bin"/><Relationship Id="rId223" Type="http://schemas.openxmlformats.org/officeDocument/2006/relationships/oleObject" Target="embeddings/oleObject149.bin"/><Relationship Id="rId222" Type="http://schemas.openxmlformats.org/officeDocument/2006/relationships/oleObject" Target="embeddings/oleObject148.bin"/><Relationship Id="rId221" Type="http://schemas.openxmlformats.org/officeDocument/2006/relationships/oleObject" Target="embeddings/oleObject147.bin"/><Relationship Id="rId220" Type="http://schemas.openxmlformats.org/officeDocument/2006/relationships/oleObject" Target="embeddings/oleObject146.bin"/><Relationship Id="rId22" Type="http://schemas.openxmlformats.org/officeDocument/2006/relationships/image" Target="media/image7.wmf"/><Relationship Id="rId219" Type="http://schemas.openxmlformats.org/officeDocument/2006/relationships/oleObject" Target="embeddings/oleObject145.bin"/><Relationship Id="rId218" Type="http://schemas.openxmlformats.org/officeDocument/2006/relationships/oleObject" Target="embeddings/oleObject144.bin"/><Relationship Id="rId217" Type="http://schemas.openxmlformats.org/officeDocument/2006/relationships/oleObject" Target="embeddings/oleObject143.bin"/><Relationship Id="rId216" Type="http://schemas.openxmlformats.org/officeDocument/2006/relationships/oleObject" Target="embeddings/oleObject142.bin"/><Relationship Id="rId215" Type="http://schemas.openxmlformats.org/officeDocument/2006/relationships/oleObject" Target="embeddings/oleObject141.bin"/><Relationship Id="rId214" Type="http://schemas.openxmlformats.org/officeDocument/2006/relationships/oleObject" Target="embeddings/oleObject140.bin"/><Relationship Id="rId213" Type="http://schemas.openxmlformats.org/officeDocument/2006/relationships/oleObject" Target="embeddings/oleObject139.bin"/><Relationship Id="rId212" Type="http://schemas.openxmlformats.org/officeDocument/2006/relationships/chart" Target="charts/chart1.xml"/><Relationship Id="rId211" Type="http://schemas.openxmlformats.org/officeDocument/2006/relationships/oleObject" Target="embeddings/oleObject138.bin"/><Relationship Id="rId210" Type="http://schemas.openxmlformats.org/officeDocument/2006/relationships/image" Target="media/image65.wmf"/><Relationship Id="rId21" Type="http://schemas.openxmlformats.org/officeDocument/2006/relationships/oleObject" Target="embeddings/oleObject7.bin"/><Relationship Id="rId209" Type="http://schemas.openxmlformats.org/officeDocument/2006/relationships/oleObject" Target="embeddings/oleObject137.bin"/><Relationship Id="rId208" Type="http://schemas.openxmlformats.org/officeDocument/2006/relationships/oleObject" Target="embeddings/oleObject136.bin"/><Relationship Id="rId207" Type="http://schemas.openxmlformats.org/officeDocument/2006/relationships/image" Target="media/image64.wmf"/><Relationship Id="rId206" Type="http://schemas.openxmlformats.org/officeDocument/2006/relationships/oleObject" Target="embeddings/oleObject135.bin"/><Relationship Id="rId205" Type="http://schemas.openxmlformats.org/officeDocument/2006/relationships/image" Target="media/image63.wmf"/><Relationship Id="rId204" Type="http://schemas.openxmlformats.org/officeDocument/2006/relationships/oleObject" Target="embeddings/oleObject134.bin"/><Relationship Id="rId203" Type="http://schemas.openxmlformats.org/officeDocument/2006/relationships/image" Target="media/image62.wmf"/><Relationship Id="rId202" Type="http://schemas.openxmlformats.org/officeDocument/2006/relationships/oleObject" Target="embeddings/oleObject133.bin"/><Relationship Id="rId201" Type="http://schemas.openxmlformats.org/officeDocument/2006/relationships/image" Target="media/image61.wmf"/><Relationship Id="rId200" Type="http://schemas.openxmlformats.org/officeDocument/2006/relationships/oleObject" Target="embeddings/oleObject132.bin"/><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image" Target="media/image60.wmf"/><Relationship Id="rId198" Type="http://schemas.openxmlformats.org/officeDocument/2006/relationships/oleObject" Target="embeddings/oleObject131.bin"/><Relationship Id="rId197" Type="http://schemas.openxmlformats.org/officeDocument/2006/relationships/image" Target="media/image59.wmf"/><Relationship Id="rId196" Type="http://schemas.openxmlformats.org/officeDocument/2006/relationships/oleObject" Target="embeddings/oleObject130.bin"/><Relationship Id="rId195" Type="http://schemas.openxmlformats.org/officeDocument/2006/relationships/image" Target="media/image58.wmf"/><Relationship Id="rId194" Type="http://schemas.openxmlformats.org/officeDocument/2006/relationships/oleObject" Target="embeddings/oleObject129.bin"/><Relationship Id="rId193" Type="http://schemas.openxmlformats.org/officeDocument/2006/relationships/image" Target="media/image57.wmf"/><Relationship Id="rId192" Type="http://schemas.openxmlformats.org/officeDocument/2006/relationships/oleObject" Target="embeddings/oleObject128.bin"/><Relationship Id="rId191" Type="http://schemas.openxmlformats.org/officeDocument/2006/relationships/image" Target="media/image56.wmf"/><Relationship Id="rId190" Type="http://schemas.openxmlformats.org/officeDocument/2006/relationships/oleObject" Target="embeddings/oleObject127.bin"/><Relationship Id="rId19" Type="http://schemas.openxmlformats.org/officeDocument/2006/relationships/oleObject" Target="embeddings/oleObject6.bin"/><Relationship Id="rId189" Type="http://schemas.openxmlformats.org/officeDocument/2006/relationships/image" Target="media/image55.wmf"/><Relationship Id="rId188" Type="http://schemas.openxmlformats.org/officeDocument/2006/relationships/oleObject" Target="embeddings/oleObject126.bin"/><Relationship Id="rId187" Type="http://schemas.openxmlformats.org/officeDocument/2006/relationships/image" Target="media/image54.wmf"/><Relationship Id="rId186" Type="http://schemas.openxmlformats.org/officeDocument/2006/relationships/oleObject" Target="embeddings/oleObject125.bin"/><Relationship Id="rId185" Type="http://schemas.openxmlformats.org/officeDocument/2006/relationships/oleObject" Target="embeddings/oleObject124.bin"/><Relationship Id="rId184" Type="http://schemas.openxmlformats.org/officeDocument/2006/relationships/oleObject" Target="embeddings/oleObject123.bin"/><Relationship Id="rId183" Type="http://schemas.openxmlformats.org/officeDocument/2006/relationships/oleObject" Target="embeddings/oleObject122.bin"/><Relationship Id="rId182" Type="http://schemas.openxmlformats.org/officeDocument/2006/relationships/oleObject" Target="embeddings/oleObject121.bin"/><Relationship Id="rId181" Type="http://schemas.openxmlformats.org/officeDocument/2006/relationships/oleObject" Target="embeddings/oleObject120.bin"/><Relationship Id="rId180" Type="http://schemas.openxmlformats.org/officeDocument/2006/relationships/oleObject" Target="embeddings/oleObject119.bin"/><Relationship Id="rId18" Type="http://schemas.openxmlformats.org/officeDocument/2006/relationships/image" Target="media/image5.wmf"/><Relationship Id="rId179" Type="http://schemas.openxmlformats.org/officeDocument/2006/relationships/oleObject" Target="embeddings/oleObject118.bin"/><Relationship Id="rId178" Type="http://schemas.openxmlformats.org/officeDocument/2006/relationships/oleObject" Target="embeddings/oleObject117.bin"/><Relationship Id="rId177" Type="http://schemas.openxmlformats.org/officeDocument/2006/relationships/oleObject" Target="embeddings/oleObject116.bin"/><Relationship Id="rId176" Type="http://schemas.openxmlformats.org/officeDocument/2006/relationships/oleObject" Target="embeddings/oleObject115.bin"/><Relationship Id="rId175" Type="http://schemas.openxmlformats.org/officeDocument/2006/relationships/oleObject" Target="embeddings/oleObject114.bin"/><Relationship Id="rId174" Type="http://schemas.openxmlformats.org/officeDocument/2006/relationships/oleObject" Target="embeddings/oleObject113.bin"/><Relationship Id="rId173" Type="http://schemas.openxmlformats.org/officeDocument/2006/relationships/oleObject" Target="embeddings/oleObject112.bin"/><Relationship Id="rId172" Type="http://schemas.openxmlformats.org/officeDocument/2006/relationships/oleObject" Target="embeddings/oleObject111.bin"/><Relationship Id="rId171" Type="http://schemas.openxmlformats.org/officeDocument/2006/relationships/image" Target="media/image53.wmf"/><Relationship Id="rId170" Type="http://schemas.openxmlformats.org/officeDocument/2006/relationships/oleObject" Target="embeddings/oleObject110.bin"/><Relationship Id="rId17" Type="http://schemas.openxmlformats.org/officeDocument/2006/relationships/oleObject" Target="embeddings/oleObject5.bin"/><Relationship Id="rId169" Type="http://schemas.openxmlformats.org/officeDocument/2006/relationships/image" Target="media/image52.wmf"/><Relationship Id="rId168" Type="http://schemas.openxmlformats.org/officeDocument/2006/relationships/oleObject" Target="embeddings/oleObject109.bin"/><Relationship Id="rId167" Type="http://schemas.openxmlformats.org/officeDocument/2006/relationships/image" Target="media/image51.wmf"/><Relationship Id="rId166" Type="http://schemas.openxmlformats.org/officeDocument/2006/relationships/oleObject" Target="embeddings/oleObject108.bin"/><Relationship Id="rId165" Type="http://schemas.openxmlformats.org/officeDocument/2006/relationships/image" Target="media/image50.wmf"/><Relationship Id="rId164" Type="http://schemas.openxmlformats.org/officeDocument/2006/relationships/oleObject" Target="embeddings/oleObject107.bin"/><Relationship Id="rId163" Type="http://schemas.openxmlformats.org/officeDocument/2006/relationships/image" Target="media/image49.wmf"/><Relationship Id="rId162" Type="http://schemas.openxmlformats.org/officeDocument/2006/relationships/oleObject" Target="embeddings/oleObject106.bin"/><Relationship Id="rId161" Type="http://schemas.openxmlformats.org/officeDocument/2006/relationships/oleObject" Target="embeddings/oleObject105.bin"/><Relationship Id="rId160" Type="http://schemas.openxmlformats.org/officeDocument/2006/relationships/oleObject" Target="embeddings/oleObject104.bin"/><Relationship Id="rId16" Type="http://schemas.openxmlformats.org/officeDocument/2006/relationships/image" Target="media/image4.wmf"/><Relationship Id="rId159" Type="http://schemas.openxmlformats.org/officeDocument/2006/relationships/oleObject" Target="embeddings/oleObject103.bin"/><Relationship Id="rId158" Type="http://schemas.openxmlformats.org/officeDocument/2006/relationships/oleObject" Target="embeddings/oleObject102.bin"/><Relationship Id="rId157" Type="http://schemas.openxmlformats.org/officeDocument/2006/relationships/oleObject" Target="embeddings/oleObject101.bin"/><Relationship Id="rId156" Type="http://schemas.openxmlformats.org/officeDocument/2006/relationships/oleObject" Target="embeddings/oleObject100.bin"/><Relationship Id="rId155" Type="http://schemas.openxmlformats.org/officeDocument/2006/relationships/oleObject" Target="embeddings/oleObject99.bin"/><Relationship Id="rId154" Type="http://schemas.openxmlformats.org/officeDocument/2006/relationships/oleObject" Target="embeddings/oleObject98.bin"/><Relationship Id="rId153" Type="http://schemas.openxmlformats.org/officeDocument/2006/relationships/oleObject" Target="embeddings/oleObject97.bin"/><Relationship Id="rId152" Type="http://schemas.openxmlformats.org/officeDocument/2006/relationships/oleObject" Target="embeddings/oleObject96.bin"/><Relationship Id="rId151" Type="http://schemas.openxmlformats.org/officeDocument/2006/relationships/oleObject" Target="embeddings/oleObject95.bin"/><Relationship Id="rId150" Type="http://schemas.openxmlformats.org/officeDocument/2006/relationships/oleObject" Target="embeddings/oleObject94.bin"/><Relationship Id="rId15" Type="http://schemas.openxmlformats.org/officeDocument/2006/relationships/oleObject" Target="embeddings/oleObject4.bin"/><Relationship Id="rId149" Type="http://schemas.openxmlformats.org/officeDocument/2006/relationships/oleObject" Target="embeddings/oleObject93.bin"/><Relationship Id="rId148" Type="http://schemas.openxmlformats.org/officeDocument/2006/relationships/oleObject" Target="embeddings/oleObject92.bin"/><Relationship Id="rId147" Type="http://schemas.openxmlformats.org/officeDocument/2006/relationships/oleObject" Target="embeddings/oleObject91.bin"/><Relationship Id="rId146" Type="http://schemas.openxmlformats.org/officeDocument/2006/relationships/oleObject" Target="embeddings/oleObject90.bin"/><Relationship Id="rId145" Type="http://schemas.openxmlformats.org/officeDocument/2006/relationships/oleObject" Target="embeddings/oleObject89.bin"/><Relationship Id="rId144" Type="http://schemas.openxmlformats.org/officeDocument/2006/relationships/oleObject" Target="embeddings/oleObject88.bin"/><Relationship Id="rId143" Type="http://schemas.openxmlformats.org/officeDocument/2006/relationships/oleObject" Target="embeddings/oleObject87.bin"/><Relationship Id="rId142" Type="http://schemas.openxmlformats.org/officeDocument/2006/relationships/image" Target="media/image48.png"/><Relationship Id="rId141" Type="http://schemas.openxmlformats.org/officeDocument/2006/relationships/oleObject" Target="embeddings/oleObject86.bin"/><Relationship Id="rId140" Type="http://schemas.openxmlformats.org/officeDocument/2006/relationships/oleObject" Target="embeddings/oleObject85.bin"/><Relationship Id="rId14" Type="http://schemas.openxmlformats.org/officeDocument/2006/relationships/image" Target="media/image3.wmf"/><Relationship Id="rId139" Type="http://schemas.openxmlformats.org/officeDocument/2006/relationships/oleObject" Target="embeddings/oleObject84.bin"/><Relationship Id="rId138" Type="http://schemas.openxmlformats.org/officeDocument/2006/relationships/oleObject" Target="embeddings/oleObject83.bin"/><Relationship Id="rId137" Type="http://schemas.openxmlformats.org/officeDocument/2006/relationships/oleObject" Target="embeddings/oleObject82.bin"/><Relationship Id="rId136" Type="http://schemas.openxmlformats.org/officeDocument/2006/relationships/oleObject" Target="embeddings/oleObject81.bin"/><Relationship Id="rId135" Type="http://schemas.openxmlformats.org/officeDocument/2006/relationships/oleObject" Target="embeddings/oleObject80.bin"/><Relationship Id="rId134" Type="http://schemas.openxmlformats.org/officeDocument/2006/relationships/image" Target="media/image47.wmf"/><Relationship Id="rId133" Type="http://schemas.openxmlformats.org/officeDocument/2006/relationships/oleObject" Target="embeddings/oleObject79.bin"/><Relationship Id="rId132" Type="http://schemas.openxmlformats.org/officeDocument/2006/relationships/image" Target="media/image46.wmf"/><Relationship Id="rId131" Type="http://schemas.openxmlformats.org/officeDocument/2006/relationships/oleObject" Target="embeddings/oleObject78.bin"/><Relationship Id="rId130" Type="http://schemas.openxmlformats.org/officeDocument/2006/relationships/image" Target="media/image45.wmf"/><Relationship Id="rId13" Type="http://schemas.openxmlformats.org/officeDocument/2006/relationships/oleObject" Target="embeddings/oleObject3.bin"/><Relationship Id="rId129" Type="http://schemas.openxmlformats.org/officeDocument/2006/relationships/oleObject" Target="embeddings/oleObject77.bin"/><Relationship Id="rId128" Type="http://schemas.openxmlformats.org/officeDocument/2006/relationships/image" Target="media/image44.wmf"/><Relationship Id="rId127" Type="http://schemas.openxmlformats.org/officeDocument/2006/relationships/oleObject" Target="embeddings/oleObject76.bin"/><Relationship Id="rId126" Type="http://schemas.openxmlformats.org/officeDocument/2006/relationships/image" Target="media/image43.wmf"/><Relationship Id="rId125" Type="http://schemas.openxmlformats.org/officeDocument/2006/relationships/oleObject" Target="embeddings/oleObject75.bin"/><Relationship Id="rId124" Type="http://schemas.openxmlformats.org/officeDocument/2006/relationships/image" Target="media/image42.wmf"/><Relationship Id="rId123" Type="http://schemas.openxmlformats.org/officeDocument/2006/relationships/oleObject" Target="embeddings/oleObject74.bin"/><Relationship Id="rId122" Type="http://schemas.openxmlformats.org/officeDocument/2006/relationships/image" Target="media/image41.wmf"/><Relationship Id="rId121" Type="http://schemas.openxmlformats.org/officeDocument/2006/relationships/oleObject" Target="embeddings/oleObject73.bin"/><Relationship Id="rId120" Type="http://schemas.openxmlformats.org/officeDocument/2006/relationships/image" Target="media/image40.wmf"/><Relationship Id="rId12" Type="http://schemas.openxmlformats.org/officeDocument/2006/relationships/image" Target="media/image2.wmf"/><Relationship Id="rId119" Type="http://schemas.openxmlformats.org/officeDocument/2006/relationships/oleObject" Target="embeddings/oleObject72.bin"/><Relationship Id="rId118" Type="http://schemas.openxmlformats.org/officeDocument/2006/relationships/image" Target="media/image39.wmf"/><Relationship Id="rId117" Type="http://schemas.openxmlformats.org/officeDocument/2006/relationships/oleObject" Target="embeddings/oleObject71.bin"/><Relationship Id="rId116" Type="http://schemas.openxmlformats.org/officeDocument/2006/relationships/image" Target="media/image38.wmf"/><Relationship Id="rId115" Type="http://schemas.openxmlformats.org/officeDocument/2006/relationships/oleObject" Target="embeddings/oleObject70.bin"/><Relationship Id="rId114" Type="http://schemas.openxmlformats.org/officeDocument/2006/relationships/image" Target="media/image37.wmf"/><Relationship Id="rId113" Type="http://schemas.openxmlformats.org/officeDocument/2006/relationships/oleObject" Target="embeddings/oleObject69.bin"/><Relationship Id="rId112" Type="http://schemas.openxmlformats.org/officeDocument/2006/relationships/image" Target="media/image36.wmf"/><Relationship Id="rId111" Type="http://schemas.openxmlformats.org/officeDocument/2006/relationships/oleObject" Target="embeddings/oleObject68.bin"/><Relationship Id="rId110" Type="http://schemas.openxmlformats.org/officeDocument/2006/relationships/image" Target="media/image35.wmf"/><Relationship Id="rId11" Type="http://schemas.openxmlformats.org/officeDocument/2006/relationships/oleObject" Target="embeddings/oleObject2.bin"/><Relationship Id="rId109" Type="http://schemas.openxmlformats.org/officeDocument/2006/relationships/oleObject" Target="embeddings/oleObject67.bin"/><Relationship Id="rId108" Type="http://schemas.openxmlformats.org/officeDocument/2006/relationships/oleObject" Target="embeddings/oleObject66.bin"/><Relationship Id="rId107" Type="http://schemas.openxmlformats.org/officeDocument/2006/relationships/oleObject" Target="embeddings/oleObject65.bin"/><Relationship Id="rId106" Type="http://schemas.openxmlformats.org/officeDocument/2006/relationships/oleObject" Target="embeddings/oleObject64.bin"/><Relationship Id="rId105" Type="http://schemas.openxmlformats.org/officeDocument/2006/relationships/oleObject" Target="embeddings/oleObject63.bin"/><Relationship Id="rId104" Type="http://schemas.openxmlformats.org/officeDocument/2006/relationships/image" Target="media/image34.wmf"/><Relationship Id="rId103" Type="http://schemas.openxmlformats.org/officeDocument/2006/relationships/oleObject" Target="embeddings/oleObject62.bin"/><Relationship Id="rId102" Type="http://schemas.openxmlformats.org/officeDocument/2006/relationships/oleObject" Target="embeddings/oleObject61.bin"/><Relationship Id="rId101" Type="http://schemas.openxmlformats.org/officeDocument/2006/relationships/oleObject" Target="embeddings/oleObject60.bin"/><Relationship Id="rId100" Type="http://schemas.openxmlformats.org/officeDocument/2006/relationships/oleObject" Target="embeddings/oleObject59.bin"/><Relationship Id="rId10" Type="http://schemas.openxmlformats.org/officeDocument/2006/relationships/image" Target="media/image1.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27605;&#19994;&#35770;&#25991;&#21442;&#32771;&#25991;&#29486;\&#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02222222222223"/>
          <c:y val="0.179861111111111"/>
          <c:w val="0.893388888888889"/>
          <c:h val="0.772685185185186"/>
        </c:manualLayout>
      </c:layout>
      <c:lineChart>
        <c:grouping val="standard"/>
        <c:varyColors val="0"/>
        <c:ser>
          <c:idx val="0"/>
          <c:order val="0"/>
          <c:spPr>
            <a:ln w="28575" cap="rnd" cmpd="sng" algn="ctr">
              <a:solidFill>
                <a:schemeClr val="accent1"/>
              </a:solidFill>
              <a:prstDash val="solid"/>
              <a:round/>
            </a:ln>
            <a:effectLst/>
          </c:spPr>
          <c:marker>
            <c:symbol val="none"/>
          </c:marker>
          <c:dLbls>
            <c:delete val="1"/>
          </c:dLbls>
          <c:cat>
            <c:numRef>
              <c:f>[工作簿1.xlsx]Sheet1!$K$20:$K$48</c:f>
              <c:numCache>
                <c:formatCode>General</c:formatCode>
                <c:ptCount val="29"/>
                <c:pt idx="0">
                  <c:v>0.1</c:v>
                </c:pt>
                <c:pt idx="1">
                  <c:v>0.2</c:v>
                </c:pt>
                <c:pt idx="2">
                  <c:v>0.3</c:v>
                </c:pt>
                <c:pt idx="3">
                  <c:v>0.4</c:v>
                </c:pt>
                <c:pt idx="4">
                  <c:v>0.5</c:v>
                </c:pt>
                <c:pt idx="5">
                  <c:v>0.6</c:v>
                </c:pt>
                <c:pt idx="6">
                  <c:v>0.7</c:v>
                </c:pt>
                <c:pt idx="7">
                  <c:v>0.8</c:v>
                </c:pt>
                <c:pt idx="8">
                  <c:v>0.9</c:v>
                </c:pt>
                <c:pt idx="9">
                  <c:v>1</c:v>
                </c:pt>
                <c:pt idx="10">
                  <c:v>1.1</c:v>
                </c:pt>
                <c:pt idx="11">
                  <c:v>1.2</c:v>
                </c:pt>
                <c:pt idx="12">
                  <c:v>1.3</c:v>
                </c:pt>
                <c:pt idx="13">
                  <c:v>1.4</c:v>
                </c:pt>
                <c:pt idx="14">
                  <c:v>1.5</c:v>
                </c:pt>
                <c:pt idx="15">
                  <c:v>1.6</c:v>
                </c:pt>
                <c:pt idx="16">
                  <c:v>1.7</c:v>
                </c:pt>
                <c:pt idx="17">
                  <c:v>1.8</c:v>
                </c:pt>
                <c:pt idx="18">
                  <c:v>1.9</c:v>
                </c:pt>
                <c:pt idx="19">
                  <c:v>2</c:v>
                </c:pt>
                <c:pt idx="20">
                  <c:v>2.1</c:v>
                </c:pt>
                <c:pt idx="21">
                  <c:v>2.2</c:v>
                </c:pt>
                <c:pt idx="22">
                  <c:v>2.3</c:v>
                </c:pt>
                <c:pt idx="23">
                  <c:v>2.4</c:v>
                </c:pt>
                <c:pt idx="24">
                  <c:v>2.5</c:v>
                </c:pt>
                <c:pt idx="25">
                  <c:v>2.6</c:v>
                </c:pt>
                <c:pt idx="26">
                  <c:v>2.7</c:v>
                </c:pt>
                <c:pt idx="27">
                  <c:v>2.8</c:v>
                </c:pt>
                <c:pt idx="28">
                  <c:v>2.9</c:v>
                </c:pt>
              </c:numCache>
            </c:numRef>
          </c:cat>
          <c:val>
            <c:numRef>
              <c:f>[工作簿1.xlsx]Sheet1!$M$20:$M$48</c:f>
              <c:numCache>
                <c:formatCode>General</c:formatCode>
                <c:ptCount val="29"/>
                <c:pt idx="0">
                  <c:v>-88.4035714285714</c:v>
                </c:pt>
                <c:pt idx="1">
                  <c:v>-77.4857142857143</c:v>
                </c:pt>
                <c:pt idx="2">
                  <c:v>-76.1285714285713</c:v>
                </c:pt>
                <c:pt idx="3">
                  <c:v>-60.7428571428571</c:v>
                </c:pt>
                <c:pt idx="4">
                  <c:v>-3.91428571428571</c:v>
                </c:pt>
                <c:pt idx="5">
                  <c:v>9.9</c:v>
                </c:pt>
                <c:pt idx="6">
                  <c:v>9.9</c:v>
                </c:pt>
                <c:pt idx="7">
                  <c:v>13.5</c:v>
                </c:pt>
                <c:pt idx="8">
                  <c:v>-9.5</c:v>
                </c:pt>
                <c:pt idx="9">
                  <c:v>-9.5</c:v>
                </c:pt>
                <c:pt idx="10">
                  <c:v>-108.364285714286</c:v>
                </c:pt>
                <c:pt idx="11">
                  <c:v>-83.1785714285713</c:v>
                </c:pt>
                <c:pt idx="12">
                  <c:v>-64.25</c:v>
                </c:pt>
                <c:pt idx="13">
                  <c:v>-77.6678571428571</c:v>
                </c:pt>
                <c:pt idx="14">
                  <c:v>-74.7928571428571</c:v>
                </c:pt>
                <c:pt idx="15">
                  <c:v>-31.2928571428571</c:v>
                </c:pt>
                <c:pt idx="16">
                  <c:v>-54.5464285714286</c:v>
                </c:pt>
                <c:pt idx="17">
                  <c:v>-69.5357142857143</c:v>
                </c:pt>
                <c:pt idx="18">
                  <c:v>-56.6892857142857</c:v>
                </c:pt>
                <c:pt idx="19">
                  <c:v>-61.2214285714286</c:v>
                </c:pt>
                <c:pt idx="20">
                  <c:v>-55.3035714285714</c:v>
                </c:pt>
                <c:pt idx="21">
                  <c:v>-21.5392857142857</c:v>
                </c:pt>
                <c:pt idx="22">
                  <c:v>-48.9678571428571</c:v>
                </c:pt>
                <c:pt idx="23">
                  <c:v>-40.8071428571429</c:v>
                </c:pt>
                <c:pt idx="24">
                  <c:v>-48.2357142857143</c:v>
                </c:pt>
                <c:pt idx="25">
                  <c:v>-23.4214285714286</c:v>
                </c:pt>
                <c:pt idx="26">
                  <c:v>-21.1857142857143</c:v>
                </c:pt>
                <c:pt idx="27">
                  <c:v>-13.2</c:v>
                </c:pt>
                <c:pt idx="28">
                  <c:v>-20.0071428571429</c:v>
                </c:pt>
              </c:numCache>
            </c:numRef>
          </c:val>
          <c:smooth val="0"/>
        </c:ser>
        <c:dLbls>
          <c:showLegendKey val="0"/>
          <c:showVal val="0"/>
          <c:showCatName val="0"/>
          <c:showSerName val="0"/>
          <c:showPercent val="0"/>
          <c:showBubbleSize val="0"/>
        </c:dLbls>
        <c:marker val="0"/>
        <c:smooth val="0"/>
        <c:axId val="164510336"/>
        <c:axId val="164512128"/>
      </c:lineChart>
      <c:catAx>
        <c:axId val="164510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512128"/>
        <c:crosses val="autoZero"/>
        <c:auto val="1"/>
        <c:lblAlgn val="ctr"/>
        <c:lblOffset val="100"/>
        <c:noMultiLvlLbl val="0"/>
      </c:catAx>
      <c:valAx>
        <c:axId val="1645121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51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8B7B55-CA19-4531-9303-095FB336B974}">
  <ds:schemaRefs/>
</ds:datastoreItem>
</file>

<file path=docProps/app.xml><?xml version="1.0" encoding="utf-8"?>
<Properties xmlns="http://schemas.openxmlformats.org/officeDocument/2006/extended-properties" xmlns:vt="http://schemas.openxmlformats.org/officeDocument/2006/docPropsVTypes">
  <Template>Normal.dotm</Template>
  <Pages>47</Pages>
  <Words>6962</Words>
  <Characters>39690</Characters>
  <Lines>330</Lines>
  <Paragraphs>93</Paragraphs>
  <TotalTime>1</TotalTime>
  <ScaleCrop>false</ScaleCrop>
  <LinksUpToDate>false</LinksUpToDate>
  <CharactersWithSpaces>46559</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2021-03-02T09:14:00Z</dcterms:created>
  <dc:creator>索菲娅</dc:creator>
  <cp:lastModifiedBy>szy</cp:lastModifiedBy>
  <dcterms:modified xsi:type="dcterms:W3CDTF">2021-03-20T11:52:49Z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