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400" w:rsidRDefault="00C64B37">
      <w:pPr>
        <w:spacing w:line="360" w:lineRule="auto"/>
        <w:jc w:val="center"/>
        <w:rPr>
          <w:rFonts w:ascii="宋体" w:hAnsi="宋体"/>
          <w:sz w:val="32"/>
          <w:szCs w:val="32"/>
        </w:rPr>
      </w:pPr>
      <w:r>
        <w:rPr>
          <w:rFonts w:ascii="宋体" w:hAnsi="宋体" w:hint="eastAsia"/>
          <w:sz w:val="32"/>
          <w:szCs w:val="32"/>
        </w:rPr>
        <w:t>中国</w:t>
      </w:r>
      <w:r w:rsidRPr="00BC1C0D">
        <w:rPr>
          <w:rFonts w:ascii="宋体" w:hAnsi="宋体" w:hint="eastAsia"/>
          <w:sz w:val="32"/>
          <w:szCs w:val="32"/>
          <w:highlight w:val="yellow"/>
        </w:rPr>
        <w:t>银行业</w:t>
      </w:r>
      <w:r>
        <w:rPr>
          <w:rFonts w:ascii="宋体" w:hAnsi="宋体" w:hint="eastAsia"/>
          <w:sz w:val="32"/>
          <w:szCs w:val="32"/>
        </w:rPr>
        <w:t>行业分析报告</w:t>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由于宏观经济环境对所有行业都或多或少的影响，对作为一个</w:t>
      </w:r>
      <w:r w:rsidRPr="00BC1C0D">
        <w:rPr>
          <w:rFonts w:ascii="宋体" w:hAnsi="宋体" w:hint="eastAsia"/>
          <w:szCs w:val="21"/>
          <w:highlight w:val="yellow"/>
        </w:rPr>
        <w:t>经济体的核心行业银行业</w:t>
      </w:r>
      <w:r>
        <w:rPr>
          <w:rFonts w:ascii="宋体" w:hAnsi="宋体" w:hint="eastAsia"/>
          <w:szCs w:val="21"/>
        </w:rPr>
        <w:t>影响会更大，所以本文首先从我国宏观环境来分析商业银行目前所处的经营环境，然后再分析商业银行业自身的发展及未来前景。对于商业银行业自身的发展分析主要从商业银行的几个经营指标来进行分析。</w:t>
      </w:r>
    </w:p>
    <w:p w:rsidR="00167400" w:rsidRDefault="00C64B37">
      <w:pPr>
        <w:numPr>
          <w:ilvl w:val="0"/>
          <w:numId w:val="2"/>
        </w:numPr>
        <w:spacing w:line="360" w:lineRule="auto"/>
        <w:rPr>
          <w:rFonts w:ascii="宋体" w:hAnsi="宋体"/>
          <w:szCs w:val="21"/>
        </w:rPr>
      </w:pPr>
      <w:r>
        <w:rPr>
          <w:rFonts w:ascii="宋体" w:hAnsi="宋体" w:hint="eastAsia"/>
          <w:szCs w:val="21"/>
        </w:rPr>
        <w:t>我国</w:t>
      </w:r>
      <w:r w:rsidRPr="00BC1C0D">
        <w:rPr>
          <w:rFonts w:ascii="宋体" w:hAnsi="宋体" w:hint="eastAsia"/>
          <w:szCs w:val="21"/>
          <w:highlight w:val="yellow"/>
        </w:rPr>
        <w:t>银行业经营环境</w:t>
      </w:r>
      <w:r>
        <w:rPr>
          <w:rFonts w:ascii="宋体" w:hAnsi="宋体" w:hint="eastAsia"/>
          <w:szCs w:val="21"/>
        </w:rPr>
        <w:t>分析</w:t>
      </w:r>
    </w:p>
    <w:p w:rsidR="00167400" w:rsidRDefault="00C64B37">
      <w:pPr>
        <w:spacing w:line="360" w:lineRule="auto"/>
        <w:ind w:firstLineChars="200" w:firstLine="420"/>
        <w:rPr>
          <w:rFonts w:ascii="宋体" w:hAnsi="宋体"/>
          <w:szCs w:val="21"/>
        </w:rPr>
      </w:pPr>
      <w:r>
        <w:rPr>
          <w:rFonts w:ascii="宋体" w:hAnsi="宋体" w:hint="eastAsia"/>
          <w:szCs w:val="21"/>
        </w:rPr>
        <w:t xml:space="preserve">2018 </w:t>
      </w:r>
      <w:r>
        <w:rPr>
          <w:rFonts w:ascii="宋体" w:hAnsi="宋体" w:hint="eastAsia"/>
          <w:szCs w:val="21"/>
        </w:rPr>
        <w:t>年以来，全球经济总体延续复苏态势，但外部环境发生明显变化，不确定因素增多。中国经济保持较强韧性，但在新旧动能转换阶段，长期积累的风险隐患暴露增多，小微企业、民营企业融资难问题较为突出，经济面临下行压力。然而经营环</w:t>
      </w:r>
      <w:r>
        <w:rPr>
          <w:rFonts w:ascii="宋体" w:hAnsi="宋体" w:hint="eastAsia"/>
          <w:szCs w:val="21"/>
        </w:rPr>
        <w:t>境直接影响银行业的经营业绩，对银行业经营环境主要从以下内容进行分析：整体经济形势、金融政策、金融形势等。</w:t>
      </w:r>
    </w:p>
    <w:p w:rsidR="00167400" w:rsidRPr="00BC1C0D" w:rsidRDefault="00C64B37">
      <w:pPr>
        <w:numPr>
          <w:ilvl w:val="0"/>
          <w:numId w:val="6"/>
        </w:numPr>
        <w:spacing w:line="360" w:lineRule="auto"/>
        <w:rPr>
          <w:rFonts w:ascii="宋体" w:hAnsi="宋体"/>
          <w:szCs w:val="21"/>
          <w:u w:val="single"/>
        </w:rPr>
      </w:pPr>
      <w:r w:rsidRPr="00BC1C0D">
        <w:rPr>
          <w:rFonts w:ascii="宋体" w:hAnsi="宋体" w:hint="eastAsia"/>
          <w:szCs w:val="21"/>
          <w:u w:val="single"/>
        </w:rPr>
        <w:t>整体经济形势（经济环境）</w:t>
      </w:r>
    </w:p>
    <w:p w:rsidR="00167400" w:rsidRDefault="00C64B37">
      <w:pPr>
        <w:pStyle w:val="a3"/>
        <w:widowControl/>
        <w:shd w:val="clear" w:color="auto" w:fill="FFFFFF"/>
        <w:spacing w:beforeAutospacing="0" w:afterAutospacing="0" w:line="360" w:lineRule="auto"/>
        <w:ind w:firstLineChars="200" w:firstLine="420"/>
        <w:jc w:val="both"/>
        <w:rPr>
          <w:rFonts w:ascii="宋体" w:hAnsi="宋体"/>
          <w:kern w:val="2"/>
          <w:sz w:val="21"/>
          <w:szCs w:val="21"/>
        </w:rPr>
      </w:pPr>
      <w:r>
        <w:rPr>
          <w:rFonts w:ascii="宋体" w:hAnsi="宋体" w:hint="eastAsia"/>
          <w:kern w:val="2"/>
          <w:sz w:val="21"/>
          <w:szCs w:val="21"/>
        </w:rPr>
        <w:t>2018</w:t>
      </w:r>
      <w:r>
        <w:rPr>
          <w:rFonts w:ascii="宋体" w:hAnsi="宋体" w:hint="eastAsia"/>
          <w:kern w:val="2"/>
          <w:sz w:val="21"/>
          <w:szCs w:val="21"/>
        </w:rPr>
        <w:t>年国内生产总值为</w:t>
      </w:r>
      <w:r>
        <w:rPr>
          <w:rFonts w:ascii="宋体" w:hAnsi="宋体" w:hint="eastAsia"/>
          <w:kern w:val="2"/>
          <w:sz w:val="21"/>
          <w:szCs w:val="21"/>
        </w:rPr>
        <w:t>900309</w:t>
      </w:r>
      <w:r>
        <w:rPr>
          <w:rFonts w:ascii="宋体" w:hAnsi="宋体" w:hint="eastAsia"/>
          <w:kern w:val="2"/>
          <w:sz w:val="21"/>
          <w:szCs w:val="21"/>
        </w:rPr>
        <w:t>亿元，比上年同比增长</w:t>
      </w:r>
      <w:r>
        <w:rPr>
          <w:rFonts w:ascii="宋体" w:hAnsi="宋体" w:hint="eastAsia"/>
          <w:kern w:val="2"/>
          <w:sz w:val="21"/>
          <w:szCs w:val="21"/>
        </w:rPr>
        <w:t xml:space="preserve">6.6% </w:t>
      </w:r>
      <w:r>
        <w:rPr>
          <w:rFonts w:ascii="宋体" w:hAnsi="宋体" w:hint="eastAsia"/>
          <w:kern w:val="2"/>
          <w:sz w:val="21"/>
          <w:szCs w:val="21"/>
        </w:rPr>
        <w:t>。分季度看，一季度同比增长</w:t>
      </w:r>
      <w:r>
        <w:rPr>
          <w:rFonts w:ascii="宋体" w:hAnsi="宋体" w:hint="eastAsia"/>
          <w:kern w:val="2"/>
          <w:sz w:val="21"/>
          <w:szCs w:val="21"/>
        </w:rPr>
        <w:t>6.8%</w:t>
      </w:r>
      <w:r>
        <w:rPr>
          <w:rFonts w:ascii="宋体" w:hAnsi="宋体" w:hint="eastAsia"/>
          <w:kern w:val="2"/>
          <w:sz w:val="21"/>
          <w:szCs w:val="21"/>
        </w:rPr>
        <w:t>，二季度增长</w:t>
      </w:r>
      <w:r>
        <w:rPr>
          <w:rFonts w:ascii="宋体" w:hAnsi="宋体" w:hint="eastAsia"/>
          <w:kern w:val="2"/>
          <w:sz w:val="21"/>
          <w:szCs w:val="21"/>
        </w:rPr>
        <w:t>6.7%</w:t>
      </w:r>
      <w:r>
        <w:rPr>
          <w:rFonts w:ascii="宋体" w:hAnsi="宋体" w:hint="eastAsia"/>
          <w:kern w:val="2"/>
          <w:sz w:val="21"/>
          <w:szCs w:val="21"/>
        </w:rPr>
        <w:t>，三季度增长</w:t>
      </w:r>
      <w:r>
        <w:rPr>
          <w:rFonts w:ascii="宋体" w:hAnsi="宋体" w:hint="eastAsia"/>
          <w:kern w:val="2"/>
          <w:sz w:val="21"/>
          <w:szCs w:val="21"/>
        </w:rPr>
        <w:t>6.5%</w:t>
      </w:r>
      <w:r>
        <w:rPr>
          <w:rFonts w:ascii="宋体" w:hAnsi="宋体" w:hint="eastAsia"/>
          <w:kern w:val="2"/>
          <w:sz w:val="21"/>
          <w:szCs w:val="21"/>
        </w:rPr>
        <w:t>，四季度增长</w:t>
      </w:r>
      <w:r>
        <w:rPr>
          <w:rFonts w:ascii="宋体" w:hAnsi="宋体" w:hint="eastAsia"/>
          <w:kern w:val="2"/>
          <w:sz w:val="21"/>
          <w:szCs w:val="21"/>
        </w:rPr>
        <w:t>6.4%</w:t>
      </w:r>
      <w:r>
        <w:rPr>
          <w:rFonts w:ascii="宋体" w:hAnsi="宋体" w:hint="eastAsia"/>
          <w:kern w:val="2"/>
          <w:sz w:val="21"/>
          <w:szCs w:val="21"/>
        </w:rPr>
        <w:t>，呈现出小幅度下降的状态。分产业看，</w:t>
      </w:r>
      <w:r w:rsidRPr="00FB76C5">
        <w:rPr>
          <w:rFonts w:ascii="宋体" w:hAnsi="宋体" w:hint="eastAsia"/>
          <w:kern w:val="2"/>
          <w:sz w:val="21"/>
          <w:szCs w:val="21"/>
          <w:highlight w:val="yellow"/>
        </w:rPr>
        <w:t>第一产业增加值</w:t>
      </w:r>
      <w:r>
        <w:rPr>
          <w:rFonts w:ascii="宋体" w:hAnsi="宋体" w:hint="eastAsia"/>
          <w:kern w:val="2"/>
          <w:sz w:val="21"/>
          <w:szCs w:val="21"/>
        </w:rPr>
        <w:t>64734</w:t>
      </w:r>
      <w:r>
        <w:rPr>
          <w:rFonts w:ascii="宋体" w:hAnsi="宋体" w:hint="eastAsia"/>
          <w:kern w:val="2"/>
          <w:sz w:val="21"/>
          <w:szCs w:val="21"/>
        </w:rPr>
        <w:t>亿元，比上年增长</w:t>
      </w:r>
      <w:r>
        <w:rPr>
          <w:rFonts w:ascii="宋体" w:hAnsi="宋体" w:hint="eastAsia"/>
          <w:kern w:val="2"/>
          <w:sz w:val="21"/>
          <w:szCs w:val="21"/>
        </w:rPr>
        <w:t>3.5%</w:t>
      </w:r>
      <w:r>
        <w:rPr>
          <w:rFonts w:ascii="宋体" w:hAnsi="宋体" w:hint="eastAsia"/>
          <w:kern w:val="2"/>
          <w:sz w:val="21"/>
          <w:szCs w:val="21"/>
        </w:rPr>
        <w:t>，粮食保持高产，全年全国粮食总产量</w:t>
      </w:r>
      <w:r>
        <w:rPr>
          <w:rFonts w:ascii="宋体" w:hAnsi="宋体" w:hint="eastAsia"/>
          <w:kern w:val="2"/>
          <w:sz w:val="21"/>
          <w:szCs w:val="21"/>
        </w:rPr>
        <w:t>65789</w:t>
      </w:r>
      <w:r>
        <w:rPr>
          <w:rFonts w:ascii="宋体" w:hAnsi="宋体" w:hint="eastAsia"/>
          <w:kern w:val="2"/>
          <w:sz w:val="21"/>
          <w:szCs w:val="21"/>
        </w:rPr>
        <w:t>万吨，比上年下降</w:t>
      </w:r>
      <w:r>
        <w:rPr>
          <w:rFonts w:ascii="宋体" w:hAnsi="宋体" w:hint="eastAsia"/>
          <w:kern w:val="2"/>
          <w:sz w:val="21"/>
          <w:szCs w:val="21"/>
        </w:rPr>
        <w:t>0.6%</w:t>
      </w:r>
      <w:r>
        <w:rPr>
          <w:rFonts w:ascii="宋体" w:hAnsi="宋体" w:hint="eastAsia"/>
          <w:kern w:val="2"/>
          <w:sz w:val="21"/>
          <w:szCs w:val="21"/>
        </w:rPr>
        <w:t>，仍是历史高产年，连续</w:t>
      </w:r>
      <w:r>
        <w:rPr>
          <w:rFonts w:ascii="宋体" w:hAnsi="宋体" w:hint="eastAsia"/>
          <w:kern w:val="2"/>
          <w:sz w:val="21"/>
          <w:szCs w:val="21"/>
        </w:rPr>
        <w:t>4</w:t>
      </w:r>
      <w:r>
        <w:rPr>
          <w:rFonts w:ascii="宋体" w:hAnsi="宋体" w:hint="eastAsia"/>
          <w:kern w:val="2"/>
          <w:sz w:val="21"/>
          <w:szCs w:val="21"/>
        </w:rPr>
        <w:t>年保持在</w:t>
      </w:r>
      <w:r>
        <w:rPr>
          <w:rFonts w:ascii="宋体" w:hAnsi="宋体" w:hint="eastAsia"/>
          <w:kern w:val="2"/>
          <w:sz w:val="21"/>
          <w:szCs w:val="21"/>
        </w:rPr>
        <w:t>65000</w:t>
      </w:r>
      <w:r>
        <w:rPr>
          <w:rFonts w:ascii="宋体" w:hAnsi="宋体" w:hint="eastAsia"/>
          <w:kern w:val="2"/>
          <w:sz w:val="21"/>
          <w:szCs w:val="21"/>
        </w:rPr>
        <w:t>万吨以上；畜牧业总体稳定。</w:t>
      </w:r>
      <w:r w:rsidRPr="00FB76C5">
        <w:rPr>
          <w:rFonts w:ascii="宋体" w:hAnsi="宋体" w:hint="eastAsia"/>
          <w:kern w:val="2"/>
          <w:sz w:val="21"/>
          <w:szCs w:val="21"/>
          <w:highlight w:val="yellow"/>
        </w:rPr>
        <w:t>第二产业</w:t>
      </w:r>
      <w:r>
        <w:rPr>
          <w:rFonts w:ascii="宋体" w:hAnsi="宋体" w:hint="eastAsia"/>
          <w:kern w:val="2"/>
          <w:sz w:val="21"/>
          <w:szCs w:val="21"/>
        </w:rPr>
        <w:t>增加值</w:t>
      </w:r>
      <w:r>
        <w:rPr>
          <w:rFonts w:ascii="宋体" w:hAnsi="宋体" w:hint="eastAsia"/>
          <w:kern w:val="2"/>
          <w:sz w:val="21"/>
          <w:szCs w:val="21"/>
        </w:rPr>
        <w:t>366001</w:t>
      </w:r>
      <w:r>
        <w:rPr>
          <w:rFonts w:ascii="宋体" w:hAnsi="宋体" w:hint="eastAsia"/>
          <w:kern w:val="2"/>
          <w:sz w:val="21"/>
          <w:szCs w:val="21"/>
        </w:rPr>
        <w:t>亿元，增长</w:t>
      </w:r>
      <w:r>
        <w:rPr>
          <w:rFonts w:ascii="宋体" w:hAnsi="宋体" w:hint="eastAsia"/>
          <w:kern w:val="2"/>
          <w:sz w:val="21"/>
          <w:szCs w:val="21"/>
        </w:rPr>
        <w:t>5.8%</w:t>
      </w:r>
      <w:r>
        <w:rPr>
          <w:rFonts w:ascii="宋体" w:hAnsi="宋体" w:hint="eastAsia"/>
          <w:kern w:val="2"/>
          <w:sz w:val="21"/>
          <w:szCs w:val="21"/>
        </w:rPr>
        <w:t>，工业生产平稳增长，新产业增长较快，全年全国规模以上工业增加值比上年实际增长</w:t>
      </w:r>
      <w:r>
        <w:rPr>
          <w:rFonts w:ascii="宋体" w:hAnsi="宋体" w:hint="eastAsia"/>
          <w:kern w:val="2"/>
          <w:sz w:val="21"/>
          <w:szCs w:val="21"/>
        </w:rPr>
        <w:t>6.2%</w:t>
      </w:r>
      <w:r>
        <w:rPr>
          <w:rFonts w:ascii="宋体" w:hAnsi="宋体" w:hint="eastAsia"/>
          <w:kern w:val="2"/>
          <w:sz w:val="21"/>
          <w:szCs w:val="21"/>
        </w:rPr>
        <w:t>，增速缓中趋稳。</w:t>
      </w:r>
      <w:r>
        <w:rPr>
          <w:rFonts w:ascii="宋体" w:hAnsi="宋体" w:hint="eastAsia"/>
          <w:kern w:val="2"/>
          <w:sz w:val="21"/>
          <w:szCs w:val="21"/>
        </w:rPr>
        <w:t>1-11</w:t>
      </w:r>
      <w:r>
        <w:rPr>
          <w:rFonts w:ascii="宋体" w:hAnsi="宋体" w:hint="eastAsia"/>
          <w:kern w:val="2"/>
          <w:sz w:val="21"/>
          <w:szCs w:val="21"/>
        </w:rPr>
        <w:t>月份，全国规模以上工业企业实现利润总额</w:t>
      </w:r>
      <w:r>
        <w:rPr>
          <w:rFonts w:ascii="宋体" w:hAnsi="宋体" w:hint="eastAsia"/>
          <w:kern w:val="2"/>
          <w:sz w:val="21"/>
          <w:szCs w:val="21"/>
        </w:rPr>
        <w:t>61169</w:t>
      </w:r>
      <w:r>
        <w:rPr>
          <w:rFonts w:ascii="宋体" w:hAnsi="宋体" w:hint="eastAsia"/>
          <w:kern w:val="2"/>
          <w:sz w:val="21"/>
          <w:szCs w:val="21"/>
        </w:rPr>
        <w:t>亿元，同比增长</w:t>
      </w:r>
      <w:r>
        <w:rPr>
          <w:rFonts w:ascii="宋体" w:hAnsi="宋体" w:hint="eastAsia"/>
          <w:kern w:val="2"/>
          <w:sz w:val="21"/>
          <w:szCs w:val="21"/>
        </w:rPr>
        <w:t>11.8%</w:t>
      </w:r>
      <w:r>
        <w:rPr>
          <w:rFonts w:ascii="宋体" w:hAnsi="宋体" w:hint="eastAsia"/>
          <w:kern w:val="2"/>
          <w:sz w:val="21"/>
          <w:szCs w:val="21"/>
        </w:rPr>
        <w:t>；规模以上工业企业主营业务收入利润率为</w:t>
      </w:r>
      <w:r>
        <w:rPr>
          <w:rFonts w:ascii="宋体" w:hAnsi="宋体" w:hint="eastAsia"/>
          <w:kern w:val="2"/>
          <w:sz w:val="21"/>
          <w:szCs w:val="21"/>
        </w:rPr>
        <w:t>6.48%</w:t>
      </w:r>
      <w:r>
        <w:rPr>
          <w:rFonts w:ascii="宋体" w:hAnsi="宋体" w:hint="eastAsia"/>
          <w:kern w:val="2"/>
          <w:sz w:val="21"/>
          <w:szCs w:val="21"/>
        </w:rPr>
        <w:t>，比上年同期提高</w:t>
      </w:r>
      <w:r>
        <w:rPr>
          <w:rFonts w:ascii="宋体" w:hAnsi="宋体" w:hint="eastAsia"/>
          <w:kern w:val="2"/>
          <w:sz w:val="21"/>
          <w:szCs w:val="21"/>
        </w:rPr>
        <w:t>0.16</w:t>
      </w:r>
      <w:r>
        <w:rPr>
          <w:rFonts w:ascii="宋体" w:hAnsi="宋体" w:hint="eastAsia"/>
          <w:kern w:val="2"/>
          <w:sz w:val="21"/>
          <w:szCs w:val="21"/>
        </w:rPr>
        <w:t>个百分点。</w:t>
      </w:r>
      <w:r w:rsidRPr="00EA6E8F">
        <w:rPr>
          <w:rFonts w:ascii="宋体" w:hAnsi="宋体" w:hint="eastAsia"/>
          <w:kern w:val="2"/>
          <w:sz w:val="21"/>
          <w:szCs w:val="21"/>
          <w:highlight w:val="yellow"/>
        </w:rPr>
        <w:t>第三产业</w:t>
      </w:r>
      <w:r>
        <w:rPr>
          <w:rFonts w:ascii="宋体" w:hAnsi="宋体" w:hint="eastAsia"/>
          <w:kern w:val="2"/>
          <w:sz w:val="21"/>
          <w:szCs w:val="21"/>
        </w:rPr>
        <w:t>增加值</w:t>
      </w:r>
      <w:r>
        <w:rPr>
          <w:rFonts w:ascii="宋体" w:hAnsi="宋体" w:hint="eastAsia"/>
          <w:kern w:val="2"/>
          <w:sz w:val="21"/>
          <w:szCs w:val="21"/>
        </w:rPr>
        <w:t>469575</w:t>
      </w:r>
      <w:r>
        <w:rPr>
          <w:rFonts w:ascii="宋体" w:hAnsi="宋体" w:hint="eastAsia"/>
          <w:kern w:val="2"/>
          <w:sz w:val="21"/>
          <w:szCs w:val="21"/>
        </w:rPr>
        <w:t>亿元，增长</w:t>
      </w:r>
      <w:r>
        <w:rPr>
          <w:rFonts w:ascii="宋体" w:hAnsi="宋体" w:hint="eastAsia"/>
          <w:kern w:val="2"/>
          <w:sz w:val="21"/>
          <w:szCs w:val="21"/>
        </w:rPr>
        <w:t>7.6%</w:t>
      </w:r>
      <w:r>
        <w:rPr>
          <w:rFonts w:ascii="宋体" w:hAnsi="宋体" w:hint="eastAsia"/>
          <w:kern w:val="2"/>
          <w:sz w:val="21"/>
          <w:szCs w:val="21"/>
        </w:rPr>
        <w:t>。</w:t>
      </w:r>
      <w:r w:rsidRPr="00EA6E8F">
        <w:rPr>
          <w:rFonts w:ascii="宋体" w:hAnsi="宋体" w:hint="eastAsia"/>
          <w:kern w:val="2"/>
          <w:sz w:val="21"/>
          <w:szCs w:val="21"/>
          <w:highlight w:val="yellow"/>
        </w:rPr>
        <w:t>全年全国服务业生产指数</w:t>
      </w:r>
      <w:r>
        <w:rPr>
          <w:rFonts w:ascii="宋体" w:hAnsi="宋体" w:hint="eastAsia"/>
          <w:kern w:val="2"/>
          <w:sz w:val="21"/>
          <w:szCs w:val="21"/>
        </w:rPr>
        <w:t>比上年增长</w:t>
      </w:r>
      <w:r>
        <w:rPr>
          <w:rFonts w:ascii="宋体" w:hAnsi="宋体" w:hint="eastAsia"/>
          <w:kern w:val="2"/>
          <w:sz w:val="21"/>
          <w:szCs w:val="21"/>
        </w:rPr>
        <w:t>7.7%</w:t>
      </w:r>
      <w:r>
        <w:rPr>
          <w:rFonts w:ascii="宋体" w:hAnsi="宋体" w:hint="eastAsia"/>
          <w:kern w:val="2"/>
          <w:sz w:val="21"/>
          <w:szCs w:val="21"/>
        </w:rPr>
        <w:t>，保持较快增长，可以看出服务业保持较快发展，持续处于景气区间。投资增长缓中趋稳，制造业投资和民间投资增速加快，全年全国固</w:t>
      </w:r>
      <w:r>
        <w:rPr>
          <w:rFonts w:ascii="宋体" w:hAnsi="宋体" w:hint="eastAsia"/>
          <w:kern w:val="2"/>
          <w:sz w:val="21"/>
          <w:szCs w:val="21"/>
        </w:rPr>
        <w:t>定资产投资（不含农户）</w:t>
      </w:r>
      <w:r>
        <w:rPr>
          <w:rFonts w:ascii="宋体" w:hAnsi="宋体" w:hint="eastAsia"/>
          <w:kern w:val="2"/>
          <w:sz w:val="21"/>
          <w:szCs w:val="21"/>
        </w:rPr>
        <w:t>635636</w:t>
      </w:r>
      <w:r>
        <w:rPr>
          <w:rFonts w:ascii="宋体" w:hAnsi="宋体" w:hint="eastAsia"/>
          <w:kern w:val="2"/>
          <w:sz w:val="21"/>
          <w:szCs w:val="21"/>
        </w:rPr>
        <w:t>亿元，比上年增长</w:t>
      </w:r>
      <w:r>
        <w:rPr>
          <w:rFonts w:ascii="宋体" w:hAnsi="宋体" w:hint="eastAsia"/>
          <w:kern w:val="2"/>
          <w:sz w:val="21"/>
          <w:szCs w:val="21"/>
        </w:rPr>
        <w:t>5.9%</w:t>
      </w:r>
      <w:r>
        <w:rPr>
          <w:rFonts w:ascii="宋体" w:hAnsi="宋体" w:hint="eastAsia"/>
          <w:kern w:val="2"/>
          <w:sz w:val="21"/>
          <w:szCs w:val="21"/>
        </w:rPr>
        <w:t>，增速比前三季度加快</w:t>
      </w:r>
      <w:r>
        <w:rPr>
          <w:rFonts w:ascii="宋体" w:hAnsi="宋体" w:hint="eastAsia"/>
          <w:kern w:val="2"/>
          <w:sz w:val="21"/>
          <w:szCs w:val="21"/>
        </w:rPr>
        <w:t>0.5</w:t>
      </w:r>
      <w:r>
        <w:rPr>
          <w:rFonts w:ascii="宋体" w:hAnsi="宋体" w:hint="eastAsia"/>
          <w:kern w:val="2"/>
          <w:sz w:val="21"/>
          <w:szCs w:val="21"/>
        </w:rPr>
        <w:t>个百分点。</w:t>
      </w:r>
      <w:r w:rsidRPr="00FB76C5">
        <w:rPr>
          <w:rFonts w:ascii="宋体" w:hAnsi="宋体" w:hint="eastAsia"/>
          <w:kern w:val="2"/>
          <w:sz w:val="21"/>
          <w:szCs w:val="21"/>
          <w:highlight w:val="yellow"/>
        </w:rPr>
        <w:t>进出口总额</w:t>
      </w:r>
      <w:r>
        <w:rPr>
          <w:rFonts w:ascii="宋体" w:hAnsi="宋体" w:hint="eastAsia"/>
          <w:kern w:val="2"/>
          <w:sz w:val="21"/>
          <w:szCs w:val="21"/>
        </w:rPr>
        <w:t>创历史新高，</w:t>
      </w:r>
      <w:r w:rsidRPr="00FB76C5">
        <w:rPr>
          <w:rFonts w:ascii="宋体" w:hAnsi="宋体" w:hint="eastAsia"/>
          <w:kern w:val="2"/>
          <w:sz w:val="21"/>
          <w:szCs w:val="21"/>
          <w:highlight w:val="yellow"/>
        </w:rPr>
        <w:t>贸易结构</w:t>
      </w:r>
      <w:r>
        <w:rPr>
          <w:rFonts w:ascii="宋体" w:hAnsi="宋体" w:hint="eastAsia"/>
          <w:kern w:val="2"/>
          <w:sz w:val="21"/>
          <w:szCs w:val="21"/>
        </w:rPr>
        <w:t>不断优化，全年货物进出口总额</w:t>
      </w:r>
      <w:r>
        <w:rPr>
          <w:rFonts w:ascii="宋体" w:hAnsi="宋体" w:hint="eastAsia"/>
          <w:kern w:val="2"/>
          <w:sz w:val="21"/>
          <w:szCs w:val="21"/>
        </w:rPr>
        <w:t>305050</w:t>
      </w:r>
      <w:r>
        <w:rPr>
          <w:rFonts w:ascii="宋体" w:hAnsi="宋体" w:hint="eastAsia"/>
          <w:kern w:val="2"/>
          <w:sz w:val="21"/>
          <w:szCs w:val="21"/>
        </w:rPr>
        <w:t>亿元，比上年增长</w:t>
      </w:r>
      <w:r>
        <w:rPr>
          <w:rFonts w:ascii="宋体" w:hAnsi="宋体" w:hint="eastAsia"/>
          <w:kern w:val="2"/>
          <w:sz w:val="21"/>
          <w:szCs w:val="21"/>
        </w:rPr>
        <w:t>9.7%</w:t>
      </w:r>
      <w:r>
        <w:rPr>
          <w:rFonts w:ascii="宋体" w:hAnsi="宋体" w:hint="eastAsia"/>
          <w:kern w:val="2"/>
          <w:sz w:val="21"/>
          <w:szCs w:val="21"/>
        </w:rPr>
        <w:t>；</w:t>
      </w:r>
      <w:r w:rsidRPr="00FB76C5">
        <w:rPr>
          <w:rFonts w:ascii="宋体" w:hAnsi="宋体" w:hint="eastAsia"/>
          <w:kern w:val="2"/>
          <w:sz w:val="21"/>
          <w:szCs w:val="21"/>
          <w:highlight w:val="yellow"/>
        </w:rPr>
        <w:t>贸易总量</w:t>
      </w:r>
      <w:r>
        <w:rPr>
          <w:rFonts w:ascii="宋体" w:hAnsi="宋体" w:hint="eastAsia"/>
          <w:kern w:val="2"/>
          <w:sz w:val="21"/>
          <w:szCs w:val="21"/>
        </w:rPr>
        <w:t>首次超过</w:t>
      </w:r>
      <w:r>
        <w:rPr>
          <w:rFonts w:ascii="宋体" w:hAnsi="宋体" w:hint="eastAsia"/>
          <w:kern w:val="2"/>
          <w:sz w:val="21"/>
          <w:szCs w:val="21"/>
        </w:rPr>
        <w:t>30</w:t>
      </w:r>
      <w:proofErr w:type="gramStart"/>
      <w:r>
        <w:rPr>
          <w:rFonts w:ascii="宋体" w:hAnsi="宋体" w:hint="eastAsia"/>
          <w:kern w:val="2"/>
          <w:sz w:val="21"/>
          <w:szCs w:val="21"/>
        </w:rPr>
        <w:t>万亿</w:t>
      </w:r>
      <w:proofErr w:type="gramEnd"/>
      <w:r>
        <w:rPr>
          <w:rFonts w:ascii="宋体" w:hAnsi="宋体" w:hint="eastAsia"/>
          <w:kern w:val="2"/>
          <w:sz w:val="21"/>
          <w:szCs w:val="21"/>
        </w:rPr>
        <w:t>元，创历史新高；</w:t>
      </w:r>
      <w:r w:rsidRPr="00FB76C5">
        <w:rPr>
          <w:rFonts w:ascii="宋体" w:hAnsi="宋体" w:hint="eastAsia"/>
          <w:kern w:val="2"/>
          <w:sz w:val="21"/>
          <w:szCs w:val="21"/>
          <w:highlight w:val="yellow"/>
        </w:rPr>
        <w:t>数量增长，结构优化</w:t>
      </w:r>
      <w:r>
        <w:rPr>
          <w:rFonts w:ascii="宋体" w:hAnsi="宋体" w:hint="eastAsia"/>
          <w:kern w:val="2"/>
          <w:sz w:val="21"/>
          <w:szCs w:val="21"/>
        </w:rPr>
        <w:t>，进出口稳中向好的目标较好实现。居民消费价格温和上涨，工业生产者价格涨幅回落，然而全年居民消费价格比上年上涨</w:t>
      </w:r>
      <w:r>
        <w:rPr>
          <w:rFonts w:ascii="宋体" w:hAnsi="宋体" w:hint="eastAsia"/>
          <w:kern w:val="2"/>
          <w:sz w:val="21"/>
          <w:szCs w:val="21"/>
        </w:rPr>
        <w:t>2.1%</w:t>
      </w:r>
      <w:r>
        <w:rPr>
          <w:rFonts w:ascii="宋体" w:hAnsi="宋体" w:hint="eastAsia"/>
          <w:kern w:val="2"/>
          <w:sz w:val="21"/>
          <w:szCs w:val="21"/>
        </w:rPr>
        <w:t>，处于温和上涨区间，低于</w:t>
      </w:r>
      <w:r>
        <w:rPr>
          <w:rFonts w:ascii="宋体" w:hAnsi="宋体" w:hint="eastAsia"/>
          <w:kern w:val="2"/>
          <w:sz w:val="21"/>
          <w:szCs w:val="21"/>
        </w:rPr>
        <w:t>3%</w:t>
      </w:r>
      <w:r>
        <w:rPr>
          <w:rFonts w:ascii="宋体" w:hAnsi="宋体" w:hint="eastAsia"/>
          <w:kern w:val="2"/>
          <w:sz w:val="21"/>
          <w:szCs w:val="21"/>
        </w:rPr>
        <w:t>左右的预期目标。</w:t>
      </w:r>
      <w:r>
        <w:rPr>
          <w:rFonts w:ascii="宋体" w:hAnsi="宋体" w:hint="eastAsia"/>
          <w:kern w:val="2"/>
          <w:sz w:val="21"/>
          <w:szCs w:val="21"/>
        </w:rPr>
        <w:t>12</w:t>
      </w:r>
      <w:r>
        <w:rPr>
          <w:rFonts w:ascii="宋体" w:hAnsi="宋体" w:hint="eastAsia"/>
          <w:kern w:val="2"/>
          <w:sz w:val="21"/>
          <w:szCs w:val="21"/>
        </w:rPr>
        <w:t>月份，全国城镇调查失业率为</w:t>
      </w:r>
      <w:r>
        <w:rPr>
          <w:rFonts w:ascii="宋体" w:hAnsi="宋体" w:hint="eastAsia"/>
          <w:kern w:val="2"/>
          <w:sz w:val="21"/>
          <w:szCs w:val="21"/>
        </w:rPr>
        <w:t>4.9%</w:t>
      </w:r>
      <w:r>
        <w:rPr>
          <w:rFonts w:ascii="宋体" w:hAnsi="宋体" w:hint="eastAsia"/>
          <w:kern w:val="2"/>
          <w:sz w:val="21"/>
          <w:szCs w:val="21"/>
        </w:rPr>
        <w:t>，比上年同月下降</w:t>
      </w:r>
      <w:r>
        <w:rPr>
          <w:rFonts w:ascii="宋体" w:hAnsi="宋体" w:hint="eastAsia"/>
          <w:kern w:val="2"/>
          <w:sz w:val="21"/>
          <w:szCs w:val="21"/>
        </w:rPr>
        <w:t>0.1</w:t>
      </w:r>
      <w:r>
        <w:rPr>
          <w:rFonts w:ascii="宋体" w:hAnsi="宋体" w:hint="eastAsia"/>
          <w:kern w:val="2"/>
          <w:sz w:val="21"/>
          <w:szCs w:val="21"/>
        </w:rPr>
        <w:t>个百分点。</w:t>
      </w:r>
      <w:r>
        <w:rPr>
          <w:rFonts w:ascii="宋体" w:hAnsi="宋体" w:hint="eastAsia"/>
          <w:kern w:val="2"/>
          <w:sz w:val="21"/>
          <w:szCs w:val="21"/>
        </w:rPr>
        <w:t>2018</w:t>
      </w:r>
      <w:r>
        <w:rPr>
          <w:rFonts w:ascii="宋体" w:hAnsi="宋体" w:hint="eastAsia"/>
          <w:kern w:val="2"/>
          <w:sz w:val="21"/>
          <w:szCs w:val="21"/>
        </w:rPr>
        <w:t>年各月全国城镇调查失业率保</w:t>
      </w:r>
      <w:r>
        <w:rPr>
          <w:rFonts w:ascii="宋体" w:hAnsi="宋体" w:hint="eastAsia"/>
          <w:kern w:val="2"/>
          <w:sz w:val="21"/>
          <w:szCs w:val="21"/>
        </w:rPr>
        <w:t>持在</w:t>
      </w:r>
      <w:r>
        <w:rPr>
          <w:rFonts w:ascii="宋体" w:hAnsi="宋体" w:hint="eastAsia"/>
          <w:kern w:val="2"/>
          <w:sz w:val="21"/>
          <w:szCs w:val="21"/>
        </w:rPr>
        <w:t>4.8%-5.1%</w:t>
      </w:r>
      <w:r>
        <w:rPr>
          <w:rFonts w:ascii="宋体" w:hAnsi="宋体" w:hint="eastAsia"/>
          <w:kern w:val="2"/>
          <w:sz w:val="21"/>
          <w:szCs w:val="21"/>
        </w:rPr>
        <w:t>之间，实现了低于</w:t>
      </w:r>
      <w:r>
        <w:rPr>
          <w:rFonts w:ascii="宋体" w:hAnsi="宋体" w:hint="eastAsia"/>
          <w:kern w:val="2"/>
          <w:sz w:val="21"/>
          <w:szCs w:val="21"/>
        </w:rPr>
        <w:t>5.5%</w:t>
      </w:r>
      <w:r>
        <w:rPr>
          <w:rFonts w:ascii="宋体" w:hAnsi="宋体" w:hint="eastAsia"/>
          <w:kern w:val="2"/>
          <w:sz w:val="21"/>
          <w:szCs w:val="21"/>
        </w:rPr>
        <w:t>的预期目标。居民收入消费稳定增长，全年全</w:t>
      </w:r>
      <w:r>
        <w:rPr>
          <w:rFonts w:ascii="宋体" w:hAnsi="宋体" w:hint="eastAsia"/>
          <w:kern w:val="2"/>
          <w:sz w:val="21"/>
          <w:szCs w:val="21"/>
        </w:rPr>
        <w:lastRenderedPageBreak/>
        <w:t>国居民人均可支配收入</w:t>
      </w:r>
      <w:r>
        <w:rPr>
          <w:rFonts w:ascii="宋体" w:hAnsi="宋体" w:hint="eastAsia"/>
          <w:kern w:val="2"/>
          <w:sz w:val="21"/>
          <w:szCs w:val="21"/>
        </w:rPr>
        <w:t>28228</w:t>
      </w:r>
      <w:r>
        <w:rPr>
          <w:rFonts w:ascii="宋体" w:hAnsi="宋体" w:hint="eastAsia"/>
          <w:kern w:val="2"/>
          <w:sz w:val="21"/>
          <w:szCs w:val="21"/>
        </w:rPr>
        <w:t>元，比上年名义增长</w:t>
      </w:r>
      <w:r>
        <w:rPr>
          <w:rFonts w:ascii="宋体" w:hAnsi="宋体" w:hint="eastAsia"/>
          <w:kern w:val="2"/>
          <w:sz w:val="21"/>
          <w:szCs w:val="21"/>
        </w:rPr>
        <w:t>8.7%</w:t>
      </w:r>
      <w:r>
        <w:rPr>
          <w:rFonts w:ascii="宋体" w:hAnsi="宋体" w:hint="eastAsia"/>
          <w:kern w:val="2"/>
          <w:sz w:val="21"/>
          <w:szCs w:val="21"/>
        </w:rPr>
        <w:t>，扣除价格因素实际增长</w:t>
      </w:r>
      <w:r>
        <w:rPr>
          <w:rFonts w:ascii="宋体" w:hAnsi="宋体" w:hint="eastAsia"/>
          <w:kern w:val="2"/>
          <w:sz w:val="21"/>
          <w:szCs w:val="21"/>
        </w:rPr>
        <w:t>6.5%</w:t>
      </w:r>
      <w:r>
        <w:rPr>
          <w:rFonts w:ascii="宋体" w:hAnsi="宋体" w:hint="eastAsia"/>
          <w:kern w:val="2"/>
          <w:sz w:val="21"/>
          <w:szCs w:val="21"/>
        </w:rPr>
        <w:t>，快于人均</w:t>
      </w:r>
      <w:r>
        <w:rPr>
          <w:rFonts w:ascii="宋体" w:hAnsi="宋体" w:hint="eastAsia"/>
          <w:kern w:val="2"/>
          <w:sz w:val="21"/>
          <w:szCs w:val="21"/>
        </w:rPr>
        <w:t>GDP</w:t>
      </w:r>
      <w:r>
        <w:rPr>
          <w:rFonts w:ascii="宋体" w:hAnsi="宋体" w:hint="eastAsia"/>
          <w:kern w:val="2"/>
          <w:sz w:val="21"/>
          <w:szCs w:val="21"/>
        </w:rPr>
        <w:t>增速，与经济增长基本同步。全年全国居民人均消费支出</w:t>
      </w:r>
      <w:r>
        <w:rPr>
          <w:rFonts w:ascii="宋体" w:hAnsi="宋体" w:hint="eastAsia"/>
          <w:kern w:val="2"/>
          <w:sz w:val="21"/>
          <w:szCs w:val="21"/>
        </w:rPr>
        <w:t>19853</w:t>
      </w:r>
      <w:r>
        <w:rPr>
          <w:rFonts w:ascii="宋体" w:hAnsi="宋体" w:hint="eastAsia"/>
          <w:kern w:val="2"/>
          <w:sz w:val="21"/>
          <w:szCs w:val="21"/>
        </w:rPr>
        <w:t>元，比上年名义增长</w:t>
      </w:r>
      <w:r>
        <w:rPr>
          <w:rFonts w:ascii="宋体" w:hAnsi="宋体" w:hint="eastAsia"/>
          <w:kern w:val="2"/>
          <w:sz w:val="21"/>
          <w:szCs w:val="21"/>
        </w:rPr>
        <w:t>8.4%</w:t>
      </w:r>
      <w:r>
        <w:rPr>
          <w:rFonts w:ascii="宋体" w:hAnsi="宋体" w:hint="eastAsia"/>
          <w:kern w:val="2"/>
          <w:sz w:val="21"/>
          <w:szCs w:val="21"/>
        </w:rPr>
        <w:t>，增速比上年加快</w:t>
      </w:r>
      <w:r>
        <w:rPr>
          <w:rFonts w:ascii="宋体" w:hAnsi="宋体" w:hint="eastAsia"/>
          <w:kern w:val="2"/>
          <w:sz w:val="21"/>
          <w:szCs w:val="21"/>
        </w:rPr>
        <w:t>1.3</w:t>
      </w:r>
      <w:r>
        <w:rPr>
          <w:rFonts w:ascii="宋体" w:hAnsi="宋体" w:hint="eastAsia"/>
          <w:kern w:val="2"/>
          <w:sz w:val="21"/>
          <w:szCs w:val="21"/>
        </w:rPr>
        <w:t>个百分点；扣除价格因素实际增长</w:t>
      </w:r>
      <w:r>
        <w:rPr>
          <w:rFonts w:ascii="宋体" w:hAnsi="宋体" w:hint="eastAsia"/>
          <w:kern w:val="2"/>
          <w:sz w:val="21"/>
          <w:szCs w:val="21"/>
        </w:rPr>
        <w:t>6.2%</w:t>
      </w:r>
      <w:r>
        <w:rPr>
          <w:rFonts w:ascii="宋体" w:hAnsi="宋体" w:hint="eastAsia"/>
          <w:kern w:val="2"/>
          <w:sz w:val="21"/>
          <w:szCs w:val="21"/>
        </w:rPr>
        <w:t>，比上年加快</w:t>
      </w:r>
      <w:r>
        <w:rPr>
          <w:rFonts w:ascii="宋体" w:hAnsi="宋体" w:hint="eastAsia"/>
          <w:kern w:val="2"/>
          <w:sz w:val="21"/>
          <w:szCs w:val="21"/>
        </w:rPr>
        <w:t>0.8</w:t>
      </w:r>
      <w:r>
        <w:rPr>
          <w:rFonts w:ascii="宋体" w:hAnsi="宋体" w:hint="eastAsia"/>
          <w:kern w:val="2"/>
          <w:sz w:val="21"/>
          <w:szCs w:val="21"/>
        </w:rPr>
        <w:t>个百分点。</w:t>
      </w:r>
    </w:p>
    <w:p w:rsidR="00167400" w:rsidRPr="00BC1C0D" w:rsidRDefault="00C64B37">
      <w:pPr>
        <w:numPr>
          <w:ilvl w:val="0"/>
          <w:numId w:val="6"/>
        </w:numPr>
        <w:tabs>
          <w:tab w:val="clear" w:pos="312"/>
        </w:tabs>
        <w:spacing w:line="360" w:lineRule="auto"/>
        <w:rPr>
          <w:rFonts w:ascii="宋体" w:hAnsi="宋体"/>
          <w:szCs w:val="21"/>
          <w:u w:val="single"/>
        </w:rPr>
      </w:pPr>
      <w:r w:rsidRPr="00BC1C0D">
        <w:rPr>
          <w:rFonts w:ascii="宋体" w:hAnsi="宋体" w:hint="eastAsia"/>
          <w:szCs w:val="21"/>
          <w:u w:val="single"/>
        </w:rPr>
        <w:t>金融政策</w:t>
      </w:r>
    </w:p>
    <w:p w:rsidR="00167400" w:rsidRDefault="00C64B37">
      <w:pPr>
        <w:spacing w:line="360" w:lineRule="auto"/>
        <w:ind w:firstLineChars="200" w:firstLine="420"/>
        <w:rPr>
          <w:rFonts w:ascii="宋体" w:hAnsi="宋体"/>
          <w:szCs w:val="21"/>
        </w:rPr>
      </w:pPr>
      <w:r>
        <w:rPr>
          <w:rFonts w:ascii="宋体" w:hAnsi="宋体" w:hint="eastAsia"/>
          <w:szCs w:val="21"/>
        </w:rPr>
        <w:t>面对稳中有变、变中有忧的内外部形势，按照党中央、国务院部署，中国人民银行坚持稳中求进工作总基调，继续实施稳健的货币政策，坚持金融服务实体经</w:t>
      </w:r>
      <w:r>
        <w:rPr>
          <w:rFonts w:ascii="宋体" w:hAnsi="宋体" w:hint="eastAsia"/>
          <w:szCs w:val="21"/>
        </w:rPr>
        <w:t>济的根本要求，主动作为、创新操作、精准发力，前瞻性地采取了一系列逆周期调节措施，激励引导金融机构加大对实体经济尤其是对小</w:t>
      </w:r>
      <w:proofErr w:type="gramStart"/>
      <w:r>
        <w:rPr>
          <w:rFonts w:ascii="宋体" w:hAnsi="宋体" w:hint="eastAsia"/>
          <w:szCs w:val="21"/>
        </w:rPr>
        <w:t>微企业</w:t>
      </w:r>
      <w:proofErr w:type="gramEnd"/>
      <w:r>
        <w:rPr>
          <w:rFonts w:ascii="宋体" w:hAnsi="宋体" w:hint="eastAsia"/>
          <w:szCs w:val="21"/>
        </w:rPr>
        <w:t>和民营企业的支持力度，着力缓解资本、流动性和利率等方面的约束，疏通货币政策传导，并把握好内部均衡与外部均衡之间的平衡，为供给侧结构性改革和高质量发展营造适宜的货币金融环境。在实施稳健货币政策、增强微观主体活力和发挥好资本市场功能三者之间，形成三角形支撑框架，促进国民经济整体良性循环。一是通过定向降准、中期借贷便利（</w:t>
      </w:r>
      <w:r>
        <w:rPr>
          <w:rFonts w:ascii="宋体" w:hAnsi="宋体" w:hint="eastAsia"/>
          <w:szCs w:val="21"/>
        </w:rPr>
        <w:t>MLF</w:t>
      </w:r>
      <w:r>
        <w:rPr>
          <w:rFonts w:ascii="宋体" w:hAnsi="宋体" w:hint="eastAsia"/>
          <w:szCs w:val="21"/>
        </w:rPr>
        <w:t>）等操作，增加中长期流动性供应，保持流动性合理充裕，货币市场利率</w:t>
      </w:r>
      <w:r>
        <w:rPr>
          <w:rFonts w:ascii="宋体" w:hAnsi="宋体" w:hint="eastAsia"/>
          <w:szCs w:val="21"/>
        </w:rPr>
        <w:t>整体下行，并逐步传导至实体经济。二是在保持总量适度的同时，运用和创新结构性货币政策工具，加大对小微、民营企业的支持。扩大</w:t>
      </w:r>
      <w:r>
        <w:rPr>
          <w:rFonts w:ascii="宋体" w:hAnsi="宋体" w:hint="eastAsia"/>
          <w:szCs w:val="21"/>
        </w:rPr>
        <w:t xml:space="preserve"> MLF </w:t>
      </w:r>
      <w:r>
        <w:rPr>
          <w:rFonts w:ascii="宋体" w:hAnsi="宋体" w:hint="eastAsia"/>
          <w:szCs w:val="21"/>
        </w:rPr>
        <w:t>等工具担保品范围，三次增加再贷款和再贴现额度共</w:t>
      </w:r>
      <w:r>
        <w:rPr>
          <w:rFonts w:ascii="宋体" w:hAnsi="宋体" w:hint="eastAsia"/>
          <w:szCs w:val="21"/>
        </w:rPr>
        <w:t xml:space="preserve"> 4000 </w:t>
      </w:r>
      <w:r>
        <w:rPr>
          <w:rFonts w:ascii="宋体" w:hAnsi="宋体" w:hint="eastAsia"/>
          <w:szCs w:val="21"/>
        </w:rPr>
        <w:t>亿元、下调</w:t>
      </w:r>
      <w:proofErr w:type="gramStart"/>
      <w:r>
        <w:rPr>
          <w:rFonts w:ascii="宋体" w:hAnsi="宋体" w:hint="eastAsia"/>
          <w:szCs w:val="21"/>
        </w:rPr>
        <w:t>支小再贷款</w:t>
      </w:r>
      <w:proofErr w:type="gramEnd"/>
      <w:r>
        <w:rPr>
          <w:rFonts w:ascii="宋体" w:hAnsi="宋体" w:hint="eastAsia"/>
          <w:szCs w:val="21"/>
        </w:rPr>
        <w:t>利率</w:t>
      </w:r>
      <w:r>
        <w:rPr>
          <w:rFonts w:ascii="宋体" w:hAnsi="宋体" w:hint="eastAsia"/>
          <w:szCs w:val="21"/>
        </w:rPr>
        <w:t xml:space="preserve"> 0.5 </w:t>
      </w:r>
      <w:proofErr w:type="gramStart"/>
      <w:r>
        <w:rPr>
          <w:rFonts w:ascii="宋体" w:hAnsi="宋体" w:hint="eastAsia"/>
          <w:szCs w:val="21"/>
        </w:rPr>
        <w:t>个</w:t>
      </w:r>
      <w:proofErr w:type="gramEnd"/>
      <w:r>
        <w:rPr>
          <w:rFonts w:ascii="宋体" w:hAnsi="宋体" w:hint="eastAsia"/>
          <w:szCs w:val="21"/>
        </w:rPr>
        <w:t>百分点、扩大</w:t>
      </w:r>
      <w:proofErr w:type="gramStart"/>
      <w:r>
        <w:rPr>
          <w:rFonts w:ascii="宋体" w:hAnsi="宋体" w:hint="eastAsia"/>
          <w:szCs w:val="21"/>
        </w:rPr>
        <w:t>支小再贷款</w:t>
      </w:r>
      <w:proofErr w:type="gramEnd"/>
      <w:r>
        <w:rPr>
          <w:rFonts w:ascii="宋体" w:hAnsi="宋体" w:hint="eastAsia"/>
          <w:szCs w:val="21"/>
        </w:rPr>
        <w:t>对象和支持企业范围，创设定向中期借贷便利（</w:t>
      </w:r>
      <w:r>
        <w:rPr>
          <w:rFonts w:ascii="宋体" w:hAnsi="宋体" w:hint="eastAsia"/>
          <w:szCs w:val="21"/>
        </w:rPr>
        <w:t>TMLF</w:t>
      </w:r>
      <w:r>
        <w:rPr>
          <w:rFonts w:ascii="宋体" w:hAnsi="宋体" w:hint="eastAsia"/>
          <w:szCs w:val="21"/>
        </w:rPr>
        <w:t>），根据金融机构对小微企业、民营企业支持情况，以优惠利率向其提供长期稳定资金。推动以永续债为突破口，多渠道补充商业银行资本，创设央行票据互换（</w:t>
      </w:r>
      <w:r>
        <w:rPr>
          <w:rFonts w:ascii="宋体" w:hAnsi="宋体" w:hint="eastAsia"/>
          <w:szCs w:val="21"/>
        </w:rPr>
        <w:t>CBS</w:t>
      </w:r>
      <w:r>
        <w:rPr>
          <w:rFonts w:ascii="宋体" w:hAnsi="宋体" w:hint="eastAsia"/>
          <w:szCs w:val="21"/>
        </w:rPr>
        <w:t>）工具，为银行发行永续</w:t>
      </w:r>
      <w:proofErr w:type="gramStart"/>
      <w:r>
        <w:rPr>
          <w:rFonts w:ascii="宋体" w:hAnsi="宋体" w:hint="eastAsia"/>
          <w:szCs w:val="21"/>
        </w:rPr>
        <w:t>债提供</w:t>
      </w:r>
      <w:proofErr w:type="gramEnd"/>
      <w:r>
        <w:rPr>
          <w:rFonts w:ascii="宋体" w:hAnsi="宋体" w:hint="eastAsia"/>
          <w:szCs w:val="21"/>
        </w:rPr>
        <w:t>流动性支持。三是适时调整和完善宏观审慎政</w:t>
      </w:r>
      <w:r>
        <w:rPr>
          <w:rFonts w:ascii="宋体" w:hAnsi="宋体" w:hint="eastAsia"/>
          <w:szCs w:val="21"/>
        </w:rPr>
        <w:t>策。充分发挥宏观审慎评估（</w:t>
      </w:r>
      <w:r>
        <w:rPr>
          <w:rFonts w:ascii="宋体" w:hAnsi="宋体" w:hint="eastAsia"/>
          <w:szCs w:val="21"/>
        </w:rPr>
        <w:t>MPA</w:t>
      </w:r>
      <w:r>
        <w:rPr>
          <w:rFonts w:ascii="宋体" w:hAnsi="宋体" w:hint="eastAsia"/>
          <w:szCs w:val="21"/>
        </w:rPr>
        <w:t>）的逆周期调节和结构引导作用，在宏观审慎评估中增设小</w:t>
      </w:r>
      <w:proofErr w:type="gramStart"/>
      <w:r>
        <w:rPr>
          <w:rFonts w:ascii="宋体" w:hAnsi="宋体" w:hint="eastAsia"/>
          <w:szCs w:val="21"/>
        </w:rPr>
        <w:t>微企业</w:t>
      </w:r>
      <w:proofErr w:type="gramEnd"/>
      <w:r>
        <w:rPr>
          <w:rFonts w:ascii="宋体" w:hAnsi="宋体" w:hint="eastAsia"/>
          <w:szCs w:val="21"/>
        </w:rPr>
        <w:t>和民营企业融资、债转股情况等专项指标，鼓励金融机构加大对实体经济的支持力度。出</w:t>
      </w:r>
      <w:proofErr w:type="gramStart"/>
      <w:r>
        <w:rPr>
          <w:rFonts w:ascii="宋体" w:hAnsi="宋体" w:hint="eastAsia"/>
          <w:szCs w:val="21"/>
        </w:rPr>
        <w:t>台资管新规</w:t>
      </w:r>
      <w:proofErr w:type="gramEnd"/>
      <w:r>
        <w:rPr>
          <w:rFonts w:ascii="宋体" w:hAnsi="宋体" w:hint="eastAsia"/>
          <w:szCs w:val="21"/>
        </w:rPr>
        <w:t>，并推动其平稳实施。四是继续深入推进利率市场化改革和人民币汇率形成机制改革。进一步健全市场利率定价自律机制，推动同业存单和大额存单有序发展，引导金融机构自主合理定价，完善市场化的利率形成、调控和传导机制。在保持汇率弹性的同时，果断采取一系列有针对性、创新性的措施，适时调整外汇风险准备金率，重启人民币汇率中间价报价“逆周期因子”，有效</w:t>
      </w:r>
      <w:r>
        <w:rPr>
          <w:rFonts w:ascii="宋体" w:hAnsi="宋体" w:hint="eastAsia"/>
          <w:szCs w:val="21"/>
        </w:rPr>
        <w:t>稳定市场预期，保持了人民币汇率在合理均衡水平上的基本稳定。在香港发行中央银行票据，完善香港人民币收益率曲线。</w:t>
      </w:r>
    </w:p>
    <w:p w:rsidR="00167400" w:rsidRDefault="00C64B37">
      <w:pPr>
        <w:spacing w:line="360" w:lineRule="auto"/>
        <w:ind w:firstLineChars="200" w:firstLine="420"/>
        <w:rPr>
          <w:rFonts w:ascii="宋体" w:hAnsi="宋体"/>
          <w:szCs w:val="21"/>
        </w:rPr>
      </w:pPr>
      <w:r>
        <w:rPr>
          <w:rFonts w:ascii="宋体" w:hAnsi="宋体" w:hint="eastAsia"/>
          <w:szCs w:val="21"/>
        </w:rPr>
        <w:t>银行体系流动性合理充裕，贷款同比大幅多增，广义货币（</w:t>
      </w:r>
      <w:r>
        <w:rPr>
          <w:rFonts w:ascii="宋体" w:hAnsi="宋体" w:hint="eastAsia"/>
          <w:szCs w:val="21"/>
        </w:rPr>
        <w:t>M2</w:t>
      </w:r>
      <w:r>
        <w:rPr>
          <w:rFonts w:ascii="宋体" w:hAnsi="宋体" w:hint="eastAsia"/>
          <w:szCs w:val="21"/>
        </w:rPr>
        <w:t>）和社会融资规模存量增速与名义</w:t>
      </w:r>
      <w:r>
        <w:rPr>
          <w:rFonts w:ascii="宋体" w:hAnsi="宋体" w:hint="eastAsia"/>
          <w:szCs w:val="21"/>
        </w:rPr>
        <w:t xml:space="preserve"> GDP </w:t>
      </w:r>
      <w:r>
        <w:rPr>
          <w:rFonts w:ascii="宋体" w:hAnsi="宋体" w:hint="eastAsia"/>
          <w:szCs w:val="21"/>
        </w:rPr>
        <w:t>增速基本匹配，宏观杠杆率保持稳定。</w:t>
      </w:r>
      <w:r>
        <w:rPr>
          <w:rFonts w:ascii="宋体" w:hAnsi="宋体" w:hint="eastAsia"/>
          <w:szCs w:val="21"/>
        </w:rPr>
        <w:t xml:space="preserve">2018 </w:t>
      </w:r>
      <w:r>
        <w:rPr>
          <w:rFonts w:ascii="宋体" w:hAnsi="宋体" w:hint="eastAsia"/>
          <w:szCs w:val="21"/>
        </w:rPr>
        <w:t>年以来，</w:t>
      </w:r>
      <w:r>
        <w:rPr>
          <w:rFonts w:ascii="宋体" w:hAnsi="宋体" w:hint="eastAsia"/>
          <w:szCs w:val="21"/>
        </w:rPr>
        <w:t xml:space="preserve">M2 </w:t>
      </w:r>
      <w:r>
        <w:rPr>
          <w:rFonts w:ascii="宋体" w:hAnsi="宋体" w:hint="eastAsia"/>
          <w:szCs w:val="21"/>
        </w:rPr>
        <w:t>增速保持在</w:t>
      </w:r>
      <w:r>
        <w:rPr>
          <w:rFonts w:ascii="宋体" w:hAnsi="宋体" w:hint="eastAsia"/>
          <w:szCs w:val="21"/>
        </w:rPr>
        <w:t xml:space="preserve"> 8%</w:t>
      </w:r>
      <w:r>
        <w:rPr>
          <w:rFonts w:ascii="宋体" w:hAnsi="宋体" w:hint="eastAsia"/>
          <w:szCs w:val="21"/>
        </w:rPr>
        <w:t>以上；人民币贷款全年新增</w:t>
      </w:r>
      <w:r>
        <w:rPr>
          <w:rFonts w:ascii="宋体" w:hAnsi="宋体" w:hint="eastAsia"/>
          <w:szCs w:val="21"/>
        </w:rPr>
        <w:t xml:space="preserve"> 16.2 </w:t>
      </w:r>
      <w:r>
        <w:rPr>
          <w:rFonts w:ascii="宋体" w:hAnsi="宋体" w:hint="eastAsia"/>
          <w:szCs w:val="21"/>
        </w:rPr>
        <w:t>万亿元，同比多增</w:t>
      </w:r>
      <w:r>
        <w:rPr>
          <w:rFonts w:ascii="宋体" w:hAnsi="宋体" w:hint="eastAsia"/>
          <w:szCs w:val="21"/>
        </w:rPr>
        <w:t xml:space="preserve"> 2.6 </w:t>
      </w:r>
      <w:r>
        <w:rPr>
          <w:rFonts w:ascii="宋体" w:hAnsi="宋体" w:hint="eastAsia"/>
          <w:szCs w:val="21"/>
        </w:rPr>
        <w:t>万亿元；年末社会融资规模存量同比增</w:t>
      </w:r>
      <w:r>
        <w:rPr>
          <w:rFonts w:ascii="宋体" w:hAnsi="宋体" w:hint="eastAsia"/>
          <w:szCs w:val="21"/>
        </w:rPr>
        <w:lastRenderedPageBreak/>
        <w:t>长</w:t>
      </w:r>
      <w:r>
        <w:rPr>
          <w:rFonts w:ascii="宋体" w:hAnsi="宋体" w:hint="eastAsia"/>
          <w:szCs w:val="21"/>
        </w:rPr>
        <w:t xml:space="preserve"> 9.8%</w:t>
      </w:r>
      <w:r>
        <w:rPr>
          <w:rFonts w:ascii="宋体" w:hAnsi="宋体" w:hint="eastAsia"/>
          <w:szCs w:val="21"/>
        </w:rPr>
        <w:t>。截至</w:t>
      </w:r>
      <w:r>
        <w:rPr>
          <w:rFonts w:ascii="宋体" w:hAnsi="宋体" w:hint="eastAsia"/>
          <w:szCs w:val="21"/>
        </w:rPr>
        <w:t xml:space="preserve"> 2018 </w:t>
      </w:r>
      <w:r>
        <w:rPr>
          <w:rFonts w:ascii="宋体" w:hAnsi="宋体" w:hint="eastAsia"/>
          <w:szCs w:val="21"/>
        </w:rPr>
        <w:t>年</w:t>
      </w:r>
      <w:r>
        <w:rPr>
          <w:rFonts w:ascii="宋体" w:hAnsi="宋体" w:hint="eastAsia"/>
          <w:szCs w:val="21"/>
        </w:rPr>
        <w:t xml:space="preserve"> 12 </w:t>
      </w:r>
      <w:r>
        <w:rPr>
          <w:rFonts w:ascii="宋体" w:hAnsi="宋体" w:hint="eastAsia"/>
          <w:szCs w:val="21"/>
        </w:rPr>
        <w:t>月，企业贷款加权平均利率已连续四个月下降，累计下降</w:t>
      </w:r>
      <w:r>
        <w:rPr>
          <w:rFonts w:ascii="宋体" w:hAnsi="宋体" w:hint="eastAsia"/>
          <w:szCs w:val="21"/>
        </w:rPr>
        <w:t xml:space="preserve"> 0.25 </w:t>
      </w:r>
      <w:proofErr w:type="gramStart"/>
      <w:r>
        <w:rPr>
          <w:rFonts w:ascii="宋体" w:hAnsi="宋体" w:hint="eastAsia"/>
          <w:szCs w:val="21"/>
        </w:rPr>
        <w:t>个</w:t>
      </w:r>
      <w:proofErr w:type="gramEnd"/>
      <w:r>
        <w:rPr>
          <w:rFonts w:ascii="宋体" w:hAnsi="宋体" w:hint="eastAsia"/>
          <w:szCs w:val="21"/>
        </w:rPr>
        <w:t>百分点，其中，微型企业贷款利率已</w:t>
      </w:r>
      <w:r>
        <w:rPr>
          <w:rFonts w:ascii="宋体" w:hAnsi="宋体" w:hint="eastAsia"/>
          <w:szCs w:val="21"/>
        </w:rPr>
        <w:t>连续五个月下降，累计下降</w:t>
      </w:r>
      <w:r>
        <w:rPr>
          <w:rFonts w:ascii="宋体" w:hAnsi="宋体" w:hint="eastAsia"/>
          <w:szCs w:val="21"/>
        </w:rPr>
        <w:t xml:space="preserve"> 0.39 </w:t>
      </w:r>
      <w:proofErr w:type="gramStart"/>
      <w:r>
        <w:rPr>
          <w:rFonts w:ascii="宋体" w:hAnsi="宋体" w:hint="eastAsia"/>
          <w:szCs w:val="21"/>
        </w:rPr>
        <w:t>个</w:t>
      </w:r>
      <w:proofErr w:type="gramEnd"/>
      <w:r>
        <w:rPr>
          <w:rFonts w:ascii="宋体" w:hAnsi="宋体" w:hint="eastAsia"/>
          <w:szCs w:val="21"/>
        </w:rPr>
        <w:t>百分点。年末，</w:t>
      </w:r>
      <w:r>
        <w:rPr>
          <w:rFonts w:ascii="宋体" w:hAnsi="宋体" w:hint="eastAsia"/>
          <w:szCs w:val="21"/>
        </w:rPr>
        <w:t xml:space="preserve">CFETS </w:t>
      </w:r>
      <w:r>
        <w:rPr>
          <w:rFonts w:ascii="宋体" w:hAnsi="宋体" w:hint="eastAsia"/>
          <w:szCs w:val="21"/>
        </w:rPr>
        <w:t>人民币汇率指数为</w:t>
      </w:r>
      <w:r>
        <w:rPr>
          <w:rFonts w:ascii="宋体" w:hAnsi="宋体" w:hint="eastAsia"/>
          <w:szCs w:val="21"/>
        </w:rPr>
        <w:t xml:space="preserve"> 93.28</w:t>
      </w:r>
      <w:r>
        <w:rPr>
          <w:rFonts w:ascii="宋体" w:hAnsi="宋体" w:hint="eastAsia"/>
          <w:szCs w:val="21"/>
        </w:rPr>
        <w:t>，人民币汇率预期总体稳定。国民经济继续运行在合理区间，</w:t>
      </w:r>
      <w:r>
        <w:rPr>
          <w:rFonts w:ascii="宋体" w:hAnsi="宋体" w:hint="eastAsia"/>
          <w:szCs w:val="21"/>
        </w:rPr>
        <w:t xml:space="preserve">2018 </w:t>
      </w:r>
      <w:r>
        <w:rPr>
          <w:rFonts w:ascii="宋体" w:hAnsi="宋体" w:hint="eastAsia"/>
          <w:szCs w:val="21"/>
        </w:rPr>
        <w:t>年</w:t>
      </w:r>
      <w:r>
        <w:rPr>
          <w:rFonts w:ascii="宋体" w:hAnsi="宋体" w:hint="eastAsia"/>
          <w:szCs w:val="21"/>
        </w:rPr>
        <w:t>GDP</w:t>
      </w:r>
      <w:r>
        <w:rPr>
          <w:rFonts w:ascii="宋体" w:hAnsi="宋体" w:hint="eastAsia"/>
          <w:szCs w:val="21"/>
        </w:rPr>
        <w:t>同比增长</w:t>
      </w:r>
      <w:r>
        <w:rPr>
          <w:rFonts w:ascii="宋体" w:hAnsi="宋体" w:hint="eastAsia"/>
          <w:szCs w:val="21"/>
        </w:rPr>
        <w:t xml:space="preserve"> 6.6%</w:t>
      </w:r>
      <w:r>
        <w:rPr>
          <w:rFonts w:ascii="宋体" w:hAnsi="宋体" w:hint="eastAsia"/>
          <w:szCs w:val="21"/>
        </w:rPr>
        <w:t>，消费对经济增长的拉动作用增强，</w:t>
      </w:r>
      <w:r>
        <w:rPr>
          <w:rFonts w:ascii="宋体" w:hAnsi="宋体" w:hint="eastAsia"/>
          <w:szCs w:val="21"/>
        </w:rPr>
        <w:t>CPI</w:t>
      </w:r>
      <w:r>
        <w:rPr>
          <w:rFonts w:ascii="宋体" w:hAnsi="宋体" w:hint="eastAsia"/>
          <w:szCs w:val="21"/>
        </w:rPr>
        <w:t>同比上涨</w:t>
      </w:r>
      <w:r>
        <w:rPr>
          <w:rFonts w:ascii="宋体" w:hAnsi="宋体" w:hint="eastAsia"/>
          <w:szCs w:val="21"/>
        </w:rPr>
        <w:t>2.1%</w:t>
      </w:r>
      <w:r>
        <w:rPr>
          <w:rFonts w:ascii="宋体" w:hAnsi="宋体" w:hint="eastAsia"/>
          <w:szCs w:val="21"/>
        </w:rPr>
        <w:t>。</w:t>
      </w:r>
    </w:p>
    <w:p w:rsidR="00167400" w:rsidRPr="00BC1C0D" w:rsidRDefault="00C64B37">
      <w:pPr>
        <w:numPr>
          <w:ilvl w:val="0"/>
          <w:numId w:val="6"/>
        </w:numPr>
        <w:tabs>
          <w:tab w:val="clear" w:pos="312"/>
        </w:tabs>
        <w:spacing w:line="360" w:lineRule="auto"/>
        <w:rPr>
          <w:rFonts w:ascii="宋体" w:hAnsi="宋体"/>
          <w:szCs w:val="21"/>
          <w:u w:val="single"/>
        </w:rPr>
      </w:pPr>
      <w:r w:rsidRPr="00BC1C0D">
        <w:rPr>
          <w:rFonts w:ascii="宋体" w:hAnsi="宋体" w:hint="eastAsia"/>
          <w:szCs w:val="21"/>
          <w:u w:val="single"/>
        </w:rPr>
        <w:t>金融形势</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w:t>
      </w:r>
      <w:r>
        <w:rPr>
          <w:rFonts w:ascii="宋体" w:hAnsi="宋体" w:hint="eastAsia"/>
          <w:szCs w:val="21"/>
        </w:rPr>
        <w:t>3</w:t>
      </w:r>
      <w:r>
        <w:rPr>
          <w:rFonts w:ascii="宋体" w:hAnsi="宋体" w:hint="eastAsia"/>
          <w:szCs w:val="21"/>
        </w:rPr>
        <w:t>月末，金融运行中几个层次的货币供应量增幅均比上年末有所减缓，</w:t>
      </w:r>
      <w:r w:rsidRPr="00FB76C5">
        <w:rPr>
          <w:rFonts w:ascii="宋体" w:hAnsi="宋体" w:hint="eastAsia"/>
          <w:szCs w:val="21"/>
          <w:highlight w:val="yellow"/>
        </w:rPr>
        <w:t>广义货币供应量</w:t>
      </w:r>
      <w:r>
        <w:rPr>
          <w:rFonts w:ascii="宋体" w:hAnsi="宋体" w:hint="eastAsia"/>
          <w:szCs w:val="21"/>
        </w:rPr>
        <w:t>1739859.48</w:t>
      </w:r>
      <w:r>
        <w:rPr>
          <w:rFonts w:ascii="宋体" w:hAnsi="宋体" w:hint="eastAsia"/>
          <w:szCs w:val="21"/>
        </w:rPr>
        <w:t>亿元，余额同比增长</w:t>
      </w:r>
      <w:r>
        <w:rPr>
          <w:rFonts w:ascii="宋体" w:hAnsi="宋体" w:hint="eastAsia"/>
          <w:szCs w:val="21"/>
        </w:rPr>
        <w:t>8.2%</w:t>
      </w:r>
      <w:r>
        <w:rPr>
          <w:rFonts w:ascii="宋体" w:hAnsi="宋体" w:hint="eastAsia"/>
          <w:szCs w:val="21"/>
        </w:rPr>
        <w:t>，增速比上年末高</w:t>
      </w:r>
      <w:r>
        <w:rPr>
          <w:rFonts w:ascii="宋体" w:hAnsi="宋体" w:hint="eastAsia"/>
          <w:szCs w:val="21"/>
        </w:rPr>
        <w:t xml:space="preserve"> 0.1 </w:t>
      </w:r>
      <w:proofErr w:type="gramStart"/>
      <w:r>
        <w:rPr>
          <w:rFonts w:ascii="宋体" w:hAnsi="宋体" w:hint="eastAsia"/>
          <w:szCs w:val="21"/>
        </w:rPr>
        <w:t>个</w:t>
      </w:r>
      <w:proofErr w:type="gramEnd"/>
      <w:r>
        <w:rPr>
          <w:rFonts w:ascii="宋体" w:hAnsi="宋体" w:hint="eastAsia"/>
          <w:szCs w:val="21"/>
        </w:rPr>
        <w:t>百分点；</w:t>
      </w:r>
      <w:r w:rsidRPr="00FB76C5">
        <w:rPr>
          <w:rFonts w:ascii="宋体" w:hAnsi="宋体" w:hint="eastAsia"/>
          <w:szCs w:val="21"/>
          <w:highlight w:val="yellow"/>
        </w:rPr>
        <w:t>狭义货币供应量</w:t>
      </w:r>
      <w:r>
        <w:rPr>
          <w:rFonts w:ascii="宋体" w:hAnsi="宋体" w:hint="eastAsia"/>
          <w:szCs w:val="21"/>
        </w:rPr>
        <w:t>523540.07</w:t>
      </w:r>
      <w:r>
        <w:rPr>
          <w:rFonts w:ascii="宋体" w:hAnsi="宋体" w:hint="eastAsia"/>
          <w:szCs w:val="21"/>
        </w:rPr>
        <w:t>亿元，余额同比增长</w:t>
      </w:r>
      <w:r>
        <w:rPr>
          <w:rFonts w:ascii="宋体" w:hAnsi="宋体" w:hint="eastAsia"/>
          <w:szCs w:val="21"/>
        </w:rPr>
        <w:t>7.1%</w:t>
      </w:r>
      <w:r>
        <w:rPr>
          <w:rFonts w:ascii="宋体" w:hAnsi="宋体" w:hint="eastAsia"/>
          <w:szCs w:val="21"/>
        </w:rPr>
        <w:t>，增幅比上年</w:t>
      </w:r>
      <w:proofErr w:type="gramStart"/>
      <w:r>
        <w:rPr>
          <w:rFonts w:ascii="宋体" w:hAnsi="宋体" w:hint="eastAsia"/>
          <w:szCs w:val="21"/>
        </w:rPr>
        <w:t>末降低</w:t>
      </w:r>
      <w:proofErr w:type="gramEnd"/>
      <w:r>
        <w:rPr>
          <w:rFonts w:ascii="宋体" w:hAnsi="宋体" w:hint="eastAsia"/>
          <w:szCs w:val="21"/>
        </w:rPr>
        <w:t>了</w:t>
      </w:r>
      <w:r>
        <w:rPr>
          <w:rFonts w:ascii="宋体" w:hAnsi="宋体" w:hint="eastAsia"/>
          <w:szCs w:val="21"/>
        </w:rPr>
        <w:t>4.7</w:t>
      </w:r>
      <w:r>
        <w:rPr>
          <w:rFonts w:ascii="宋体" w:hAnsi="宋体" w:hint="eastAsia"/>
          <w:szCs w:val="21"/>
        </w:rPr>
        <w:t>个百分点；</w:t>
      </w:r>
      <w:r w:rsidRPr="00FB76C5">
        <w:rPr>
          <w:rFonts w:ascii="宋体" w:hAnsi="宋体" w:hint="eastAsia"/>
          <w:szCs w:val="21"/>
          <w:highlight w:val="yellow"/>
        </w:rPr>
        <w:t>市</w:t>
      </w:r>
      <w:r w:rsidRPr="00FB76C5">
        <w:rPr>
          <w:rFonts w:ascii="宋体" w:hAnsi="宋体" w:hint="eastAsia"/>
          <w:szCs w:val="21"/>
          <w:highlight w:val="yellow"/>
        </w:rPr>
        <w:t xml:space="preserve"> </w:t>
      </w:r>
      <w:r w:rsidRPr="00FB76C5">
        <w:rPr>
          <w:rFonts w:ascii="宋体" w:hAnsi="宋体" w:hint="eastAsia"/>
          <w:szCs w:val="21"/>
          <w:highlight w:val="yellow"/>
        </w:rPr>
        <w:t>场</w:t>
      </w:r>
      <w:r w:rsidRPr="00FB76C5">
        <w:rPr>
          <w:rFonts w:ascii="宋体" w:hAnsi="宋体" w:hint="eastAsia"/>
          <w:szCs w:val="21"/>
          <w:highlight w:val="yellow"/>
        </w:rPr>
        <w:t xml:space="preserve"> </w:t>
      </w:r>
      <w:r w:rsidRPr="00FB76C5">
        <w:rPr>
          <w:rFonts w:ascii="宋体" w:hAnsi="宋体" w:hint="eastAsia"/>
          <w:szCs w:val="21"/>
          <w:highlight w:val="yellow"/>
        </w:rPr>
        <w:t>货</w:t>
      </w:r>
      <w:r w:rsidRPr="00FB76C5">
        <w:rPr>
          <w:rFonts w:ascii="宋体" w:hAnsi="宋体" w:hint="eastAsia"/>
          <w:szCs w:val="21"/>
          <w:highlight w:val="yellow"/>
        </w:rPr>
        <w:t xml:space="preserve"> </w:t>
      </w:r>
      <w:r w:rsidRPr="00FB76C5">
        <w:rPr>
          <w:rFonts w:ascii="宋体" w:hAnsi="宋体" w:hint="eastAsia"/>
          <w:szCs w:val="21"/>
          <w:highlight w:val="yellow"/>
        </w:rPr>
        <w:t>币</w:t>
      </w:r>
      <w:r w:rsidRPr="00FB76C5">
        <w:rPr>
          <w:rFonts w:ascii="宋体" w:hAnsi="宋体" w:hint="eastAsia"/>
          <w:szCs w:val="21"/>
          <w:highlight w:val="yellow"/>
        </w:rPr>
        <w:t xml:space="preserve"> </w:t>
      </w:r>
      <w:r w:rsidRPr="00FB76C5">
        <w:rPr>
          <w:rFonts w:ascii="宋体" w:hAnsi="宋体" w:hint="eastAsia"/>
          <w:szCs w:val="21"/>
          <w:highlight w:val="yellow"/>
        </w:rPr>
        <w:t>流</w:t>
      </w:r>
      <w:r w:rsidRPr="00FB76C5">
        <w:rPr>
          <w:rFonts w:ascii="宋体" w:hAnsi="宋体" w:hint="eastAsia"/>
          <w:szCs w:val="21"/>
          <w:highlight w:val="yellow"/>
        </w:rPr>
        <w:t xml:space="preserve"> </w:t>
      </w:r>
      <w:r w:rsidRPr="00FB76C5">
        <w:rPr>
          <w:rFonts w:ascii="宋体" w:hAnsi="宋体" w:hint="eastAsia"/>
          <w:szCs w:val="21"/>
          <w:highlight w:val="yellow"/>
        </w:rPr>
        <w:t>通</w:t>
      </w:r>
      <w:r w:rsidRPr="00FB76C5">
        <w:rPr>
          <w:rFonts w:ascii="宋体" w:hAnsi="宋体" w:hint="eastAsia"/>
          <w:szCs w:val="21"/>
          <w:highlight w:val="yellow"/>
        </w:rPr>
        <w:t xml:space="preserve"> </w:t>
      </w:r>
      <w:r w:rsidRPr="00FB76C5">
        <w:rPr>
          <w:rFonts w:ascii="宋体" w:hAnsi="宋体" w:hint="eastAsia"/>
          <w:szCs w:val="21"/>
          <w:highlight w:val="yellow"/>
        </w:rPr>
        <w:t>量</w:t>
      </w:r>
      <w:r>
        <w:rPr>
          <w:rFonts w:ascii="宋体" w:hAnsi="宋体" w:hint="eastAsia"/>
          <w:szCs w:val="21"/>
        </w:rPr>
        <w:t>72692.63</w:t>
      </w:r>
      <w:r>
        <w:rPr>
          <w:rFonts w:ascii="宋体" w:hAnsi="宋体" w:hint="eastAsia"/>
          <w:szCs w:val="21"/>
        </w:rPr>
        <w:t>亿元，余额同比增长</w:t>
      </w:r>
      <w:r>
        <w:rPr>
          <w:rFonts w:ascii="宋体" w:hAnsi="宋体" w:hint="eastAsia"/>
          <w:szCs w:val="21"/>
        </w:rPr>
        <w:t xml:space="preserve">6.0% </w:t>
      </w:r>
      <w:r>
        <w:rPr>
          <w:rFonts w:ascii="宋体" w:hAnsi="宋体" w:hint="eastAsia"/>
          <w:szCs w:val="21"/>
        </w:rPr>
        <w:t>，增幅比上年</w:t>
      </w:r>
      <w:proofErr w:type="gramStart"/>
      <w:r>
        <w:rPr>
          <w:rFonts w:ascii="宋体" w:hAnsi="宋体" w:hint="eastAsia"/>
          <w:szCs w:val="21"/>
        </w:rPr>
        <w:t>末加快</w:t>
      </w:r>
      <w:proofErr w:type="gramEnd"/>
      <w:r>
        <w:rPr>
          <w:rFonts w:ascii="宋体" w:hAnsi="宋体" w:hint="eastAsia"/>
          <w:szCs w:val="21"/>
        </w:rPr>
        <w:t>了</w:t>
      </w:r>
      <w:r>
        <w:rPr>
          <w:rFonts w:ascii="宋体" w:hAnsi="宋体" w:hint="eastAsia"/>
          <w:szCs w:val="21"/>
        </w:rPr>
        <w:t>3.0%</w:t>
      </w:r>
      <w:r>
        <w:rPr>
          <w:rFonts w:ascii="宋体" w:hAnsi="宋体" w:hint="eastAsia"/>
          <w:szCs w:val="21"/>
        </w:rPr>
        <w:t>，增幅比上年同期降低了</w:t>
      </w:r>
      <w:r>
        <w:rPr>
          <w:rFonts w:ascii="宋体" w:hAnsi="宋体" w:hint="eastAsia"/>
          <w:szCs w:val="21"/>
        </w:rPr>
        <w:t>0.2%</w:t>
      </w:r>
      <w:r>
        <w:rPr>
          <w:rFonts w:ascii="宋体" w:hAnsi="宋体" w:hint="eastAsia"/>
          <w:szCs w:val="21"/>
        </w:rPr>
        <w:t>。</w:t>
      </w:r>
      <w:r>
        <w:rPr>
          <w:rFonts w:ascii="宋体" w:hAnsi="宋体" w:hint="eastAsia"/>
          <w:szCs w:val="21"/>
        </w:rPr>
        <w:t xml:space="preserve">M2 </w:t>
      </w:r>
      <w:r>
        <w:rPr>
          <w:rFonts w:ascii="宋体" w:hAnsi="宋体" w:hint="eastAsia"/>
          <w:szCs w:val="21"/>
        </w:rPr>
        <w:t>增速趋稳，与名义</w:t>
      </w:r>
      <w:r>
        <w:rPr>
          <w:rFonts w:ascii="宋体" w:hAnsi="宋体" w:hint="eastAsia"/>
          <w:szCs w:val="21"/>
        </w:rPr>
        <w:t xml:space="preserve"> GDP </w:t>
      </w:r>
      <w:r>
        <w:rPr>
          <w:rFonts w:ascii="宋体" w:hAnsi="宋体" w:hint="eastAsia"/>
          <w:szCs w:val="21"/>
        </w:rPr>
        <w:t>增速大体相当。</w:t>
      </w:r>
      <w:r>
        <w:rPr>
          <w:rFonts w:ascii="宋体" w:hAnsi="宋体" w:hint="eastAsia"/>
          <w:szCs w:val="21"/>
        </w:rPr>
        <w:t xml:space="preserve">2018 </w:t>
      </w:r>
      <w:r>
        <w:rPr>
          <w:rFonts w:ascii="宋体" w:hAnsi="宋体" w:hint="eastAsia"/>
          <w:szCs w:val="21"/>
        </w:rPr>
        <w:t>年末，</w:t>
      </w:r>
      <w:r w:rsidRPr="00FB76C5">
        <w:rPr>
          <w:rFonts w:ascii="宋体" w:hAnsi="宋体" w:hint="eastAsia"/>
          <w:szCs w:val="21"/>
          <w:highlight w:val="yellow"/>
        </w:rPr>
        <w:t>广义货币供应量</w:t>
      </w:r>
      <w:r w:rsidRPr="00FB76C5">
        <w:rPr>
          <w:rFonts w:ascii="宋体" w:hAnsi="宋体" w:hint="eastAsia"/>
          <w:szCs w:val="21"/>
          <w:highlight w:val="yellow"/>
        </w:rPr>
        <w:t xml:space="preserve"> M2 </w:t>
      </w:r>
      <w:r w:rsidRPr="00FB76C5">
        <w:rPr>
          <w:rFonts w:ascii="宋体" w:hAnsi="宋体" w:hint="eastAsia"/>
          <w:szCs w:val="21"/>
          <w:highlight w:val="yellow"/>
        </w:rPr>
        <w:t>余额</w:t>
      </w:r>
      <w:r>
        <w:rPr>
          <w:rFonts w:ascii="宋体" w:hAnsi="宋体" w:hint="eastAsia"/>
          <w:szCs w:val="21"/>
        </w:rPr>
        <w:t>为</w:t>
      </w:r>
      <w:r>
        <w:rPr>
          <w:rFonts w:ascii="宋体" w:hAnsi="宋体" w:hint="eastAsia"/>
          <w:szCs w:val="21"/>
        </w:rPr>
        <w:t xml:space="preserve"> 182.7 </w:t>
      </w:r>
      <w:r>
        <w:rPr>
          <w:rFonts w:ascii="宋体" w:hAnsi="宋体" w:hint="eastAsia"/>
          <w:szCs w:val="21"/>
        </w:rPr>
        <w:t>万亿元，同比增长</w:t>
      </w:r>
      <w:r>
        <w:rPr>
          <w:rFonts w:ascii="宋体" w:hAnsi="宋体" w:hint="eastAsia"/>
          <w:szCs w:val="21"/>
        </w:rPr>
        <w:t xml:space="preserve"> 8.1%</w:t>
      </w:r>
      <w:r>
        <w:rPr>
          <w:rFonts w:ascii="宋体" w:hAnsi="宋体" w:hint="eastAsia"/>
          <w:szCs w:val="21"/>
        </w:rPr>
        <w:t>，与上年末持平。</w:t>
      </w:r>
      <w:r w:rsidRPr="00FB76C5">
        <w:rPr>
          <w:rFonts w:ascii="宋体" w:hAnsi="宋体" w:hint="eastAsia"/>
          <w:szCs w:val="21"/>
          <w:highlight w:val="yellow"/>
        </w:rPr>
        <w:t>狭义货币供应量</w:t>
      </w:r>
      <w:r w:rsidRPr="00FB76C5">
        <w:rPr>
          <w:rFonts w:ascii="宋体" w:hAnsi="宋体" w:hint="eastAsia"/>
          <w:szCs w:val="21"/>
          <w:highlight w:val="yellow"/>
        </w:rPr>
        <w:t xml:space="preserve"> M1 </w:t>
      </w:r>
      <w:r w:rsidRPr="00FB76C5">
        <w:rPr>
          <w:rFonts w:ascii="宋体" w:hAnsi="宋体" w:hint="eastAsia"/>
          <w:szCs w:val="21"/>
          <w:highlight w:val="yellow"/>
        </w:rPr>
        <w:t>余额</w:t>
      </w:r>
      <w:r>
        <w:rPr>
          <w:rFonts w:ascii="宋体" w:hAnsi="宋体" w:hint="eastAsia"/>
          <w:szCs w:val="21"/>
        </w:rPr>
        <w:t>为</w:t>
      </w:r>
      <w:r>
        <w:rPr>
          <w:rFonts w:ascii="宋体" w:hAnsi="宋体" w:hint="eastAsia"/>
          <w:szCs w:val="21"/>
        </w:rPr>
        <w:t xml:space="preserve"> 55.2 </w:t>
      </w:r>
      <w:r>
        <w:rPr>
          <w:rFonts w:ascii="宋体" w:hAnsi="宋体" w:hint="eastAsia"/>
          <w:szCs w:val="21"/>
        </w:rPr>
        <w:t>万亿元，同比增长</w:t>
      </w:r>
      <w:r>
        <w:rPr>
          <w:rFonts w:ascii="宋体" w:hAnsi="宋体" w:hint="eastAsia"/>
          <w:szCs w:val="21"/>
        </w:rPr>
        <w:t xml:space="preserve"> 1.5%</w:t>
      </w:r>
      <w:r>
        <w:rPr>
          <w:rFonts w:ascii="宋体" w:hAnsi="宋体" w:hint="eastAsia"/>
          <w:szCs w:val="21"/>
        </w:rPr>
        <w:t>。流通中货币</w:t>
      </w:r>
      <w:r>
        <w:rPr>
          <w:rFonts w:ascii="宋体" w:hAnsi="宋体" w:hint="eastAsia"/>
          <w:szCs w:val="21"/>
        </w:rPr>
        <w:t xml:space="preserve">M0 </w:t>
      </w:r>
      <w:r>
        <w:rPr>
          <w:rFonts w:ascii="宋体" w:hAnsi="宋体" w:hint="eastAsia"/>
          <w:szCs w:val="21"/>
        </w:rPr>
        <w:t>余额为</w:t>
      </w:r>
      <w:r>
        <w:rPr>
          <w:rFonts w:ascii="宋体" w:hAnsi="宋体" w:hint="eastAsia"/>
          <w:szCs w:val="21"/>
        </w:rPr>
        <w:t>7.3</w:t>
      </w:r>
      <w:proofErr w:type="gramStart"/>
      <w:r>
        <w:rPr>
          <w:rFonts w:ascii="宋体" w:hAnsi="宋体" w:hint="eastAsia"/>
          <w:szCs w:val="21"/>
        </w:rPr>
        <w:t>万亿</w:t>
      </w:r>
      <w:proofErr w:type="gramEnd"/>
      <w:r>
        <w:rPr>
          <w:rFonts w:ascii="宋体" w:hAnsi="宋体" w:hint="eastAsia"/>
          <w:szCs w:val="21"/>
        </w:rPr>
        <w:t>元，同比增长</w:t>
      </w:r>
      <w:r>
        <w:rPr>
          <w:rFonts w:ascii="宋体" w:hAnsi="宋体" w:hint="eastAsia"/>
          <w:szCs w:val="21"/>
        </w:rPr>
        <w:t xml:space="preserve"> 3.6%</w:t>
      </w:r>
      <w:r>
        <w:rPr>
          <w:rFonts w:ascii="宋体" w:hAnsi="宋体" w:hint="eastAsia"/>
          <w:szCs w:val="21"/>
        </w:rPr>
        <w:t>。</w:t>
      </w:r>
      <w:r>
        <w:rPr>
          <w:rFonts w:ascii="宋体" w:hAnsi="宋体" w:hint="eastAsia"/>
          <w:szCs w:val="21"/>
        </w:rPr>
        <w:t xml:space="preserve">2018 </w:t>
      </w:r>
      <w:r>
        <w:rPr>
          <w:rFonts w:ascii="宋体" w:hAnsi="宋体" w:hint="eastAsia"/>
          <w:szCs w:val="21"/>
        </w:rPr>
        <w:t>年现金净投放</w:t>
      </w:r>
      <w:r>
        <w:rPr>
          <w:rFonts w:ascii="宋体" w:hAnsi="宋体" w:hint="eastAsia"/>
          <w:szCs w:val="21"/>
        </w:rPr>
        <w:t>2563</w:t>
      </w:r>
      <w:r>
        <w:rPr>
          <w:rFonts w:ascii="宋体" w:hAnsi="宋体" w:hint="eastAsia"/>
          <w:szCs w:val="21"/>
        </w:rPr>
        <w:t>亿元，同比多投放</w:t>
      </w:r>
      <w:r>
        <w:rPr>
          <w:rFonts w:ascii="宋体" w:hAnsi="宋体" w:hint="eastAsia"/>
          <w:szCs w:val="21"/>
        </w:rPr>
        <w:t xml:space="preserve"> 221 </w:t>
      </w:r>
      <w:r>
        <w:rPr>
          <w:rFonts w:ascii="宋体" w:hAnsi="宋体" w:hint="eastAsia"/>
          <w:szCs w:val="21"/>
        </w:rPr>
        <w:t>亿元。</w:t>
      </w:r>
      <w:r>
        <w:rPr>
          <w:rFonts w:ascii="宋体" w:hAnsi="宋体" w:hint="eastAsia"/>
          <w:szCs w:val="21"/>
        </w:rPr>
        <w:t xml:space="preserve">2018 </w:t>
      </w:r>
      <w:r>
        <w:rPr>
          <w:rFonts w:ascii="宋体" w:hAnsi="宋体" w:hint="eastAsia"/>
          <w:szCs w:val="21"/>
        </w:rPr>
        <w:t>年以来</w:t>
      </w:r>
      <w:r>
        <w:rPr>
          <w:rFonts w:ascii="宋体" w:hAnsi="宋体" w:hint="eastAsia"/>
          <w:szCs w:val="21"/>
        </w:rPr>
        <w:t xml:space="preserve"> M2 </w:t>
      </w:r>
      <w:r>
        <w:rPr>
          <w:rFonts w:ascii="宋体" w:hAnsi="宋体" w:hint="eastAsia"/>
          <w:szCs w:val="21"/>
        </w:rPr>
        <w:t>增速总体趋稳、保持在</w:t>
      </w:r>
      <w:r>
        <w:rPr>
          <w:rFonts w:ascii="宋体" w:hAnsi="宋体" w:hint="eastAsia"/>
          <w:szCs w:val="21"/>
        </w:rPr>
        <w:t xml:space="preserve"> 8%</w:t>
      </w:r>
      <w:r>
        <w:rPr>
          <w:rFonts w:ascii="宋体" w:hAnsi="宋体" w:hint="eastAsia"/>
          <w:szCs w:val="21"/>
        </w:rPr>
        <w:t>以上，与名义</w:t>
      </w:r>
      <w:r>
        <w:rPr>
          <w:rFonts w:ascii="宋体" w:hAnsi="宋体" w:hint="eastAsia"/>
          <w:szCs w:val="21"/>
        </w:rPr>
        <w:t xml:space="preserve"> GDP </w:t>
      </w:r>
      <w:r>
        <w:rPr>
          <w:rFonts w:ascii="宋体" w:hAnsi="宋体" w:hint="eastAsia"/>
          <w:szCs w:val="21"/>
        </w:rPr>
        <w:t>增长率基本匹配，宏观杠杆率保持稳定。</w:t>
      </w:r>
      <w:r>
        <w:rPr>
          <w:rFonts w:ascii="宋体" w:hAnsi="宋体" w:hint="eastAsia"/>
          <w:szCs w:val="21"/>
        </w:rPr>
        <w:t xml:space="preserve">2019 </w:t>
      </w:r>
      <w:r>
        <w:rPr>
          <w:rFonts w:ascii="宋体" w:hAnsi="宋体" w:hint="eastAsia"/>
          <w:szCs w:val="21"/>
        </w:rPr>
        <w:t>年</w:t>
      </w:r>
      <w:r>
        <w:rPr>
          <w:rFonts w:ascii="宋体" w:hAnsi="宋体" w:hint="eastAsia"/>
          <w:szCs w:val="21"/>
        </w:rPr>
        <w:t xml:space="preserve"> 1</w:t>
      </w:r>
      <w:r>
        <w:rPr>
          <w:rFonts w:ascii="宋体" w:hAnsi="宋体" w:hint="eastAsia"/>
          <w:szCs w:val="21"/>
        </w:rPr>
        <w:t>月末，</w:t>
      </w:r>
      <w:r>
        <w:rPr>
          <w:rFonts w:ascii="宋体" w:hAnsi="宋体" w:hint="eastAsia"/>
          <w:szCs w:val="21"/>
        </w:rPr>
        <w:t xml:space="preserve">M2 </w:t>
      </w:r>
      <w:r>
        <w:rPr>
          <w:rFonts w:ascii="宋体" w:hAnsi="宋体" w:hint="eastAsia"/>
          <w:szCs w:val="21"/>
        </w:rPr>
        <w:t>余额为</w:t>
      </w:r>
      <w:r>
        <w:rPr>
          <w:rFonts w:ascii="宋体" w:hAnsi="宋体" w:hint="eastAsia"/>
          <w:szCs w:val="21"/>
        </w:rPr>
        <w:t xml:space="preserve"> 186.6 </w:t>
      </w:r>
      <w:r>
        <w:rPr>
          <w:rFonts w:ascii="宋体" w:hAnsi="宋体" w:hint="eastAsia"/>
          <w:szCs w:val="21"/>
        </w:rPr>
        <w:t>万亿元，同比增长</w:t>
      </w:r>
      <w:r>
        <w:rPr>
          <w:rFonts w:ascii="宋体" w:hAnsi="宋体" w:hint="eastAsia"/>
          <w:szCs w:val="21"/>
        </w:rPr>
        <w:t xml:space="preserve"> 8.4%</w:t>
      </w:r>
      <w:r>
        <w:rPr>
          <w:rFonts w:ascii="宋体" w:hAnsi="宋体" w:hint="eastAsia"/>
          <w:szCs w:val="21"/>
        </w:rPr>
        <w:t>，增速比上月末高</w:t>
      </w:r>
      <w:r>
        <w:rPr>
          <w:rFonts w:ascii="宋体" w:hAnsi="宋体" w:hint="eastAsia"/>
          <w:szCs w:val="21"/>
        </w:rPr>
        <w:t xml:space="preserve"> 0.3</w:t>
      </w:r>
      <w:r>
        <w:rPr>
          <w:rFonts w:ascii="宋体" w:hAnsi="宋体" w:hint="eastAsia"/>
          <w:szCs w:val="21"/>
        </w:rPr>
        <w:t>个百分点。</w:t>
      </w:r>
      <w:r w:rsidRPr="00FB76C5">
        <w:rPr>
          <w:rFonts w:ascii="宋体" w:hAnsi="宋体" w:hint="eastAsia"/>
          <w:szCs w:val="21"/>
          <w:highlight w:val="yellow"/>
        </w:rPr>
        <w:t>广义货币（</w:t>
      </w:r>
      <w:r w:rsidRPr="00FB76C5">
        <w:rPr>
          <w:rFonts w:ascii="宋体" w:hAnsi="宋体" w:hint="eastAsia"/>
          <w:szCs w:val="21"/>
          <w:highlight w:val="yellow"/>
        </w:rPr>
        <w:t>M2</w:t>
      </w:r>
      <w:r w:rsidRPr="00FB76C5">
        <w:rPr>
          <w:rFonts w:ascii="宋体" w:hAnsi="宋体" w:hint="eastAsia"/>
          <w:szCs w:val="21"/>
          <w:highlight w:val="yellow"/>
        </w:rPr>
        <w:t>）</w:t>
      </w:r>
      <w:r>
        <w:rPr>
          <w:rFonts w:ascii="宋体" w:hAnsi="宋体" w:hint="eastAsia"/>
          <w:szCs w:val="21"/>
        </w:rPr>
        <w:t>和</w:t>
      </w:r>
      <w:r w:rsidRPr="00FB76C5">
        <w:rPr>
          <w:rFonts w:ascii="宋体" w:hAnsi="宋体" w:hint="eastAsia"/>
          <w:szCs w:val="21"/>
          <w:highlight w:val="yellow"/>
        </w:rPr>
        <w:t>狭义货币（</w:t>
      </w:r>
      <w:r w:rsidRPr="00FB76C5">
        <w:rPr>
          <w:rFonts w:ascii="宋体" w:hAnsi="宋体" w:hint="eastAsia"/>
          <w:szCs w:val="21"/>
          <w:highlight w:val="yellow"/>
        </w:rPr>
        <w:t>M1</w:t>
      </w:r>
      <w:r w:rsidRPr="00FB76C5">
        <w:rPr>
          <w:rFonts w:ascii="宋体" w:hAnsi="宋体" w:hint="eastAsia"/>
          <w:szCs w:val="21"/>
          <w:highlight w:val="yellow"/>
        </w:rPr>
        <w:t>）</w:t>
      </w:r>
      <w:r>
        <w:rPr>
          <w:rFonts w:ascii="宋体" w:hAnsi="宋体" w:hint="eastAsia"/>
          <w:szCs w:val="21"/>
        </w:rPr>
        <w:t>的增幅大大高于上年国内生产总值和物价上涨之</w:t>
      </w:r>
      <w:proofErr w:type="gramStart"/>
      <w:r>
        <w:rPr>
          <w:rFonts w:ascii="宋体" w:hAnsi="宋体" w:hint="eastAsia"/>
          <w:szCs w:val="21"/>
        </w:rPr>
        <w:t>和</w:t>
      </w:r>
      <w:proofErr w:type="gramEnd"/>
      <w:r>
        <w:rPr>
          <w:rFonts w:ascii="宋体" w:hAnsi="宋体" w:hint="eastAsia"/>
          <w:szCs w:val="21"/>
        </w:rPr>
        <w:t>。</w:t>
      </w:r>
    </w:p>
    <w:p w:rsidR="00167400" w:rsidRDefault="00C64B37">
      <w:pPr>
        <w:spacing w:line="360" w:lineRule="auto"/>
        <w:ind w:firstLineChars="200" w:firstLine="420"/>
        <w:rPr>
          <w:rFonts w:ascii="宋体" w:hAnsi="宋体"/>
          <w:szCs w:val="21"/>
        </w:rPr>
      </w:pPr>
      <w:r>
        <w:rPr>
          <w:rFonts w:ascii="宋体" w:hAnsi="宋体" w:hint="eastAsia"/>
          <w:szCs w:val="21"/>
        </w:rPr>
        <w:t>贷款利率下行，企业贷款和小</w:t>
      </w:r>
      <w:proofErr w:type="gramStart"/>
      <w:r>
        <w:rPr>
          <w:rFonts w:ascii="宋体" w:hAnsi="宋体" w:hint="eastAsia"/>
          <w:szCs w:val="21"/>
        </w:rPr>
        <w:t>微企业</w:t>
      </w:r>
      <w:proofErr w:type="gramEnd"/>
      <w:r>
        <w:rPr>
          <w:rFonts w:ascii="宋体" w:hAnsi="宋体" w:hint="eastAsia"/>
          <w:szCs w:val="21"/>
        </w:rPr>
        <w:t>贷款利率分别连续四个月和五个月下降。</w:t>
      </w:r>
      <w:r>
        <w:rPr>
          <w:rFonts w:ascii="宋体" w:hAnsi="宋体" w:hint="eastAsia"/>
          <w:szCs w:val="21"/>
        </w:rPr>
        <w:t xml:space="preserve">12 </w:t>
      </w:r>
      <w:r>
        <w:rPr>
          <w:rFonts w:ascii="宋体" w:hAnsi="宋体" w:hint="eastAsia"/>
          <w:szCs w:val="21"/>
        </w:rPr>
        <w:t>月，非金融企业及其他部门贷款加权平均利率为</w:t>
      </w:r>
      <w:r>
        <w:rPr>
          <w:rFonts w:ascii="宋体" w:hAnsi="宋体" w:hint="eastAsia"/>
          <w:szCs w:val="21"/>
        </w:rPr>
        <w:t xml:space="preserve"> 5.63%</w:t>
      </w:r>
      <w:r>
        <w:rPr>
          <w:rFonts w:ascii="宋体" w:hAnsi="宋体" w:hint="eastAsia"/>
          <w:szCs w:val="21"/>
        </w:rPr>
        <w:t>，同比下降</w:t>
      </w:r>
      <w:r>
        <w:rPr>
          <w:rFonts w:ascii="宋体" w:hAnsi="宋体" w:hint="eastAsia"/>
          <w:szCs w:val="21"/>
        </w:rPr>
        <w:t xml:space="preserve"> 0.11 </w:t>
      </w:r>
      <w:proofErr w:type="gramStart"/>
      <w:r>
        <w:rPr>
          <w:rFonts w:ascii="宋体" w:hAnsi="宋体" w:hint="eastAsia"/>
          <w:szCs w:val="21"/>
        </w:rPr>
        <w:t>个</w:t>
      </w:r>
      <w:proofErr w:type="gramEnd"/>
      <w:r>
        <w:rPr>
          <w:rFonts w:ascii="宋体" w:hAnsi="宋体" w:hint="eastAsia"/>
          <w:szCs w:val="21"/>
        </w:rPr>
        <w:t>百分点，比</w:t>
      </w:r>
      <w:r>
        <w:rPr>
          <w:rFonts w:ascii="宋体" w:hAnsi="宋体" w:hint="eastAsia"/>
          <w:szCs w:val="21"/>
        </w:rPr>
        <w:t xml:space="preserve"> 9 </w:t>
      </w:r>
      <w:r>
        <w:rPr>
          <w:rFonts w:ascii="宋体" w:hAnsi="宋体" w:hint="eastAsia"/>
          <w:szCs w:val="21"/>
        </w:rPr>
        <w:t>月下降</w:t>
      </w:r>
      <w:r>
        <w:rPr>
          <w:rFonts w:ascii="宋体" w:hAnsi="宋体" w:hint="eastAsia"/>
          <w:szCs w:val="21"/>
        </w:rPr>
        <w:t xml:space="preserve"> 0.31 </w:t>
      </w:r>
      <w:proofErr w:type="gramStart"/>
      <w:r>
        <w:rPr>
          <w:rFonts w:ascii="宋体" w:hAnsi="宋体" w:hint="eastAsia"/>
          <w:szCs w:val="21"/>
        </w:rPr>
        <w:t>个</w:t>
      </w:r>
      <w:proofErr w:type="gramEnd"/>
      <w:r>
        <w:rPr>
          <w:rFonts w:ascii="宋体" w:hAnsi="宋体" w:hint="eastAsia"/>
          <w:szCs w:val="21"/>
        </w:rPr>
        <w:t>百分点。其中，一般贷款加权平均利率为</w:t>
      </w:r>
      <w:r>
        <w:rPr>
          <w:rFonts w:ascii="宋体" w:hAnsi="宋体" w:hint="eastAsia"/>
          <w:szCs w:val="21"/>
        </w:rPr>
        <w:t xml:space="preserve"> 5.91%</w:t>
      </w:r>
      <w:r>
        <w:rPr>
          <w:rFonts w:ascii="宋体" w:hAnsi="宋体" w:hint="eastAsia"/>
          <w:szCs w:val="21"/>
        </w:rPr>
        <w:t>，比</w:t>
      </w:r>
      <w:r>
        <w:rPr>
          <w:rFonts w:ascii="宋体" w:hAnsi="宋体" w:hint="eastAsia"/>
          <w:szCs w:val="21"/>
        </w:rPr>
        <w:t>9</w:t>
      </w:r>
      <w:r>
        <w:rPr>
          <w:rFonts w:ascii="宋体" w:hAnsi="宋体" w:hint="eastAsia"/>
          <w:szCs w:val="21"/>
        </w:rPr>
        <w:t>月下降</w:t>
      </w:r>
      <w:r>
        <w:rPr>
          <w:rFonts w:ascii="宋体" w:hAnsi="宋体" w:hint="eastAsia"/>
          <w:szCs w:val="21"/>
        </w:rPr>
        <w:t xml:space="preserve"> 0.28 </w:t>
      </w:r>
      <w:proofErr w:type="gramStart"/>
      <w:r>
        <w:rPr>
          <w:rFonts w:ascii="宋体" w:hAnsi="宋体" w:hint="eastAsia"/>
          <w:szCs w:val="21"/>
        </w:rPr>
        <w:t>个</w:t>
      </w:r>
      <w:proofErr w:type="gramEnd"/>
      <w:r>
        <w:rPr>
          <w:rFonts w:ascii="宋体" w:hAnsi="宋体" w:hint="eastAsia"/>
          <w:szCs w:val="21"/>
        </w:rPr>
        <w:t>百</w:t>
      </w:r>
      <w:r>
        <w:rPr>
          <w:rFonts w:ascii="宋体" w:hAnsi="宋体" w:hint="eastAsia"/>
          <w:szCs w:val="21"/>
        </w:rPr>
        <w:t>分点；票据融资加权平均利率为</w:t>
      </w:r>
      <w:r>
        <w:rPr>
          <w:rFonts w:ascii="宋体" w:hAnsi="宋体" w:hint="eastAsia"/>
          <w:szCs w:val="21"/>
        </w:rPr>
        <w:t xml:space="preserve"> 3.84%</w:t>
      </w:r>
      <w:r>
        <w:rPr>
          <w:rFonts w:ascii="宋体" w:hAnsi="宋体" w:hint="eastAsia"/>
          <w:szCs w:val="21"/>
        </w:rPr>
        <w:t>，比</w:t>
      </w:r>
      <w:r>
        <w:rPr>
          <w:rFonts w:ascii="宋体" w:hAnsi="宋体" w:hint="eastAsia"/>
          <w:szCs w:val="21"/>
        </w:rPr>
        <w:t>9</w:t>
      </w:r>
      <w:r>
        <w:rPr>
          <w:rFonts w:ascii="宋体" w:hAnsi="宋体" w:hint="eastAsia"/>
          <w:szCs w:val="21"/>
        </w:rPr>
        <w:t>月下降</w:t>
      </w:r>
      <w:r>
        <w:rPr>
          <w:rFonts w:ascii="宋体" w:hAnsi="宋体" w:hint="eastAsia"/>
          <w:szCs w:val="21"/>
        </w:rPr>
        <w:t xml:space="preserve"> 0.38</w:t>
      </w:r>
      <w:r>
        <w:rPr>
          <w:rFonts w:ascii="宋体" w:hAnsi="宋体" w:hint="eastAsia"/>
          <w:szCs w:val="21"/>
        </w:rPr>
        <w:t>个百分点。个人住房贷款利率基本稳定，</w:t>
      </w:r>
      <w:r>
        <w:rPr>
          <w:rFonts w:ascii="宋体" w:hAnsi="宋体" w:hint="eastAsia"/>
          <w:szCs w:val="21"/>
        </w:rPr>
        <w:t xml:space="preserve">12 </w:t>
      </w:r>
      <w:r>
        <w:rPr>
          <w:rFonts w:ascii="宋体" w:hAnsi="宋体" w:hint="eastAsia"/>
          <w:szCs w:val="21"/>
        </w:rPr>
        <w:t>月加权平均利率为</w:t>
      </w:r>
      <w:r>
        <w:rPr>
          <w:rFonts w:ascii="宋体" w:hAnsi="宋体" w:hint="eastAsia"/>
          <w:szCs w:val="21"/>
        </w:rPr>
        <w:t xml:space="preserve"> 5.75%</w:t>
      </w:r>
      <w:r>
        <w:rPr>
          <w:rFonts w:ascii="宋体" w:hAnsi="宋体" w:hint="eastAsia"/>
          <w:szCs w:val="21"/>
        </w:rPr>
        <w:t>，比</w:t>
      </w:r>
      <w:r>
        <w:rPr>
          <w:rFonts w:ascii="宋体" w:hAnsi="宋体" w:hint="eastAsia"/>
          <w:szCs w:val="21"/>
        </w:rPr>
        <w:t>9</w:t>
      </w:r>
      <w:r>
        <w:rPr>
          <w:rFonts w:ascii="宋体" w:hAnsi="宋体" w:hint="eastAsia"/>
          <w:szCs w:val="21"/>
        </w:rPr>
        <w:t>月微升</w:t>
      </w:r>
      <w:r>
        <w:rPr>
          <w:rFonts w:ascii="宋体" w:hAnsi="宋体" w:hint="eastAsia"/>
          <w:szCs w:val="21"/>
        </w:rPr>
        <w:t>0.03</w:t>
      </w:r>
      <w:r>
        <w:rPr>
          <w:rFonts w:ascii="宋体" w:hAnsi="宋体" w:hint="eastAsia"/>
          <w:szCs w:val="21"/>
        </w:rPr>
        <w:t>个百分点。前期出台的支持民营、小</w:t>
      </w:r>
      <w:proofErr w:type="gramStart"/>
      <w:r>
        <w:rPr>
          <w:rFonts w:ascii="宋体" w:hAnsi="宋体" w:hint="eastAsia"/>
          <w:szCs w:val="21"/>
        </w:rPr>
        <w:t>微企业</w:t>
      </w:r>
      <w:proofErr w:type="gramEnd"/>
      <w:r>
        <w:rPr>
          <w:rFonts w:ascii="宋体" w:hAnsi="宋体" w:hint="eastAsia"/>
          <w:szCs w:val="21"/>
        </w:rPr>
        <w:t>的政策效果逐步显现，企业贷款加权平均利率已连续四个月下降，累计下降</w:t>
      </w:r>
      <w:r>
        <w:rPr>
          <w:rFonts w:ascii="宋体" w:hAnsi="宋体" w:hint="eastAsia"/>
          <w:szCs w:val="21"/>
        </w:rPr>
        <w:t xml:space="preserve"> 0.25 </w:t>
      </w:r>
      <w:proofErr w:type="gramStart"/>
      <w:r>
        <w:rPr>
          <w:rFonts w:ascii="宋体" w:hAnsi="宋体" w:hint="eastAsia"/>
          <w:szCs w:val="21"/>
        </w:rPr>
        <w:t>个</w:t>
      </w:r>
      <w:proofErr w:type="gramEnd"/>
      <w:r>
        <w:rPr>
          <w:rFonts w:ascii="宋体" w:hAnsi="宋体" w:hint="eastAsia"/>
          <w:szCs w:val="21"/>
        </w:rPr>
        <w:t>百分点，其中，微型企业贷款利率已连续五个月下降，累计下降</w:t>
      </w:r>
      <w:r>
        <w:rPr>
          <w:rFonts w:ascii="宋体" w:hAnsi="宋体" w:hint="eastAsia"/>
          <w:szCs w:val="21"/>
        </w:rPr>
        <w:t xml:space="preserve"> 0.39</w:t>
      </w:r>
      <w:r>
        <w:rPr>
          <w:rFonts w:ascii="宋体" w:hAnsi="宋体" w:hint="eastAsia"/>
          <w:szCs w:val="21"/>
        </w:rPr>
        <w:t>个百分点。总体看，包括银行贷款、债券、表外融资等在内的全社会综合融资成本较上年末有所下降。股指也处于下行状态，上证综合指数由</w:t>
      </w:r>
      <w:r>
        <w:rPr>
          <w:rFonts w:ascii="宋体" w:hAnsi="宋体" w:hint="eastAsia"/>
          <w:szCs w:val="21"/>
        </w:rPr>
        <w:t>2018</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29</w:t>
      </w:r>
      <w:r>
        <w:rPr>
          <w:rFonts w:ascii="宋体" w:hAnsi="宋体" w:hint="eastAsia"/>
          <w:szCs w:val="21"/>
        </w:rPr>
        <w:t>日的</w:t>
      </w:r>
      <w:r>
        <w:rPr>
          <w:rFonts w:ascii="宋体" w:hAnsi="宋体" w:hint="eastAsia"/>
          <w:szCs w:val="21"/>
        </w:rPr>
        <w:t>3587.03</w:t>
      </w:r>
      <w:r>
        <w:rPr>
          <w:rFonts w:ascii="宋体" w:hAnsi="宋体" w:hint="eastAsia"/>
          <w:szCs w:val="21"/>
        </w:rPr>
        <w:t>点跌至</w:t>
      </w:r>
      <w:r>
        <w:rPr>
          <w:rFonts w:ascii="宋体" w:hAnsi="宋体" w:hint="eastAsia"/>
          <w:szCs w:val="21"/>
        </w:rPr>
        <w:t>2019</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4</w:t>
      </w:r>
      <w:r>
        <w:rPr>
          <w:rFonts w:ascii="宋体" w:hAnsi="宋体" w:hint="eastAsia"/>
          <w:szCs w:val="21"/>
        </w:rPr>
        <w:t>日的</w:t>
      </w:r>
      <w:r>
        <w:rPr>
          <w:rFonts w:ascii="宋体" w:hAnsi="宋体" w:hint="eastAsia"/>
          <w:szCs w:val="21"/>
        </w:rPr>
        <w:t>2440.91</w:t>
      </w:r>
      <w:r>
        <w:rPr>
          <w:rFonts w:ascii="宋体" w:hAnsi="宋体" w:hint="eastAsia"/>
          <w:szCs w:val="21"/>
        </w:rPr>
        <w:t>点，目前有所回升。</w:t>
      </w:r>
    </w:p>
    <w:p w:rsidR="00167400" w:rsidRDefault="00C64B37">
      <w:pPr>
        <w:spacing w:line="360" w:lineRule="auto"/>
        <w:ind w:firstLineChars="300" w:firstLine="630"/>
        <w:rPr>
          <w:rFonts w:ascii="宋体" w:hAnsi="宋体"/>
          <w:szCs w:val="21"/>
        </w:rPr>
      </w:pPr>
      <w:r>
        <w:rPr>
          <w:rFonts w:ascii="宋体" w:hAnsi="宋体" w:hint="eastAsia"/>
          <w:szCs w:val="21"/>
        </w:rPr>
        <w:t>受美联储连续四次加息、境内外币资金供求变化等因素影响，外币存贷款利率持续上升。</w:t>
      </w:r>
      <w:r>
        <w:rPr>
          <w:rFonts w:ascii="宋体" w:hAnsi="宋体" w:hint="eastAsia"/>
          <w:szCs w:val="21"/>
        </w:rPr>
        <w:t>12</w:t>
      </w:r>
      <w:r>
        <w:rPr>
          <w:rFonts w:ascii="宋体" w:hAnsi="宋体" w:hint="eastAsia"/>
          <w:szCs w:val="21"/>
        </w:rPr>
        <w:t>月，活期、</w:t>
      </w:r>
      <w:r>
        <w:rPr>
          <w:rFonts w:ascii="宋体" w:hAnsi="宋体" w:hint="eastAsia"/>
          <w:szCs w:val="21"/>
        </w:rPr>
        <w:t>3</w:t>
      </w:r>
      <w:r>
        <w:rPr>
          <w:rFonts w:ascii="宋体" w:hAnsi="宋体" w:hint="eastAsia"/>
          <w:szCs w:val="21"/>
        </w:rPr>
        <w:t>个月以内大额美元存款加权平均利率分别为</w:t>
      </w:r>
      <w:r>
        <w:rPr>
          <w:rFonts w:ascii="宋体" w:hAnsi="宋体" w:hint="eastAsia"/>
          <w:szCs w:val="21"/>
        </w:rPr>
        <w:t>0.40%</w:t>
      </w:r>
      <w:r>
        <w:rPr>
          <w:rFonts w:ascii="宋体" w:hAnsi="宋体" w:hint="eastAsia"/>
          <w:szCs w:val="21"/>
        </w:rPr>
        <w:t>和</w:t>
      </w:r>
      <w:r>
        <w:rPr>
          <w:rFonts w:ascii="宋体" w:hAnsi="宋体" w:hint="eastAsia"/>
          <w:szCs w:val="21"/>
        </w:rPr>
        <w:t xml:space="preserve"> 2.64%</w:t>
      </w:r>
      <w:r>
        <w:rPr>
          <w:rFonts w:ascii="宋体" w:hAnsi="宋体" w:hint="eastAsia"/>
          <w:szCs w:val="21"/>
        </w:rPr>
        <w:t>，分别较上年末上升</w:t>
      </w:r>
      <w:r>
        <w:rPr>
          <w:rFonts w:ascii="宋体" w:hAnsi="宋体" w:hint="eastAsia"/>
          <w:szCs w:val="21"/>
        </w:rPr>
        <w:t>0.20</w:t>
      </w:r>
      <w:r>
        <w:rPr>
          <w:rFonts w:ascii="宋体" w:hAnsi="宋体" w:hint="eastAsia"/>
          <w:szCs w:val="21"/>
        </w:rPr>
        <w:t>个和</w:t>
      </w:r>
      <w:r>
        <w:rPr>
          <w:rFonts w:ascii="宋体" w:hAnsi="宋体" w:hint="eastAsia"/>
          <w:szCs w:val="21"/>
        </w:rPr>
        <w:t>0.94</w:t>
      </w:r>
      <w:r>
        <w:rPr>
          <w:rFonts w:ascii="宋体" w:hAnsi="宋体" w:hint="eastAsia"/>
          <w:szCs w:val="21"/>
        </w:rPr>
        <w:t>个百分点；</w:t>
      </w:r>
      <w:r>
        <w:rPr>
          <w:rFonts w:ascii="宋体" w:hAnsi="宋体" w:hint="eastAsia"/>
          <w:szCs w:val="21"/>
        </w:rPr>
        <w:t>3</w:t>
      </w:r>
      <w:r>
        <w:rPr>
          <w:rFonts w:ascii="宋体" w:hAnsi="宋体" w:hint="eastAsia"/>
          <w:szCs w:val="21"/>
        </w:rPr>
        <w:t>个月以内、</w:t>
      </w:r>
      <w:r>
        <w:rPr>
          <w:rFonts w:ascii="宋体" w:hAnsi="宋体" w:hint="eastAsia"/>
          <w:szCs w:val="21"/>
        </w:rPr>
        <w:t>3</w:t>
      </w:r>
      <w:r>
        <w:rPr>
          <w:rFonts w:ascii="宋体" w:hAnsi="宋体" w:hint="eastAsia"/>
          <w:szCs w:val="21"/>
        </w:rPr>
        <w:t>（含）</w:t>
      </w:r>
      <w:r>
        <w:rPr>
          <w:rFonts w:ascii="宋体" w:hAnsi="宋体" w:hint="eastAsia"/>
          <w:szCs w:val="21"/>
        </w:rPr>
        <w:t>-6</w:t>
      </w:r>
      <w:r>
        <w:rPr>
          <w:rFonts w:ascii="宋体" w:hAnsi="宋体" w:hint="eastAsia"/>
          <w:szCs w:val="21"/>
        </w:rPr>
        <w:t>个月美元贷款加权平均利率分别为</w:t>
      </w:r>
      <w:r>
        <w:rPr>
          <w:rFonts w:ascii="宋体" w:hAnsi="宋体" w:hint="eastAsia"/>
          <w:szCs w:val="21"/>
        </w:rPr>
        <w:t>3.61%</w:t>
      </w:r>
      <w:r>
        <w:rPr>
          <w:rFonts w:ascii="宋体" w:hAnsi="宋体" w:hint="eastAsia"/>
          <w:szCs w:val="21"/>
        </w:rPr>
        <w:t>和</w:t>
      </w:r>
      <w:r>
        <w:rPr>
          <w:rFonts w:ascii="宋体" w:hAnsi="宋体" w:hint="eastAsia"/>
          <w:szCs w:val="21"/>
        </w:rPr>
        <w:t>3.89%</w:t>
      </w:r>
      <w:r>
        <w:rPr>
          <w:rFonts w:ascii="宋体" w:hAnsi="宋体" w:hint="eastAsia"/>
          <w:szCs w:val="21"/>
        </w:rPr>
        <w:t>，分别较上年末上升</w:t>
      </w:r>
      <w:r>
        <w:rPr>
          <w:rFonts w:ascii="宋体" w:hAnsi="宋体" w:hint="eastAsia"/>
          <w:szCs w:val="21"/>
        </w:rPr>
        <w:t>0.94</w:t>
      </w:r>
      <w:r>
        <w:rPr>
          <w:rFonts w:ascii="宋体" w:hAnsi="宋体" w:hint="eastAsia"/>
          <w:szCs w:val="21"/>
        </w:rPr>
        <w:t>个和</w:t>
      </w:r>
      <w:r>
        <w:rPr>
          <w:rFonts w:ascii="宋体" w:hAnsi="宋体" w:hint="eastAsia"/>
          <w:szCs w:val="21"/>
        </w:rPr>
        <w:t>0.90</w:t>
      </w:r>
      <w:r>
        <w:rPr>
          <w:rFonts w:ascii="宋体" w:hAnsi="宋体" w:hint="eastAsia"/>
          <w:szCs w:val="21"/>
        </w:rPr>
        <w:t>个百分点。</w:t>
      </w:r>
    </w:p>
    <w:p w:rsidR="00167400" w:rsidRPr="00BC1C0D" w:rsidRDefault="00C64B37">
      <w:pPr>
        <w:numPr>
          <w:ilvl w:val="0"/>
          <w:numId w:val="2"/>
        </w:numPr>
        <w:spacing w:line="360" w:lineRule="auto"/>
        <w:rPr>
          <w:rFonts w:ascii="宋体" w:hAnsi="宋体"/>
          <w:szCs w:val="21"/>
          <w:highlight w:val="yellow"/>
        </w:rPr>
      </w:pPr>
      <w:r w:rsidRPr="00BC1C0D">
        <w:rPr>
          <w:rFonts w:ascii="宋体" w:hAnsi="宋体" w:hint="eastAsia"/>
          <w:szCs w:val="21"/>
          <w:highlight w:val="yellow"/>
        </w:rPr>
        <w:lastRenderedPageBreak/>
        <w:t>银行业景气周期分析</w:t>
      </w:r>
    </w:p>
    <w:p w:rsidR="00167400" w:rsidRDefault="00C64B37">
      <w:pPr>
        <w:spacing w:line="360" w:lineRule="auto"/>
        <w:ind w:firstLineChars="200" w:firstLine="420"/>
        <w:rPr>
          <w:rFonts w:ascii="宋体" w:hAnsi="宋体"/>
          <w:szCs w:val="21"/>
        </w:rPr>
      </w:pPr>
      <w:r>
        <w:rPr>
          <w:rFonts w:ascii="宋体" w:hAnsi="宋体" w:hint="eastAsia"/>
          <w:szCs w:val="21"/>
        </w:rPr>
        <w:t>根据银行家问卷调查结果显示</w:t>
      </w:r>
      <w:r>
        <w:rPr>
          <w:rFonts w:ascii="宋体" w:hAnsi="宋体" w:hint="eastAsia"/>
          <w:szCs w:val="21"/>
        </w:rPr>
        <w:t>2018</w:t>
      </w:r>
      <w:r>
        <w:rPr>
          <w:rFonts w:ascii="宋体" w:hAnsi="宋体" w:hint="eastAsia"/>
          <w:szCs w:val="21"/>
        </w:rPr>
        <w:t>年第四季度</w:t>
      </w:r>
      <w:r w:rsidRPr="00FB76C5">
        <w:rPr>
          <w:rFonts w:ascii="宋体" w:hAnsi="宋体" w:hint="eastAsia"/>
          <w:szCs w:val="21"/>
          <w:highlight w:val="yellow"/>
        </w:rPr>
        <w:t>银行家宏观经济热度指数</w:t>
      </w:r>
      <w:r>
        <w:rPr>
          <w:rFonts w:ascii="宋体" w:hAnsi="宋体" w:hint="eastAsia"/>
          <w:szCs w:val="21"/>
        </w:rPr>
        <w:t>为</w:t>
      </w:r>
      <w:r>
        <w:rPr>
          <w:rFonts w:ascii="宋体" w:hAnsi="宋体" w:hint="eastAsia"/>
          <w:szCs w:val="21"/>
        </w:rPr>
        <w:t>34.4%</w:t>
      </w:r>
      <w:r>
        <w:rPr>
          <w:rFonts w:ascii="宋体" w:hAnsi="宋体" w:hint="eastAsia"/>
          <w:szCs w:val="21"/>
        </w:rPr>
        <w:t>，比上季降低</w:t>
      </w:r>
      <w:r>
        <w:rPr>
          <w:rFonts w:ascii="宋体" w:hAnsi="宋体" w:hint="eastAsia"/>
          <w:szCs w:val="21"/>
        </w:rPr>
        <w:t xml:space="preserve"> 1.1 </w:t>
      </w:r>
      <w:proofErr w:type="gramStart"/>
      <w:r>
        <w:rPr>
          <w:rFonts w:ascii="宋体" w:hAnsi="宋体" w:hint="eastAsia"/>
          <w:szCs w:val="21"/>
        </w:rPr>
        <w:t>个</w:t>
      </w:r>
      <w:proofErr w:type="gramEnd"/>
      <w:r>
        <w:rPr>
          <w:rFonts w:ascii="宋体" w:hAnsi="宋体" w:hint="eastAsia"/>
          <w:szCs w:val="21"/>
        </w:rPr>
        <w:t>百分点。其中，</w:t>
      </w:r>
      <w:r>
        <w:rPr>
          <w:rFonts w:ascii="宋体" w:hAnsi="宋体" w:hint="eastAsia"/>
          <w:szCs w:val="21"/>
        </w:rPr>
        <w:t>6</w:t>
      </w:r>
      <w:r>
        <w:rPr>
          <w:rFonts w:ascii="宋体" w:hAnsi="宋体" w:hint="eastAsia"/>
          <w:szCs w:val="21"/>
        </w:rPr>
        <w:t>6.8%</w:t>
      </w:r>
      <w:r>
        <w:rPr>
          <w:rFonts w:ascii="宋体" w:hAnsi="宋体" w:hint="eastAsia"/>
          <w:szCs w:val="21"/>
        </w:rPr>
        <w:t>的银行家认为当前宏观经济“正常”，比上季降低</w:t>
      </w:r>
      <w:r>
        <w:rPr>
          <w:rFonts w:ascii="宋体" w:hAnsi="宋体" w:hint="eastAsia"/>
          <w:szCs w:val="21"/>
        </w:rPr>
        <w:t xml:space="preserve"> 1.8 </w:t>
      </w:r>
      <w:proofErr w:type="gramStart"/>
      <w:r>
        <w:rPr>
          <w:rFonts w:ascii="宋体" w:hAnsi="宋体" w:hint="eastAsia"/>
          <w:szCs w:val="21"/>
        </w:rPr>
        <w:t>个</w:t>
      </w:r>
      <w:proofErr w:type="gramEnd"/>
      <w:r>
        <w:rPr>
          <w:rFonts w:ascii="宋体" w:hAnsi="宋体" w:hint="eastAsia"/>
          <w:szCs w:val="21"/>
        </w:rPr>
        <w:t>百分点；</w:t>
      </w:r>
      <w:r>
        <w:rPr>
          <w:rFonts w:ascii="宋体" w:hAnsi="宋体" w:hint="eastAsia"/>
          <w:szCs w:val="21"/>
        </w:rPr>
        <w:t>32.2%</w:t>
      </w:r>
      <w:r>
        <w:rPr>
          <w:rFonts w:ascii="宋体" w:hAnsi="宋体" w:hint="eastAsia"/>
          <w:szCs w:val="21"/>
        </w:rPr>
        <w:t>的银行家认为当前宏观经济“偏冷”，比上季提高</w:t>
      </w:r>
      <w:r>
        <w:rPr>
          <w:rFonts w:ascii="宋体" w:hAnsi="宋体" w:hint="eastAsia"/>
          <w:szCs w:val="21"/>
        </w:rPr>
        <w:t xml:space="preserve"> 2.0 </w:t>
      </w:r>
      <w:proofErr w:type="gramStart"/>
      <w:r>
        <w:rPr>
          <w:rFonts w:ascii="宋体" w:hAnsi="宋体" w:hint="eastAsia"/>
          <w:szCs w:val="21"/>
        </w:rPr>
        <w:t>个</w:t>
      </w:r>
      <w:proofErr w:type="gramEnd"/>
      <w:r>
        <w:rPr>
          <w:rFonts w:ascii="宋体" w:hAnsi="宋体" w:hint="eastAsia"/>
          <w:szCs w:val="21"/>
        </w:rPr>
        <w:t>百分点。对下季度，银行家宏观经济热度预期指数为</w:t>
      </w:r>
      <w:r>
        <w:rPr>
          <w:rFonts w:ascii="宋体" w:hAnsi="宋体" w:hint="eastAsia"/>
          <w:szCs w:val="21"/>
        </w:rPr>
        <w:t>37.8%</w:t>
      </w:r>
      <w:r>
        <w:rPr>
          <w:rFonts w:ascii="宋体" w:hAnsi="宋体" w:hint="eastAsia"/>
          <w:szCs w:val="21"/>
        </w:rPr>
        <w:t>，高于本季判断</w:t>
      </w:r>
      <w:r>
        <w:rPr>
          <w:rFonts w:ascii="宋体" w:hAnsi="宋体" w:hint="eastAsia"/>
          <w:szCs w:val="21"/>
        </w:rPr>
        <w:t>3.4</w:t>
      </w:r>
      <w:r>
        <w:rPr>
          <w:rFonts w:ascii="宋体" w:hAnsi="宋体" w:hint="eastAsia"/>
          <w:szCs w:val="21"/>
        </w:rPr>
        <w:t>个百分点。</w:t>
      </w:r>
      <w:r w:rsidRPr="00FB76C5">
        <w:rPr>
          <w:rFonts w:ascii="宋体" w:hAnsi="宋体" w:hint="eastAsia"/>
          <w:szCs w:val="21"/>
          <w:highlight w:val="yellow"/>
        </w:rPr>
        <w:t>银行家宏观经济信心指数</w:t>
      </w:r>
      <w:r>
        <w:rPr>
          <w:rFonts w:ascii="宋体" w:hAnsi="宋体" w:hint="eastAsia"/>
          <w:szCs w:val="21"/>
        </w:rPr>
        <w:t>为</w:t>
      </w:r>
      <w:r>
        <w:rPr>
          <w:rFonts w:ascii="宋体" w:hAnsi="宋体" w:hint="eastAsia"/>
          <w:szCs w:val="21"/>
        </w:rPr>
        <w:t>68.5%</w:t>
      </w:r>
      <w:r>
        <w:rPr>
          <w:rFonts w:ascii="宋体" w:hAnsi="宋体" w:hint="eastAsia"/>
          <w:szCs w:val="21"/>
        </w:rPr>
        <w:t>，比上季降低</w:t>
      </w:r>
      <w:r>
        <w:rPr>
          <w:rFonts w:ascii="宋体" w:hAnsi="宋体" w:hint="eastAsia"/>
          <w:szCs w:val="21"/>
        </w:rPr>
        <w:t xml:space="preserve"> 1.0 </w:t>
      </w:r>
      <w:proofErr w:type="gramStart"/>
      <w:r>
        <w:rPr>
          <w:rFonts w:ascii="宋体" w:hAnsi="宋体" w:hint="eastAsia"/>
          <w:szCs w:val="21"/>
        </w:rPr>
        <w:t>个</w:t>
      </w:r>
      <w:proofErr w:type="gramEnd"/>
      <w:r>
        <w:rPr>
          <w:rFonts w:ascii="宋体" w:hAnsi="宋体" w:hint="eastAsia"/>
          <w:szCs w:val="21"/>
        </w:rPr>
        <w:t>百分点。银行业景气指数为</w:t>
      </w:r>
      <w:r>
        <w:rPr>
          <w:rFonts w:ascii="宋体" w:hAnsi="宋体" w:hint="eastAsia"/>
          <w:szCs w:val="21"/>
        </w:rPr>
        <w:t xml:space="preserve"> 68.7%</w:t>
      </w:r>
      <w:r>
        <w:rPr>
          <w:rFonts w:ascii="宋体" w:hAnsi="宋体" w:hint="eastAsia"/>
          <w:szCs w:val="21"/>
        </w:rPr>
        <w:t>，比上季和上年同期分别提高</w:t>
      </w:r>
      <w:r>
        <w:rPr>
          <w:rFonts w:ascii="宋体" w:hAnsi="宋体" w:hint="eastAsia"/>
          <w:szCs w:val="21"/>
        </w:rPr>
        <w:t xml:space="preserve"> 1.2 </w:t>
      </w:r>
      <w:r>
        <w:rPr>
          <w:rFonts w:ascii="宋体" w:hAnsi="宋体" w:hint="eastAsia"/>
          <w:szCs w:val="21"/>
        </w:rPr>
        <w:t>和</w:t>
      </w:r>
      <w:r>
        <w:rPr>
          <w:rFonts w:ascii="宋体" w:hAnsi="宋体" w:hint="eastAsia"/>
          <w:szCs w:val="21"/>
        </w:rPr>
        <w:t xml:space="preserve"> 0.3 </w:t>
      </w:r>
      <w:proofErr w:type="gramStart"/>
      <w:r>
        <w:rPr>
          <w:rFonts w:ascii="宋体" w:hAnsi="宋体" w:hint="eastAsia"/>
          <w:szCs w:val="21"/>
        </w:rPr>
        <w:t>个</w:t>
      </w:r>
      <w:proofErr w:type="gramEnd"/>
      <w:r>
        <w:rPr>
          <w:rFonts w:ascii="宋体" w:hAnsi="宋体" w:hint="eastAsia"/>
          <w:szCs w:val="21"/>
        </w:rPr>
        <w:t>百分点。银行盈利指数为</w:t>
      </w:r>
      <w:r>
        <w:rPr>
          <w:rFonts w:ascii="宋体" w:hAnsi="宋体" w:hint="eastAsia"/>
          <w:szCs w:val="21"/>
        </w:rPr>
        <w:t xml:space="preserve"> 65.7%</w:t>
      </w:r>
      <w:r>
        <w:rPr>
          <w:rFonts w:ascii="宋体" w:hAnsi="宋体" w:hint="eastAsia"/>
          <w:szCs w:val="21"/>
        </w:rPr>
        <w:t>，分别比上季和上年同期降低</w:t>
      </w:r>
      <w:r>
        <w:rPr>
          <w:rFonts w:ascii="宋体" w:hAnsi="宋体" w:hint="eastAsia"/>
          <w:szCs w:val="21"/>
        </w:rPr>
        <w:t xml:space="preserve"> 1.2 </w:t>
      </w:r>
      <w:r>
        <w:rPr>
          <w:rFonts w:ascii="宋体" w:hAnsi="宋体" w:hint="eastAsia"/>
          <w:szCs w:val="21"/>
        </w:rPr>
        <w:t>和</w:t>
      </w:r>
      <w:r>
        <w:rPr>
          <w:rFonts w:ascii="宋体" w:hAnsi="宋体" w:hint="eastAsia"/>
          <w:szCs w:val="21"/>
        </w:rPr>
        <w:t xml:space="preserve"> 2.6 </w:t>
      </w:r>
      <w:proofErr w:type="gramStart"/>
      <w:r>
        <w:rPr>
          <w:rFonts w:ascii="宋体" w:hAnsi="宋体" w:hint="eastAsia"/>
          <w:szCs w:val="21"/>
        </w:rPr>
        <w:t>个</w:t>
      </w:r>
      <w:proofErr w:type="gramEnd"/>
      <w:r>
        <w:rPr>
          <w:rFonts w:ascii="宋体" w:hAnsi="宋体" w:hint="eastAsia"/>
          <w:szCs w:val="21"/>
        </w:rPr>
        <w:t>百分点。从图</w:t>
      </w:r>
      <w:r>
        <w:rPr>
          <w:rFonts w:ascii="宋体" w:hAnsi="宋体" w:hint="eastAsia"/>
          <w:szCs w:val="21"/>
        </w:rPr>
        <w:t>1</w:t>
      </w:r>
      <w:r>
        <w:rPr>
          <w:rFonts w:ascii="宋体" w:hAnsi="宋体" w:hint="eastAsia"/>
          <w:szCs w:val="21"/>
        </w:rPr>
        <w:t>近三年的银行家问卷调查所得的银行业景气指数趋势</w:t>
      </w:r>
      <w:r>
        <w:rPr>
          <w:rFonts w:ascii="宋体" w:hAnsi="宋体" w:hint="eastAsia"/>
          <w:szCs w:val="21"/>
        </w:rPr>
        <w:t>图来分析，银行业的景气指数在处于不断的上升的时期，盈利指数也在不断的缓慢的上升。</w:t>
      </w:r>
    </w:p>
    <w:p w:rsidR="00167400" w:rsidRDefault="00C64B37">
      <w:pPr>
        <w:spacing w:line="360" w:lineRule="auto"/>
        <w:ind w:firstLineChars="100" w:firstLine="210"/>
        <w:rPr>
          <w:rFonts w:ascii="宋体" w:hAnsi="宋体"/>
          <w:szCs w:val="21"/>
        </w:rPr>
      </w:pPr>
      <w:r>
        <w:rPr>
          <w:rFonts w:ascii="宋体" w:hAnsi="宋体" w:hint="eastAsia"/>
          <w:noProof/>
          <w:szCs w:val="21"/>
        </w:rPr>
        <w:drawing>
          <wp:inline distT="0" distB="0" distL="114300" distR="114300">
            <wp:extent cx="5046980" cy="232410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67400" w:rsidRDefault="00C64B37">
      <w:pPr>
        <w:spacing w:line="360" w:lineRule="auto"/>
        <w:ind w:firstLineChars="600" w:firstLine="1260"/>
        <w:rPr>
          <w:rFonts w:ascii="宋体" w:hAnsi="宋体"/>
          <w:szCs w:val="21"/>
        </w:rPr>
      </w:pPr>
      <w:r>
        <w:rPr>
          <w:rFonts w:ascii="宋体" w:hAnsi="宋体" w:hint="eastAsia"/>
          <w:szCs w:val="21"/>
        </w:rPr>
        <w:t>图</w:t>
      </w:r>
      <w:r>
        <w:rPr>
          <w:rFonts w:ascii="宋体" w:hAnsi="宋体" w:hint="eastAsia"/>
          <w:szCs w:val="21"/>
        </w:rPr>
        <w:t xml:space="preserve">1    </w:t>
      </w:r>
      <w:r>
        <w:rPr>
          <w:rFonts w:ascii="宋体" w:hAnsi="宋体" w:hint="eastAsia"/>
          <w:szCs w:val="21"/>
        </w:rPr>
        <w:t>银行业景气指数和银行盈利指数</w:t>
      </w:r>
      <w:r>
        <w:rPr>
          <w:rFonts w:ascii="宋体" w:hAnsi="宋体" w:hint="eastAsia"/>
          <w:szCs w:val="21"/>
        </w:rPr>
        <w:t xml:space="preserve"> </w:t>
      </w:r>
    </w:p>
    <w:p w:rsidR="00167400" w:rsidRDefault="00C64B37">
      <w:pPr>
        <w:numPr>
          <w:ilvl w:val="0"/>
          <w:numId w:val="2"/>
        </w:numPr>
        <w:spacing w:line="360" w:lineRule="auto"/>
        <w:rPr>
          <w:rFonts w:ascii="宋体" w:hAnsi="宋体"/>
          <w:szCs w:val="21"/>
        </w:rPr>
      </w:pPr>
      <w:r>
        <w:rPr>
          <w:rFonts w:ascii="宋体" w:hAnsi="宋体" w:hint="eastAsia"/>
          <w:szCs w:val="21"/>
        </w:rPr>
        <w:t>商业银行</w:t>
      </w:r>
      <w:r w:rsidRPr="00BC1C0D">
        <w:rPr>
          <w:rFonts w:ascii="宋体" w:hAnsi="宋体" w:hint="eastAsia"/>
          <w:szCs w:val="21"/>
          <w:highlight w:val="yellow"/>
        </w:rPr>
        <w:t>经营指标</w:t>
      </w:r>
      <w:r>
        <w:rPr>
          <w:rFonts w:ascii="宋体" w:hAnsi="宋体" w:hint="eastAsia"/>
          <w:szCs w:val="21"/>
        </w:rPr>
        <w:t>分析</w:t>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商业银行包括</w:t>
      </w:r>
      <w:r w:rsidRPr="00BC1C0D">
        <w:rPr>
          <w:rFonts w:ascii="宋体" w:hAnsi="宋体" w:hint="eastAsia"/>
          <w:szCs w:val="21"/>
          <w:u w:val="single"/>
        </w:rPr>
        <w:t>大型商业银行、股份制商业银行、农村商业银行、城市商业银行、其他金融机构</w:t>
      </w:r>
      <w:r>
        <w:rPr>
          <w:rFonts w:ascii="宋体" w:hAnsi="宋体" w:hint="eastAsia"/>
          <w:szCs w:val="21"/>
        </w:rPr>
        <w:t>，其中其他金融机构主要包括</w:t>
      </w:r>
      <w:r w:rsidRPr="00BC1C0D">
        <w:rPr>
          <w:rFonts w:ascii="宋体" w:hAnsi="宋体" w:hint="eastAsia"/>
          <w:szCs w:val="21"/>
          <w:u w:val="single"/>
        </w:rPr>
        <w:t>政策性银行、国家开发银行、民营银行、外资银行</w:t>
      </w:r>
      <w:r>
        <w:rPr>
          <w:rFonts w:ascii="宋体" w:hAnsi="宋体" w:hint="eastAsia"/>
          <w:szCs w:val="21"/>
        </w:rPr>
        <w:t>等，对于我国商业银行发展的分析本文主要从以下五方面进行分析。</w:t>
      </w:r>
    </w:p>
    <w:p w:rsidR="00167400" w:rsidRPr="00115365" w:rsidRDefault="00C64B37">
      <w:pPr>
        <w:numPr>
          <w:ilvl w:val="0"/>
          <w:numId w:val="5"/>
        </w:numPr>
        <w:spacing w:line="360" w:lineRule="auto"/>
        <w:rPr>
          <w:rFonts w:ascii="宋体" w:hAnsi="宋体"/>
          <w:szCs w:val="21"/>
          <w:highlight w:val="yellow"/>
        </w:rPr>
      </w:pPr>
      <w:r w:rsidRPr="00115365">
        <w:rPr>
          <w:rFonts w:ascii="宋体" w:hAnsi="宋体" w:hint="eastAsia"/>
          <w:szCs w:val="21"/>
          <w:highlight w:val="yellow"/>
        </w:rPr>
        <w:t>行业规模</w:t>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分析行业规模也就是分析市场占有率，其目的是为了分析金融机构的发展潜力，主要指标有行业的资产负债规模、资产规模、存款规模、贷款规模及结算规模。其中最重要的是前四项。</w:t>
      </w:r>
    </w:p>
    <w:p w:rsidR="00167400" w:rsidRDefault="00C64B37">
      <w:pPr>
        <w:numPr>
          <w:ilvl w:val="0"/>
          <w:numId w:val="1"/>
        </w:numPr>
        <w:spacing w:line="360" w:lineRule="auto"/>
        <w:rPr>
          <w:rFonts w:ascii="宋体" w:hAnsi="宋体"/>
          <w:szCs w:val="21"/>
        </w:rPr>
      </w:pPr>
      <w:r>
        <w:rPr>
          <w:rFonts w:ascii="宋体" w:hAnsi="宋体" w:hint="eastAsia"/>
          <w:szCs w:val="21"/>
        </w:rPr>
        <w:t>资产负债规模</w:t>
      </w:r>
    </w:p>
    <w:p w:rsidR="00167400" w:rsidRDefault="00C64B37">
      <w:pPr>
        <w:spacing w:line="360" w:lineRule="auto"/>
        <w:rPr>
          <w:rFonts w:ascii="宋体" w:hAnsi="宋体"/>
          <w:szCs w:val="21"/>
        </w:rPr>
      </w:pPr>
      <w:r>
        <w:rPr>
          <w:rFonts w:ascii="宋体" w:hAnsi="宋体" w:hint="eastAsia"/>
          <w:szCs w:val="21"/>
        </w:rPr>
        <w:t>表</w:t>
      </w:r>
      <w:r>
        <w:rPr>
          <w:rFonts w:ascii="宋体" w:hAnsi="宋体" w:hint="eastAsia"/>
          <w:szCs w:val="21"/>
        </w:rPr>
        <w:t xml:space="preserve">1         </w:t>
      </w:r>
      <w:r>
        <w:rPr>
          <w:rFonts w:ascii="宋体" w:hAnsi="宋体" w:hint="eastAsia"/>
          <w:szCs w:val="21"/>
        </w:rPr>
        <w:t>银行业金融机构资产负债情况</w:t>
      </w:r>
      <w:r>
        <w:rPr>
          <w:rFonts w:ascii="宋体" w:hAnsi="宋体" w:hint="eastAsia"/>
          <w:szCs w:val="21"/>
        </w:rPr>
        <w:t xml:space="preserve">       </w:t>
      </w:r>
      <w:r>
        <w:rPr>
          <w:rFonts w:ascii="宋体" w:hAnsi="宋体" w:hint="eastAsia"/>
          <w:szCs w:val="21"/>
        </w:rPr>
        <w:t>单位：亿元</w:t>
      </w:r>
      <w:r>
        <w:rPr>
          <w:rFonts w:ascii="宋体" w:hAnsi="宋体" w:hint="eastAsia"/>
          <w:szCs w:val="21"/>
        </w:rPr>
        <w:t xml:space="preserve"> </w:t>
      </w:r>
    </w:p>
    <w:tbl>
      <w:tblPr>
        <w:tblW w:w="8505" w:type="dxa"/>
        <w:tblLayout w:type="fixed"/>
        <w:tblCellMar>
          <w:top w:w="15" w:type="dxa"/>
          <w:left w:w="15" w:type="dxa"/>
          <w:bottom w:w="15" w:type="dxa"/>
          <w:right w:w="15" w:type="dxa"/>
        </w:tblCellMar>
        <w:tblLook w:val="04A0" w:firstRow="1" w:lastRow="0" w:firstColumn="1" w:lastColumn="0" w:noHBand="0" w:noVBand="1"/>
      </w:tblPr>
      <w:tblGrid>
        <w:gridCol w:w="2460"/>
        <w:gridCol w:w="1356"/>
        <w:gridCol w:w="1515"/>
        <w:gridCol w:w="1635"/>
        <w:gridCol w:w="1539"/>
      </w:tblGrid>
      <w:tr w:rsidR="00167400">
        <w:trPr>
          <w:trHeight w:val="286"/>
        </w:trPr>
        <w:tc>
          <w:tcPr>
            <w:tcW w:w="2460"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时间</w:t>
            </w:r>
          </w:p>
        </w:tc>
        <w:tc>
          <w:tcPr>
            <w:tcW w:w="6045" w:type="dxa"/>
            <w:gridSpan w:val="4"/>
            <w:tcBorders>
              <w:top w:val="single" w:sz="4" w:space="0" w:color="000000"/>
              <w:left w:val="single" w:sz="4" w:space="0" w:color="000000"/>
              <w:bottom w:val="single" w:sz="4" w:space="0" w:color="000000"/>
              <w:right w:val="nil"/>
            </w:tcBorders>
            <w:shd w:val="clear" w:color="auto" w:fill="auto"/>
            <w:vAlign w:val="center"/>
          </w:tcPr>
          <w:p w:rsidR="00167400" w:rsidRDefault="00C64B37">
            <w:pPr>
              <w:spacing w:line="360" w:lineRule="auto"/>
              <w:jc w:val="center"/>
              <w:rPr>
                <w:rFonts w:ascii="宋体" w:hAnsi="宋体"/>
                <w:color w:val="000000"/>
                <w:szCs w:val="21"/>
              </w:rPr>
            </w:pPr>
            <w:r>
              <w:rPr>
                <w:rFonts w:ascii="宋体" w:hAnsi="宋体" w:hint="eastAsia"/>
                <w:color w:val="000000"/>
                <w:kern w:val="0"/>
                <w:szCs w:val="21"/>
              </w:rPr>
              <w:t>2018</w:t>
            </w:r>
            <w:r>
              <w:rPr>
                <w:rFonts w:ascii="宋体" w:hAnsi="宋体" w:hint="eastAsia"/>
                <w:color w:val="000000"/>
                <w:kern w:val="0"/>
                <w:szCs w:val="21"/>
              </w:rPr>
              <w:t>年</w:t>
            </w:r>
          </w:p>
        </w:tc>
      </w:tr>
      <w:tr w:rsidR="00167400">
        <w:trPr>
          <w:trHeight w:val="286"/>
        </w:trPr>
        <w:tc>
          <w:tcPr>
            <w:tcW w:w="2460"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lastRenderedPageBreak/>
              <w:t>项目</w:t>
            </w:r>
          </w:p>
        </w:tc>
        <w:tc>
          <w:tcPr>
            <w:tcW w:w="13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一季度</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二季度</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三季度</w:t>
            </w:r>
          </w:p>
        </w:tc>
        <w:tc>
          <w:tcPr>
            <w:tcW w:w="1539"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四季度</w:t>
            </w:r>
          </w:p>
        </w:tc>
      </w:tr>
      <w:tr w:rsidR="00167400">
        <w:trPr>
          <w:trHeight w:val="286"/>
        </w:trPr>
        <w:tc>
          <w:tcPr>
            <w:tcW w:w="2460"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总资产</w:t>
            </w:r>
          </w:p>
        </w:tc>
        <w:tc>
          <w:tcPr>
            <w:tcW w:w="13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2560195</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2601907</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2643365</w:t>
            </w:r>
          </w:p>
        </w:tc>
        <w:tc>
          <w:tcPr>
            <w:tcW w:w="1539"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2682401</w:t>
            </w:r>
          </w:p>
        </w:tc>
      </w:tr>
      <w:tr w:rsidR="00167400">
        <w:trPr>
          <w:trHeight w:val="286"/>
        </w:trPr>
        <w:tc>
          <w:tcPr>
            <w:tcW w:w="2460"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比上年同期增长率</w:t>
            </w:r>
          </w:p>
        </w:tc>
        <w:tc>
          <w:tcPr>
            <w:tcW w:w="13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7.36%</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7%</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6.96%</w:t>
            </w:r>
          </w:p>
        </w:tc>
        <w:tc>
          <w:tcPr>
            <w:tcW w:w="1539"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6.27%</w:t>
            </w:r>
          </w:p>
        </w:tc>
      </w:tr>
      <w:tr w:rsidR="00167400">
        <w:trPr>
          <w:trHeight w:val="286"/>
        </w:trPr>
        <w:tc>
          <w:tcPr>
            <w:tcW w:w="2460"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总负债</w:t>
            </w:r>
          </w:p>
        </w:tc>
        <w:tc>
          <w:tcPr>
            <w:tcW w:w="13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2360129</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2397883</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2432738</w:t>
            </w:r>
          </w:p>
        </w:tc>
        <w:tc>
          <w:tcPr>
            <w:tcW w:w="1539"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2465777</w:t>
            </w:r>
          </w:p>
        </w:tc>
      </w:tr>
      <w:tr w:rsidR="00167400">
        <w:trPr>
          <w:trHeight w:val="286"/>
        </w:trPr>
        <w:tc>
          <w:tcPr>
            <w:tcW w:w="2460"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比上年同期增长率</w:t>
            </w:r>
          </w:p>
        </w:tc>
        <w:tc>
          <w:tcPr>
            <w:tcW w:w="13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7.08%</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6.62%</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6.58%</w:t>
            </w:r>
          </w:p>
        </w:tc>
        <w:tc>
          <w:tcPr>
            <w:tcW w:w="1539"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spacing w:line="360" w:lineRule="auto"/>
              <w:jc w:val="left"/>
              <w:textAlignment w:val="center"/>
              <w:rPr>
                <w:rFonts w:ascii="宋体" w:hAnsi="宋体"/>
                <w:color w:val="000000"/>
                <w:szCs w:val="21"/>
              </w:rPr>
            </w:pPr>
            <w:r>
              <w:rPr>
                <w:rFonts w:ascii="宋体" w:hAnsi="宋体" w:hint="eastAsia"/>
                <w:color w:val="000000"/>
                <w:kern w:val="0"/>
                <w:szCs w:val="21"/>
              </w:rPr>
              <w:t>5.89%</w:t>
            </w:r>
          </w:p>
        </w:tc>
      </w:tr>
    </w:tbl>
    <w:p w:rsidR="00167400" w:rsidRDefault="00C64B37">
      <w:pPr>
        <w:spacing w:line="360" w:lineRule="auto"/>
        <w:ind w:firstLineChars="200" w:firstLine="420"/>
        <w:rPr>
          <w:rFonts w:ascii="宋体" w:hAnsi="宋体"/>
          <w:szCs w:val="21"/>
        </w:rPr>
      </w:pPr>
      <w:r>
        <w:rPr>
          <w:rFonts w:ascii="宋体" w:hAnsi="宋体" w:hint="eastAsia"/>
          <w:szCs w:val="21"/>
        </w:rPr>
        <w:t>从表</w:t>
      </w:r>
      <w:r>
        <w:rPr>
          <w:rFonts w:ascii="宋体" w:hAnsi="宋体" w:hint="eastAsia"/>
          <w:szCs w:val="21"/>
        </w:rPr>
        <w:t>1</w:t>
      </w:r>
      <w:r>
        <w:rPr>
          <w:rFonts w:ascii="宋体" w:hAnsi="宋体" w:hint="eastAsia"/>
          <w:szCs w:val="21"/>
        </w:rPr>
        <w:t>可以看出</w:t>
      </w:r>
      <w:r>
        <w:rPr>
          <w:rFonts w:ascii="宋体" w:hAnsi="宋体" w:hint="eastAsia"/>
          <w:szCs w:val="21"/>
        </w:rPr>
        <w:t>2018</w:t>
      </w:r>
      <w:r>
        <w:rPr>
          <w:rFonts w:ascii="宋体" w:hAnsi="宋体" w:hint="eastAsia"/>
          <w:szCs w:val="21"/>
        </w:rPr>
        <w:t>年四个季度银行业金融机构的资产规模和负债规模都是在不断的增加，但其与上年同期相比其增长率在不断的降低。</w:t>
      </w:r>
      <w:r>
        <w:rPr>
          <w:rFonts w:ascii="宋体" w:hAnsi="宋体" w:hint="eastAsia"/>
          <w:szCs w:val="21"/>
        </w:rPr>
        <w:t xml:space="preserve"> </w:t>
      </w:r>
      <w:r>
        <w:rPr>
          <w:rFonts w:ascii="宋体" w:hAnsi="宋体" w:hint="eastAsia"/>
          <w:szCs w:val="21"/>
        </w:rPr>
        <w:t>截止</w:t>
      </w:r>
      <w:r>
        <w:rPr>
          <w:rFonts w:ascii="宋体" w:hAnsi="宋体" w:hint="eastAsia"/>
          <w:szCs w:val="21"/>
        </w:rPr>
        <w:t>2018</w:t>
      </w:r>
      <w:r>
        <w:rPr>
          <w:rFonts w:ascii="宋体" w:hAnsi="宋体" w:hint="eastAsia"/>
          <w:szCs w:val="21"/>
        </w:rPr>
        <w:t>年末银行业金融机构总资产规模达到</w:t>
      </w:r>
      <w:r>
        <w:rPr>
          <w:rFonts w:ascii="宋体" w:hAnsi="宋体" w:hint="eastAsia"/>
          <w:szCs w:val="21"/>
        </w:rPr>
        <w:t>2682401</w:t>
      </w:r>
      <w:r>
        <w:rPr>
          <w:rFonts w:ascii="宋体" w:hAnsi="宋体" w:hint="eastAsia"/>
          <w:szCs w:val="21"/>
        </w:rPr>
        <w:t>亿元，比上年同期增长了</w:t>
      </w:r>
      <w:r>
        <w:rPr>
          <w:rFonts w:ascii="宋体" w:hAnsi="宋体" w:hint="eastAsia"/>
          <w:szCs w:val="21"/>
        </w:rPr>
        <w:t>158361</w:t>
      </w:r>
      <w:r>
        <w:rPr>
          <w:rFonts w:ascii="宋体" w:hAnsi="宋体" w:hint="eastAsia"/>
          <w:szCs w:val="21"/>
        </w:rPr>
        <w:t>亿元，增长率为</w:t>
      </w:r>
      <w:r>
        <w:rPr>
          <w:rFonts w:ascii="宋体" w:hAnsi="宋体" w:hint="eastAsia"/>
          <w:szCs w:val="21"/>
        </w:rPr>
        <w:t>6.27%</w:t>
      </w:r>
      <w:r>
        <w:rPr>
          <w:rFonts w:ascii="宋体" w:hAnsi="宋体" w:hint="eastAsia"/>
          <w:szCs w:val="21"/>
        </w:rPr>
        <w:t>，银行业金融机构总负债达到了</w:t>
      </w:r>
      <w:r>
        <w:rPr>
          <w:rFonts w:ascii="宋体" w:hAnsi="宋体" w:hint="eastAsia"/>
          <w:szCs w:val="21"/>
        </w:rPr>
        <w:t>2465777</w:t>
      </w:r>
      <w:r>
        <w:rPr>
          <w:rFonts w:ascii="宋体" w:hAnsi="宋体" w:hint="eastAsia"/>
          <w:szCs w:val="21"/>
        </w:rPr>
        <w:t>亿元（人民币，下同），比上年同期增长了</w:t>
      </w:r>
      <w:r>
        <w:rPr>
          <w:rFonts w:ascii="宋体" w:hAnsi="宋体" w:hint="eastAsia"/>
          <w:szCs w:val="21"/>
        </w:rPr>
        <w:t>137073</w:t>
      </w:r>
      <w:r>
        <w:rPr>
          <w:rFonts w:ascii="宋体" w:hAnsi="宋体" w:hint="eastAsia"/>
          <w:szCs w:val="21"/>
        </w:rPr>
        <w:t>亿元，增长率为</w:t>
      </w:r>
      <w:r>
        <w:rPr>
          <w:rFonts w:ascii="宋体" w:hAnsi="宋体" w:hint="eastAsia"/>
          <w:szCs w:val="21"/>
        </w:rPr>
        <w:t>5.89%</w:t>
      </w:r>
      <w:r>
        <w:rPr>
          <w:rFonts w:ascii="宋体" w:hAnsi="宋体" w:hint="eastAsia"/>
          <w:szCs w:val="21"/>
        </w:rPr>
        <w:t>，其中各类商业银行的</w:t>
      </w:r>
      <w:r>
        <w:rPr>
          <w:rFonts w:ascii="宋体" w:hAnsi="宋体" w:hint="eastAsia"/>
          <w:szCs w:val="21"/>
        </w:rPr>
        <w:t>2018</w:t>
      </w:r>
      <w:r>
        <w:rPr>
          <w:rFonts w:ascii="宋体" w:hAnsi="宋体" w:hint="eastAsia"/>
          <w:szCs w:val="21"/>
        </w:rPr>
        <w:t>年年末的资产负债余额如下表</w:t>
      </w:r>
      <w:r>
        <w:rPr>
          <w:rFonts w:ascii="宋体" w:hAnsi="宋体" w:hint="eastAsia"/>
          <w:szCs w:val="21"/>
        </w:rPr>
        <w:t>2</w:t>
      </w:r>
      <w:r>
        <w:rPr>
          <w:rFonts w:ascii="宋体" w:hAnsi="宋体" w:hint="eastAsia"/>
          <w:szCs w:val="21"/>
        </w:rPr>
        <w:t>。</w:t>
      </w:r>
    </w:p>
    <w:p w:rsidR="00167400" w:rsidRDefault="00C64B37">
      <w:pPr>
        <w:spacing w:line="360" w:lineRule="auto"/>
        <w:rPr>
          <w:rFonts w:ascii="宋体" w:hAnsi="宋体"/>
          <w:szCs w:val="21"/>
        </w:rPr>
      </w:pPr>
      <w:r>
        <w:rPr>
          <w:rFonts w:ascii="宋体" w:hAnsi="宋体" w:hint="eastAsia"/>
          <w:szCs w:val="21"/>
        </w:rPr>
        <w:t>表</w:t>
      </w:r>
      <w:r>
        <w:rPr>
          <w:rFonts w:ascii="宋体" w:hAnsi="宋体" w:hint="eastAsia"/>
          <w:szCs w:val="21"/>
        </w:rPr>
        <w:t>2     2018</w:t>
      </w:r>
      <w:r>
        <w:rPr>
          <w:rFonts w:ascii="宋体" w:hAnsi="宋体" w:hint="eastAsia"/>
          <w:szCs w:val="21"/>
        </w:rPr>
        <w:t>年年末各商业银行资产负债余额</w:t>
      </w:r>
      <w:r>
        <w:rPr>
          <w:rFonts w:ascii="宋体" w:hAnsi="宋体" w:hint="eastAsia"/>
          <w:szCs w:val="21"/>
        </w:rPr>
        <w:t xml:space="preserve">         </w:t>
      </w:r>
      <w:r>
        <w:rPr>
          <w:rFonts w:ascii="宋体" w:hAnsi="宋体" w:hint="eastAsia"/>
          <w:szCs w:val="21"/>
        </w:rPr>
        <w:t>单位：亿元</w:t>
      </w:r>
      <w:r>
        <w:rPr>
          <w:rFonts w:ascii="宋体" w:hAnsi="宋体" w:hint="eastAsia"/>
          <w:szCs w:val="21"/>
        </w:rPr>
        <w:t xml:space="preserve">       </w:t>
      </w:r>
    </w:p>
    <w:tbl>
      <w:tblPr>
        <w:tblW w:w="8346" w:type="dxa"/>
        <w:tblLayout w:type="fixed"/>
        <w:tblCellMar>
          <w:top w:w="15" w:type="dxa"/>
          <w:left w:w="15" w:type="dxa"/>
          <w:bottom w:w="15" w:type="dxa"/>
          <w:right w:w="15" w:type="dxa"/>
        </w:tblCellMar>
        <w:tblLook w:val="04A0" w:firstRow="1" w:lastRow="0" w:firstColumn="1" w:lastColumn="0" w:noHBand="0" w:noVBand="1"/>
      </w:tblPr>
      <w:tblGrid>
        <w:gridCol w:w="1080"/>
        <w:gridCol w:w="1431"/>
        <w:gridCol w:w="1605"/>
        <w:gridCol w:w="1395"/>
        <w:gridCol w:w="1380"/>
        <w:gridCol w:w="1455"/>
      </w:tblGrid>
      <w:tr w:rsidR="00167400">
        <w:trPr>
          <w:trHeight w:val="286"/>
        </w:trPr>
        <w:tc>
          <w:tcPr>
            <w:tcW w:w="1080" w:type="dxa"/>
            <w:tcBorders>
              <w:top w:val="single" w:sz="4" w:space="0" w:color="000000"/>
              <w:bottom w:val="single" w:sz="4" w:space="0" w:color="000000"/>
              <w:right w:val="single" w:sz="4" w:space="0" w:color="000000"/>
            </w:tcBorders>
            <w:shd w:val="clear" w:color="auto" w:fill="auto"/>
            <w:vAlign w:val="center"/>
          </w:tcPr>
          <w:p w:rsidR="00167400" w:rsidRDefault="00167400">
            <w:pPr>
              <w:spacing w:line="360" w:lineRule="auto"/>
              <w:rPr>
                <w:rFonts w:ascii="宋体" w:hAnsi="宋体"/>
                <w:szCs w:val="21"/>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大型商业银行</w:t>
            </w:r>
          </w:p>
        </w:tc>
        <w:tc>
          <w:tcPr>
            <w:tcW w:w="1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股份制商业银行</w:t>
            </w:r>
          </w:p>
        </w:tc>
        <w:tc>
          <w:tcPr>
            <w:tcW w:w="1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城市商业银行</w:t>
            </w:r>
          </w:p>
        </w:tc>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农村商业银行</w:t>
            </w:r>
          </w:p>
        </w:tc>
        <w:tc>
          <w:tcPr>
            <w:tcW w:w="1455" w:type="dxa"/>
            <w:tcBorders>
              <w:top w:val="single" w:sz="4" w:space="0" w:color="000000"/>
              <w:left w:val="single" w:sz="4" w:space="0" w:color="000000"/>
              <w:bottom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其他金融机构</w:t>
            </w:r>
          </w:p>
        </w:tc>
      </w:tr>
      <w:tr w:rsidR="00167400">
        <w:trPr>
          <w:trHeight w:val="286"/>
        </w:trPr>
        <w:tc>
          <w:tcPr>
            <w:tcW w:w="1080" w:type="dxa"/>
            <w:tcBorders>
              <w:top w:val="single" w:sz="4" w:space="0" w:color="000000"/>
              <w:bottom w:val="single" w:sz="4" w:space="0" w:color="000000"/>
              <w:right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资产余额</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ind w:firstLineChars="200" w:firstLine="420"/>
              <w:jc w:val="left"/>
              <w:rPr>
                <w:rFonts w:ascii="宋体" w:hAnsi="宋体"/>
                <w:szCs w:val="21"/>
              </w:rPr>
            </w:pPr>
            <w:r>
              <w:rPr>
                <w:rFonts w:ascii="宋体" w:hAnsi="宋体" w:hint="eastAsia"/>
                <w:szCs w:val="21"/>
              </w:rPr>
              <w:t>983534</w:t>
            </w:r>
          </w:p>
        </w:tc>
        <w:tc>
          <w:tcPr>
            <w:tcW w:w="1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470202</w:t>
            </w:r>
          </w:p>
        </w:tc>
        <w:tc>
          <w:tcPr>
            <w:tcW w:w="1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343459</w:t>
            </w:r>
          </w:p>
        </w:tc>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345788</w:t>
            </w:r>
          </w:p>
        </w:tc>
        <w:tc>
          <w:tcPr>
            <w:tcW w:w="1455" w:type="dxa"/>
            <w:tcBorders>
              <w:top w:val="single" w:sz="4" w:space="0" w:color="000000"/>
              <w:left w:val="single" w:sz="4" w:space="0" w:color="000000"/>
              <w:bottom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539418</w:t>
            </w:r>
          </w:p>
        </w:tc>
      </w:tr>
      <w:tr w:rsidR="00167400">
        <w:trPr>
          <w:trHeight w:val="286"/>
        </w:trPr>
        <w:tc>
          <w:tcPr>
            <w:tcW w:w="1080" w:type="dxa"/>
            <w:tcBorders>
              <w:top w:val="single" w:sz="4" w:space="0" w:color="000000"/>
              <w:bottom w:val="single" w:sz="4" w:space="0" w:color="000000"/>
              <w:right w:val="single" w:sz="4" w:space="0" w:color="000000"/>
            </w:tcBorders>
            <w:shd w:val="clear" w:color="auto" w:fill="auto"/>
            <w:vAlign w:val="center"/>
          </w:tcPr>
          <w:p w:rsidR="00167400" w:rsidRDefault="00C64B37">
            <w:pPr>
              <w:spacing w:line="360" w:lineRule="auto"/>
              <w:rPr>
                <w:rFonts w:ascii="宋体" w:hAnsi="宋体"/>
                <w:szCs w:val="21"/>
              </w:rPr>
            </w:pPr>
            <w:r>
              <w:rPr>
                <w:rFonts w:ascii="宋体" w:hAnsi="宋体" w:hint="eastAsia"/>
                <w:szCs w:val="21"/>
              </w:rPr>
              <w:t>负债余额</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ind w:firstLineChars="200" w:firstLine="420"/>
              <w:jc w:val="left"/>
              <w:rPr>
                <w:rFonts w:ascii="宋体" w:hAnsi="宋体"/>
                <w:szCs w:val="21"/>
              </w:rPr>
            </w:pPr>
            <w:r>
              <w:rPr>
                <w:rFonts w:ascii="宋体" w:hAnsi="宋体" w:hint="eastAsia"/>
                <w:szCs w:val="21"/>
              </w:rPr>
              <w:t>903780</w:t>
            </w:r>
          </w:p>
        </w:tc>
        <w:tc>
          <w:tcPr>
            <w:tcW w:w="1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435938</w:t>
            </w:r>
          </w:p>
        </w:tc>
        <w:tc>
          <w:tcPr>
            <w:tcW w:w="1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318254</w:t>
            </w:r>
          </w:p>
        </w:tc>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318830</w:t>
            </w:r>
          </w:p>
        </w:tc>
        <w:tc>
          <w:tcPr>
            <w:tcW w:w="1455" w:type="dxa"/>
            <w:tcBorders>
              <w:top w:val="single" w:sz="4" w:space="0" w:color="000000"/>
              <w:left w:val="single" w:sz="4" w:space="0" w:color="000000"/>
              <w:bottom w:val="single" w:sz="4" w:space="0" w:color="000000"/>
            </w:tcBorders>
            <w:shd w:val="clear" w:color="auto" w:fill="auto"/>
            <w:vAlign w:val="center"/>
          </w:tcPr>
          <w:p w:rsidR="00167400" w:rsidRDefault="00C64B37">
            <w:pPr>
              <w:spacing w:line="360" w:lineRule="auto"/>
              <w:jc w:val="left"/>
              <w:rPr>
                <w:rFonts w:ascii="宋体" w:hAnsi="宋体"/>
                <w:szCs w:val="21"/>
              </w:rPr>
            </w:pPr>
            <w:r>
              <w:rPr>
                <w:rFonts w:ascii="宋体" w:hAnsi="宋体" w:hint="eastAsia"/>
                <w:szCs w:val="21"/>
              </w:rPr>
              <w:t>488975</w:t>
            </w:r>
          </w:p>
        </w:tc>
      </w:tr>
    </w:tbl>
    <w:p w:rsidR="00167400" w:rsidRDefault="00C64B37">
      <w:pPr>
        <w:spacing w:line="360" w:lineRule="auto"/>
        <w:ind w:firstLineChars="200" w:firstLine="420"/>
        <w:rPr>
          <w:rFonts w:ascii="宋体" w:hAnsi="宋体"/>
          <w:szCs w:val="21"/>
        </w:rPr>
      </w:pPr>
      <w:r>
        <w:rPr>
          <w:rFonts w:ascii="宋体" w:hAnsi="宋体" w:hint="eastAsia"/>
          <w:szCs w:val="21"/>
        </w:rPr>
        <w:t>其中大型商业银行资产达到</w:t>
      </w:r>
      <w:r>
        <w:rPr>
          <w:rFonts w:ascii="宋体" w:hAnsi="宋体" w:hint="eastAsia"/>
          <w:szCs w:val="21"/>
        </w:rPr>
        <w:t>983534</w:t>
      </w:r>
      <w:r>
        <w:rPr>
          <w:rFonts w:ascii="宋体" w:hAnsi="宋体" w:hint="eastAsia"/>
          <w:szCs w:val="21"/>
        </w:rPr>
        <w:t>亿元，比上年同期增长了</w:t>
      </w:r>
      <w:r>
        <w:rPr>
          <w:rFonts w:ascii="宋体" w:hAnsi="宋体" w:hint="eastAsia"/>
          <w:szCs w:val="21"/>
        </w:rPr>
        <w:t>5.97%</w:t>
      </w:r>
      <w:r>
        <w:rPr>
          <w:rFonts w:ascii="宋体" w:hAnsi="宋体" w:hint="eastAsia"/>
          <w:szCs w:val="21"/>
        </w:rPr>
        <w:t>，负债达到</w:t>
      </w:r>
      <w:r>
        <w:rPr>
          <w:rFonts w:ascii="宋体" w:hAnsi="宋体" w:hint="eastAsia"/>
          <w:szCs w:val="21"/>
        </w:rPr>
        <w:t>903780</w:t>
      </w:r>
      <w:r>
        <w:rPr>
          <w:rFonts w:ascii="宋体" w:hAnsi="宋体" w:hint="eastAsia"/>
          <w:szCs w:val="21"/>
        </w:rPr>
        <w:t>亿元，比上年同期增长了</w:t>
      </w:r>
      <w:r>
        <w:rPr>
          <w:rFonts w:ascii="宋体" w:hAnsi="宋体" w:hint="eastAsia"/>
          <w:szCs w:val="21"/>
        </w:rPr>
        <w:t>5.63%</w:t>
      </w:r>
      <w:r>
        <w:rPr>
          <w:rFonts w:ascii="宋体" w:hAnsi="宋体" w:hint="eastAsia"/>
          <w:szCs w:val="21"/>
        </w:rPr>
        <w:t>；股份制商业银行资产达到</w:t>
      </w:r>
      <w:r>
        <w:rPr>
          <w:rFonts w:ascii="宋体" w:hAnsi="宋体" w:hint="eastAsia"/>
          <w:szCs w:val="21"/>
        </w:rPr>
        <w:t>470202</w:t>
      </w:r>
      <w:r>
        <w:rPr>
          <w:rFonts w:ascii="宋体" w:hAnsi="宋体" w:hint="eastAsia"/>
          <w:szCs w:val="21"/>
        </w:rPr>
        <w:t>亿元，比上年同期增长了</w:t>
      </w:r>
      <w:r>
        <w:rPr>
          <w:rFonts w:ascii="宋体" w:hAnsi="宋体" w:hint="eastAsia"/>
          <w:szCs w:val="21"/>
        </w:rPr>
        <w:t>4.58%</w:t>
      </w:r>
      <w:r>
        <w:rPr>
          <w:rFonts w:ascii="宋体" w:hAnsi="宋体" w:hint="eastAsia"/>
          <w:szCs w:val="21"/>
        </w:rPr>
        <w:t>，负债达到</w:t>
      </w:r>
      <w:r>
        <w:rPr>
          <w:rFonts w:ascii="宋体" w:hAnsi="宋体" w:hint="eastAsia"/>
          <w:szCs w:val="21"/>
        </w:rPr>
        <w:t>435938</w:t>
      </w:r>
      <w:r>
        <w:rPr>
          <w:rFonts w:ascii="宋体" w:hAnsi="宋体" w:hint="eastAsia"/>
          <w:szCs w:val="21"/>
        </w:rPr>
        <w:t>亿元，比上年同期增长了</w:t>
      </w:r>
      <w:r>
        <w:rPr>
          <w:rFonts w:ascii="宋体" w:hAnsi="宋体" w:hint="eastAsia"/>
          <w:szCs w:val="21"/>
        </w:rPr>
        <w:t>4.03%</w:t>
      </w:r>
      <w:r>
        <w:rPr>
          <w:rFonts w:ascii="宋体" w:hAnsi="宋体" w:hint="eastAsia"/>
          <w:szCs w:val="21"/>
        </w:rPr>
        <w:t>；城市商业银行资产达到</w:t>
      </w:r>
      <w:r>
        <w:rPr>
          <w:rFonts w:ascii="宋体" w:hAnsi="宋体" w:hint="eastAsia"/>
          <w:szCs w:val="21"/>
        </w:rPr>
        <w:t>343459</w:t>
      </w:r>
      <w:r>
        <w:rPr>
          <w:rFonts w:ascii="宋体" w:hAnsi="宋体" w:hint="eastAsia"/>
          <w:szCs w:val="21"/>
        </w:rPr>
        <w:t>亿元，比上年同期增长了</w:t>
      </w:r>
      <w:r>
        <w:rPr>
          <w:rFonts w:ascii="宋体" w:hAnsi="宋体" w:hint="eastAsia"/>
          <w:szCs w:val="21"/>
        </w:rPr>
        <w:t>8.72%</w:t>
      </w:r>
      <w:r>
        <w:rPr>
          <w:rFonts w:ascii="宋体" w:hAnsi="宋体" w:hint="eastAsia"/>
          <w:szCs w:val="21"/>
        </w:rPr>
        <w:t>，负债达到</w:t>
      </w:r>
      <w:r>
        <w:rPr>
          <w:rFonts w:ascii="宋体" w:hAnsi="宋体" w:hint="eastAsia"/>
          <w:szCs w:val="21"/>
        </w:rPr>
        <w:t>318254</w:t>
      </w:r>
      <w:r>
        <w:rPr>
          <w:rFonts w:ascii="宋体" w:hAnsi="宋体" w:hint="eastAsia"/>
          <w:szCs w:val="21"/>
        </w:rPr>
        <w:t>亿元，比上年同期增长了</w:t>
      </w:r>
      <w:r>
        <w:rPr>
          <w:rFonts w:ascii="宋体" w:hAnsi="宋体" w:hint="eastAsia"/>
          <w:szCs w:val="21"/>
        </w:rPr>
        <w:t>7.76%</w:t>
      </w:r>
      <w:r>
        <w:rPr>
          <w:rFonts w:ascii="宋体" w:hAnsi="宋体" w:hint="eastAsia"/>
          <w:szCs w:val="21"/>
        </w:rPr>
        <w:t>；农村商业银行资产达到</w:t>
      </w:r>
      <w:r>
        <w:rPr>
          <w:rFonts w:ascii="宋体" w:hAnsi="宋体" w:hint="eastAsia"/>
          <w:szCs w:val="21"/>
        </w:rPr>
        <w:t>345788</w:t>
      </w:r>
      <w:r>
        <w:rPr>
          <w:rFonts w:ascii="宋体" w:hAnsi="宋体" w:hint="eastAsia"/>
          <w:szCs w:val="21"/>
        </w:rPr>
        <w:t>亿元，比上年同期增长了</w:t>
      </w:r>
      <w:r>
        <w:rPr>
          <w:rFonts w:ascii="宋体" w:hAnsi="宋体" w:hint="eastAsia"/>
          <w:szCs w:val="21"/>
        </w:rPr>
        <w:t>5.36%</w:t>
      </w:r>
      <w:r>
        <w:rPr>
          <w:rFonts w:ascii="宋体" w:hAnsi="宋体" w:hint="eastAsia"/>
          <w:szCs w:val="21"/>
        </w:rPr>
        <w:t>，负债达到</w:t>
      </w:r>
      <w:r>
        <w:rPr>
          <w:rFonts w:ascii="宋体" w:hAnsi="宋体" w:hint="eastAsia"/>
          <w:szCs w:val="21"/>
        </w:rPr>
        <w:t>318830</w:t>
      </w:r>
      <w:r>
        <w:rPr>
          <w:rFonts w:ascii="宋体" w:hAnsi="宋体" w:hint="eastAsia"/>
          <w:szCs w:val="21"/>
        </w:rPr>
        <w:t>亿元，比上年同期增长了</w:t>
      </w:r>
      <w:r>
        <w:rPr>
          <w:rFonts w:ascii="宋体" w:hAnsi="宋体" w:hint="eastAsia"/>
          <w:szCs w:val="21"/>
        </w:rPr>
        <w:t>4.89%</w:t>
      </w:r>
      <w:r>
        <w:rPr>
          <w:rFonts w:ascii="宋体" w:hAnsi="宋体" w:hint="eastAsia"/>
          <w:szCs w:val="21"/>
        </w:rPr>
        <w:t>。</w:t>
      </w:r>
    </w:p>
    <w:p w:rsidR="00167400" w:rsidRDefault="00C64B37">
      <w:pPr>
        <w:numPr>
          <w:ilvl w:val="0"/>
          <w:numId w:val="1"/>
        </w:numPr>
        <w:spacing w:line="360" w:lineRule="auto"/>
        <w:rPr>
          <w:rFonts w:ascii="宋体" w:hAnsi="宋体"/>
          <w:szCs w:val="21"/>
        </w:rPr>
      </w:pPr>
      <w:r>
        <w:rPr>
          <w:rFonts w:ascii="宋体" w:hAnsi="宋体" w:hint="eastAsia"/>
          <w:szCs w:val="21"/>
        </w:rPr>
        <w:t>从资产角度分析银行业金融</w:t>
      </w:r>
      <w:r>
        <w:rPr>
          <w:rFonts w:ascii="宋体" w:hAnsi="宋体" w:hint="eastAsia"/>
          <w:szCs w:val="21"/>
        </w:rPr>
        <w:t>机构的发展潜力</w:t>
      </w:r>
    </w:p>
    <w:p w:rsidR="00167400" w:rsidRDefault="00C64B37">
      <w:pPr>
        <w:spacing w:line="360" w:lineRule="auto"/>
        <w:ind w:firstLineChars="200" w:firstLine="420"/>
        <w:rPr>
          <w:rFonts w:ascii="宋体" w:hAnsi="宋体"/>
          <w:szCs w:val="21"/>
        </w:rPr>
      </w:pPr>
      <w:r>
        <w:rPr>
          <w:rFonts w:ascii="宋体" w:hAnsi="宋体" w:hint="eastAsia"/>
          <w:szCs w:val="21"/>
        </w:rPr>
        <w:t>资产规模是表示商业金融机构实力的最主要指标，本期资产规模大，说明目前的实力大；增量大，说明其发展后劲就大。近几年来商业银行资产规模在不断的扩大，截止</w:t>
      </w:r>
      <w:r>
        <w:rPr>
          <w:rFonts w:ascii="宋体" w:hAnsi="宋体" w:hint="eastAsia"/>
          <w:szCs w:val="21"/>
        </w:rPr>
        <w:t>2018</w:t>
      </w:r>
      <w:r>
        <w:rPr>
          <w:rFonts w:ascii="宋体" w:hAnsi="宋体" w:hint="eastAsia"/>
          <w:szCs w:val="21"/>
        </w:rPr>
        <w:t>年末商业银行总资产规模达到</w:t>
      </w:r>
      <w:r>
        <w:rPr>
          <w:rFonts w:ascii="宋体" w:hAnsi="宋体" w:hint="eastAsia"/>
          <w:szCs w:val="21"/>
        </w:rPr>
        <w:t>2682401</w:t>
      </w:r>
      <w:r>
        <w:rPr>
          <w:rFonts w:ascii="宋体" w:hAnsi="宋体" w:hint="eastAsia"/>
          <w:szCs w:val="21"/>
        </w:rPr>
        <w:t>亿元，比上年同期增长了</w:t>
      </w:r>
      <w:r>
        <w:rPr>
          <w:rFonts w:ascii="宋体" w:hAnsi="宋体" w:hint="eastAsia"/>
          <w:szCs w:val="21"/>
        </w:rPr>
        <w:t>158361</w:t>
      </w:r>
      <w:r>
        <w:rPr>
          <w:rFonts w:ascii="宋体" w:hAnsi="宋体" w:hint="eastAsia"/>
          <w:szCs w:val="21"/>
        </w:rPr>
        <w:t>亿元，增长率为</w:t>
      </w:r>
      <w:r>
        <w:rPr>
          <w:rFonts w:ascii="宋体" w:hAnsi="宋体" w:hint="eastAsia"/>
          <w:szCs w:val="21"/>
        </w:rPr>
        <w:t>6.27%</w:t>
      </w:r>
      <w:r>
        <w:rPr>
          <w:rFonts w:ascii="宋体" w:hAnsi="宋体" w:hint="eastAsia"/>
          <w:szCs w:val="21"/>
        </w:rPr>
        <w:t>，其中大型商业银行资产比上年同期增长了</w:t>
      </w:r>
      <w:r>
        <w:rPr>
          <w:rFonts w:ascii="宋体" w:hAnsi="宋体" w:hint="eastAsia"/>
          <w:szCs w:val="21"/>
        </w:rPr>
        <w:t>55389</w:t>
      </w:r>
      <w:r>
        <w:rPr>
          <w:rFonts w:ascii="宋体" w:hAnsi="宋体" w:hint="eastAsia"/>
          <w:szCs w:val="21"/>
        </w:rPr>
        <w:t>亿元，比上年同期增长了</w:t>
      </w:r>
      <w:r>
        <w:rPr>
          <w:rFonts w:ascii="宋体" w:hAnsi="宋体" w:hint="eastAsia"/>
          <w:szCs w:val="21"/>
        </w:rPr>
        <w:t>5.97%</w:t>
      </w:r>
      <w:r>
        <w:rPr>
          <w:rFonts w:ascii="宋体" w:hAnsi="宋体" w:hint="eastAsia"/>
          <w:szCs w:val="21"/>
        </w:rPr>
        <w:t>；股份制商业银行资产比上年同期增长了</w:t>
      </w:r>
      <w:r>
        <w:rPr>
          <w:rFonts w:ascii="宋体" w:hAnsi="宋体" w:hint="eastAsia"/>
          <w:szCs w:val="21"/>
        </w:rPr>
        <w:t>20582</w:t>
      </w:r>
      <w:r>
        <w:rPr>
          <w:rFonts w:ascii="宋体" w:hAnsi="宋体" w:hint="eastAsia"/>
          <w:szCs w:val="21"/>
        </w:rPr>
        <w:t>亿元，比上年同期增长了</w:t>
      </w:r>
      <w:r>
        <w:rPr>
          <w:rFonts w:ascii="宋体" w:hAnsi="宋体" w:hint="eastAsia"/>
          <w:szCs w:val="21"/>
        </w:rPr>
        <w:t>4.58%</w:t>
      </w:r>
      <w:r>
        <w:rPr>
          <w:rFonts w:ascii="宋体" w:hAnsi="宋体" w:hint="eastAsia"/>
          <w:szCs w:val="21"/>
        </w:rPr>
        <w:t>；城市商业银行资产比上年同期增长了</w:t>
      </w:r>
      <w:r>
        <w:rPr>
          <w:rFonts w:ascii="宋体" w:hAnsi="宋体" w:hint="eastAsia"/>
          <w:szCs w:val="21"/>
        </w:rPr>
        <w:t>26242</w:t>
      </w:r>
      <w:r>
        <w:rPr>
          <w:rFonts w:ascii="宋体" w:hAnsi="宋体" w:hint="eastAsia"/>
          <w:szCs w:val="21"/>
        </w:rPr>
        <w:t>亿元，比上年同期增长了</w:t>
      </w:r>
      <w:r>
        <w:rPr>
          <w:rFonts w:ascii="宋体" w:hAnsi="宋体" w:hint="eastAsia"/>
          <w:szCs w:val="21"/>
        </w:rPr>
        <w:t>8.72%</w:t>
      </w:r>
      <w:r>
        <w:rPr>
          <w:rFonts w:ascii="宋体" w:hAnsi="宋体" w:hint="eastAsia"/>
          <w:szCs w:val="21"/>
        </w:rPr>
        <w:t>；农村商</w:t>
      </w:r>
      <w:r>
        <w:rPr>
          <w:rFonts w:ascii="宋体" w:hAnsi="宋体" w:hint="eastAsia"/>
          <w:szCs w:val="21"/>
        </w:rPr>
        <w:t>业银行资产比上年同期增长了</w:t>
      </w:r>
      <w:r>
        <w:rPr>
          <w:rFonts w:ascii="宋体" w:hAnsi="宋体" w:hint="eastAsia"/>
          <w:szCs w:val="21"/>
        </w:rPr>
        <w:t>17580</w:t>
      </w:r>
      <w:r>
        <w:rPr>
          <w:rFonts w:ascii="宋体" w:hAnsi="宋体" w:hint="eastAsia"/>
          <w:szCs w:val="21"/>
        </w:rPr>
        <w:t>亿元，比上年同期增长了</w:t>
      </w:r>
      <w:r>
        <w:rPr>
          <w:rFonts w:ascii="宋体" w:hAnsi="宋体" w:hint="eastAsia"/>
          <w:szCs w:val="21"/>
        </w:rPr>
        <w:t>5.36%</w:t>
      </w:r>
      <w:r>
        <w:rPr>
          <w:rFonts w:ascii="宋体" w:hAnsi="宋体" w:hint="eastAsia"/>
          <w:szCs w:val="21"/>
        </w:rPr>
        <w:t>。与</w:t>
      </w:r>
      <w:r>
        <w:rPr>
          <w:rFonts w:ascii="宋体" w:hAnsi="宋体" w:hint="eastAsia"/>
          <w:szCs w:val="21"/>
        </w:rPr>
        <w:t>2017</w:t>
      </w:r>
      <w:r>
        <w:rPr>
          <w:rFonts w:ascii="宋体" w:hAnsi="宋体" w:hint="eastAsia"/>
          <w:szCs w:val="21"/>
        </w:rPr>
        <w:t>年年末相比总资产增加了</w:t>
      </w:r>
      <w:r>
        <w:rPr>
          <w:rFonts w:ascii="宋体" w:hAnsi="宋体" w:hint="eastAsia"/>
          <w:szCs w:val="21"/>
        </w:rPr>
        <w:t>158361</w:t>
      </w:r>
      <w:r>
        <w:rPr>
          <w:rFonts w:ascii="宋体" w:hAnsi="宋体" w:hint="eastAsia"/>
          <w:szCs w:val="21"/>
        </w:rPr>
        <w:t>亿元，其中新增资产的来源的分布情况如下图</w:t>
      </w:r>
      <w:r>
        <w:rPr>
          <w:rFonts w:ascii="宋体" w:hAnsi="宋体" w:hint="eastAsia"/>
          <w:szCs w:val="21"/>
        </w:rPr>
        <w:t>1</w:t>
      </w:r>
      <w:r>
        <w:rPr>
          <w:rFonts w:ascii="宋体" w:hAnsi="宋体" w:hint="eastAsia"/>
          <w:szCs w:val="21"/>
        </w:rPr>
        <w:t>。</w:t>
      </w:r>
    </w:p>
    <w:p w:rsidR="00167400" w:rsidRDefault="00C64B37">
      <w:pPr>
        <w:spacing w:line="360" w:lineRule="auto"/>
        <w:ind w:firstLineChars="200" w:firstLine="420"/>
        <w:rPr>
          <w:rFonts w:ascii="宋体" w:hAnsi="宋体"/>
          <w:szCs w:val="21"/>
        </w:rPr>
      </w:pPr>
      <w:r>
        <w:rPr>
          <w:rFonts w:ascii="宋体" w:hAnsi="宋体" w:hint="eastAsia"/>
          <w:noProof/>
          <w:szCs w:val="21"/>
        </w:rPr>
        <w:lastRenderedPageBreak/>
        <w:drawing>
          <wp:inline distT="0" distB="0" distL="114300" distR="114300">
            <wp:extent cx="4572000" cy="274320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7400" w:rsidRDefault="00C64B37">
      <w:pPr>
        <w:spacing w:line="360" w:lineRule="auto"/>
        <w:ind w:firstLineChars="300" w:firstLine="630"/>
        <w:rPr>
          <w:rFonts w:ascii="宋体" w:hAnsi="宋体"/>
          <w:szCs w:val="21"/>
        </w:rPr>
      </w:pPr>
      <w:r>
        <w:rPr>
          <w:rFonts w:ascii="宋体" w:hAnsi="宋体" w:hint="eastAsia"/>
          <w:szCs w:val="21"/>
        </w:rPr>
        <w:t>图</w:t>
      </w:r>
      <w:r>
        <w:rPr>
          <w:rFonts w:ascii="宋体" w:hAnsi="宋体" w:hint="eastAsia"/>
          <w:szCs w:val="21"/>
        </w:rPr>
        <w:t xml:space="preserve">2       </w:t>
      </w:r>
      <w:r>
        <w:rPr>
          <w:rFonts w:ascii="宋体" w:hAnsi="宋体" w:hint="eastAsia"/>
          <w:szCs w:val="21"/>
        </w:rPr>
        <w:t>同比上年商业银行资产增加分布图</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年年末，从银行业金融机构的资产规模余额情况来看，目前金融机构的实力排序是国有大型商业银行、股份制商业银行、农村商业银行、城市商业银行。从上图</w:t>
      </w:r>
      <w:r>
        <w:rPr>
          <w:rFonts w:ascii="宋体" w:hAnsi="宋体" w:hint="eastAsia"/>
          <w:szCs w:val="21"/>
        </w:rPr>
        <w:t>2</w:t>
      </w:r>
      <w:r>
        <w:rPr>
          <w:rFonts w:ascii="宋体" w:hAnsi="宋体" w:hint="eastAsia"/>
          <w:szCs w:val="21"/>
        </w:rPr>
        <w:t>可以看出</w:t>
      </w:r>
      <w:r>
        <w:rPr>
          <w:rFonts w:ascii="宋体" w:hAnsi="宋体" w:hint="eastAsia"/>
          <w:szCs w:val="21"/>
        </w:rPr>
        <w:t>2017</w:t>
      </w:r>
      <w:r>
        <w:rPr>
          <w:rFonts w:ascii="宋体" w:hAnsi="宋体" w:hint="eastAsia"/>
          <w:szCs w:val="21"/>
        </w:rPr>
        <w:t>年以来商业银行的总资产增加比例中来源于城市商业银行的比例较大，来源于股份制商业银行的较小，故就其资产的增长率即发展潜力来说目前银行业金融机构的排序是城市商业银行、大型商业银行、农村商业银行、股份制商业银行。</w:t>
      </w:r>
    </w:p>
    <w:p w:rsidR="00167400" w:rsidRDefault="00C64B37">
      <w:pPr>
        <w:numPr>
          <w:ilvl w:val="0"/>
          <w:numId w:val="1"/>
        </w:numPr>
        <w:spacing w:line="360" w:lineRule="auto"/>
        <w:rPr>
          <w:rFonts w:ascii="宋体" w:hAnsi="宋体"/>
          <w:szCs w:val="21"/>
        </w:rPr>
      </w:pPr>
      <w:r>
        <w:rPr>
          <w:rFonts w:ascii="宋体" w:hAnsi="宋体" w:hint="eastAsia"/>
          <w:szCs w:val="21"/>
        </w:rPr>
        <w:t>从</w:t>
      </w:r>
      <w:r w:rsidRPr="00BC1C0D">
        <w:rPr>
          <w:rFonts w:ascii="宋体" w:hAnsi="宋体" w:hint="eastAsia"/>
          <w:szCs w:val="21"/>
          <w:highlight w:val="yellow"/>
        </w:rPr>
        <w:t>存款角度分析银行业金融机构的发展潜</w:t>
      </w:r>
      <w:r>
        <w:rPr>
          <w:rFonts w:ascii="宋体" w:hAnsi="宋体" w:hint="eastAsia"/>
          <w:szCs w:val="21"/>
        </w:rPr>
        <w:t>力</w:t>
      </w:r>
    </w:p>
    <w:p w:rsidR="00167400" w:rsidRDefault="00C64B37">
      <w:pPr>
        <w:spacing w:line="360" w:lineRule="auto"/>
        <w:ind w:firstLineChars="300" w:firstLine="630"/>
        <w:rPr>
          <w:rFonts w:ascii="宋体" w:hAnsi="宋体"/>
          <w:szCs w:val="21"/>
        </w:rPr>
      </w:pPr>
      <w:r>
        <w:rPr>
          <w:rFonts w:ascii="宋体" w:hAnsi="宋体" w:hint="eastAsia"/>
          <w:szCs w:val="21"/>
        </w:rPr>
        <w:t>存款是商业银行的主要资金来源，本期存款余额大，说明目前的实力大；存款增量大，说明其发展后劲就大。存</w:t>
      </w:r>
      <w:r>
        <w:rPr>
          <w:rFonts w:ascii="宋体" w:hAnsi="宋体" w:hint="eastAsia"/>
          <w:szCs w:val="21"/>
        </w:rPr>
        <w:t>款增长有所放缓，定期存款在增量中占比上升。</w:t>
      </w:r>
      <w:r>
        <w:rPr>
          <w:rFonts w:ascii="宋体" w:hAnsi="宋体" w:hint="eastAsia"/>
          <w:szCs w:val="21"/>
        </w:rPr>
        <w:t xml:space="preserve">2018 </w:t>
      </w:r>
      <w:r>
        <w:rPr>
          <w:rFonts w:ascii="宋体" w:hAnsi="宋体" w:hint="eastAsia"/>
          <w:szCs w:val="21"/>
        </w:rPr>
        <w:t>年末，金融机构本外币各项存款余额为</w:t>
      </w:r>
      <w:r>
        <w:rPr>
          <w:rFonts w:ascii="宋体" w:hAnsi="宋体" w:hint="eastAsia"/>
          <w:szCs w:val="21"/>
        </w:rPr>
        <w:t>182.5</w:t>
      </w:r>
      <w:proofErr w:type="gramStart"/>
      <w:r>
        <w:rPr>
          <w:rFonts w:ascii="宋体" w:hAnsi="宋体" w:hint="eastAsia"/>
          <w:szCs w:val="21"/>
        </w:rPr>
        <w:t>万亿</w:t>
      </w:r>
      <w:proofErr w:type="gramEnd"/>
      <w:r>
        <w:rPr>
          <w:rFonts w:ascii="宋体" w:hAnsi="宋体" w:hint="eastAsia"/>
          <w:szCs w:val="21"/>
        </w:rPr>
        <w:t>元，同比增长</w:t>
      </w:r>
      <w:r>
        <w:rPr>
          <w:rFonts w:ascii="宋体" w:hAnsi="宋体" w:hint="eastAsia"/>
          <w:szCs w:val="21"/>
        </w:rPr>
        <w:t xml:space="preserve"> 7.8%</w:t>
      </w:r>
      <w:r>
        <w:rPr>
          <w:rFonts w:ascii="宋体" w:hAnsi="宋体" w:hint="eastAsia"/>
          <w:szCs w:val="21"/>
        </w:rPr>
        <w:t>，增速比上年末低</w:t>
      </w:r>
      <w:r>
        <w:rPr>
          <w:rFonts w:ascii="宋体" w:hAnsi="宋体" w:hint="eastAsia"/>
          <w:szCs w:val="21"/>
        </w:rPr>
        <w:t xml:space="preserve"> 1.0</w:t>
      </w:r>
      <w:r>
        <w:rPr>
          <w:rFonts w:ascii="宋体" w:hAnsi="宋体" w:hint="eastAsia"/>
          <w:szCs w:val="21"/>
        </w:rPr>
        <w:t>个百分点，比年初增加</w:t>
      </w:r>
      <w:r>
        <w:rPr>
          <w:rFonts w:ascii="宋体" w:hAnsi="宋体" w:hint="eastAsia"/>
          <w:szCs w:val="21"/>
        </w:rPr>
        <w:t>13.2</w:t>
      </w:r>
      <w:proofErr w:type="gramStart"/>
      <w:r>
        <w:rPr>
          <w:rFonts w:ascii="宋体" w:hAnsi="宋体" w:hint="eastAsia"/>
          <w:szCs w:val="21"/>
        </w:rPr>
        <w:t>万亿</w:t>
      </w:r>
      <w:proofErr w:type="gramEnd"/>
      <w:r>
        <w:rPr>
          <w:rFonts w:ascii="宋体" w:hAnsi="宋体" w:hint="eastAsia"/>
          <w:szCs w:val="21"/>
        </w:rPr>
        <w:t>元，同比少增</w:t>
      </w:r>
      <w:r>
        <w:rPr>
          <w:rFonts w:ascii="宋体" w:hAnsi="宋体" w:hint="eastAsia"/>
          <w:szCs w:val="21"/>
        </w:rPr>
        <w:t xml:space="preserve"> 5040</w:t>
      </w:r>
      <w:r>
        <w:rPr>
          <w:rFonts w:ascii="宋体" w:hAnsi="宋体" w:hint="eastAsia"/>
          <w:szCs w:val="21"/>
        </w:rPr>
        <w:t>亿元。人民币各项存款余额为</w:t>
      </w:r>
      <w:r>
        <w:rPr>
          <w:rFonts w:ascii="宋体" w:hAnsi="宋体" w:hint="eastAsia"/>
          <w:szCs w:val="21"/>
        </w:rPr>
        <w:t xml:space="preserve"> 177.5 </w:t>
      </w:r>
      <w:r>
        <w:rPr>
          <w:rFonts w:ascii="宋体" w:hAnsi="宋体" w:hint="eastAsia"/>
          <w:szCs w:val="21"/>
        </w:rPr>
        <w:t>万亿元，同比增长</w:t>
      </w:r>
      <w:r>
        <w:rPr>
          <w:rFonts w:ascii="宋体" w:hAnsi="宋体" w:hint="eastAsia"/>
          <w:szCs w:val="21"/>
        </w:rPr>
        <w:t xml:space="preserve"> 8.2%</w:t>
      </w:r>
      <w:r>
        <w:rPr>
          <w:rFonts w:ascii="宋体" w:hAnsi="宋体" w:hint="eastAsia"/>
          <w:szCs w:val="21"/>
        </w:rPr>
        <w:t>，增速比上年末低</w:t>
      </w:r>
      <w:r>
        <w:rPr>
          <w:rFonts w:ascii="宋体" w:hAnsi="宋体" w:hint="eastAsia"/>
          <w:szCs w:val="21"/>
        </w:rPr>
        <w:t xml:space="preserve"> 0.8 </w:t>
      </w:r>
      <w:proofErr w:type="gramStart"/>
      <w:r>
        <w:rPr>
          <w:rFonts w:ascii="宋体" w:hAnsi="宋体" w:hint="eastAsia"/>
          <w:szCs w:val="21"/>
        </w:rPr>
        <w:t>个</w:t>
      </w:r>
      <w:proofErr w:type="gramEnd"/>
      <w:r>
        <w:rPr>
          <w:rFonts w:ascii="宋体" w:hAnsi="宋体" w:hint="eastAsia"/>
          <w:szCs w:val="21"/>
        </w:rPr>
        <w:t>百分点，比年初增加</w:t>
      </w:r>
      <w:r>
        <w:rPr>
          <w:rFonts w:ascii="宋体" w:hAnsi="宋体" w:hint="eastAsia"/>
          <w:szCs w:val="21"/>
        </w:rPr>
        <w:t xml:space="preserve"> 13.4 </w:t>
      </w:r>
      <w:r>
        <w:rPr>
          <w:rFonts w:ascii="宋体" w:hAnsi="宋体" w:hint="eastAsia"/>
          <w:szCs w:val="21"/>
        </w:rPr>
        <w:t>万亿元，同比少增</w:t>
      </w:r>
      <w:r>
        <w:rPr>
          <w:rFonts w:ascii="宋体" w:hAnsi="宋体" w:hint="eastAsia"/>
          <w:szCs w:val="21"/>
        </w:rPr>
        <w:t xml:space="preserve"> 1071</w:t>
      </w:r>
      <w:r>
        <w:rPr>
          <w:rFonts w:ascii="宋体" w:hAnsi="宋体" w:hint="eastAsia"/>
          <w:szCs w:val="21"/>
        </w:rPr>
        <w:t>亿元。外币存款余额为</w:t>
      </w:r>
      <w:r>
        <w:rPr>
          <w:rFonts w:ascii="宋体" w:hAnsi="宋体" w:hint="eastAsia"/>
          <w:szCs w:val="21"/>
        </w:rPr>
        <w:t xml:space="preserve"> 7275 </w:t>
      </w:r>
      <w:r>
        <w:rPr>
          <w:rFonts w:ascii="宋体" w:hAnsi="宋体" w:hint="eastAsia"/>
          <w:szCs w:val="21"/>
        </w:rPr>
        <w:t>亿美元，比年初减少</w:t>
      </w:r>
      <w:r>
        <w:rPr>
          <w:rFonts w:ascii="宋体" w:hAnsi="宋体" w:hint="eastAsia"/>
          <w:szCs w:val="21"/>
        </w:rPr>
        <w:t xml:space="preserve"> 634 </w:t>
      </w:r>
      <w:r>
        <w:rPr>
          <w:rFonts w:ascii="宋体" w:hAnsi="宋体" w:hint="eastAsia"/>
          <w:szCs w:val="21"/>
        </w:rPr>
        <w:t>亿美元。</w:t>
      </w:r>
      <w:r>
        <w:rPr>
          <w:rFonts w:ascii="宋体" w:hAnsi="宋体" w:hint="eastAsia"/>
          <w:szCs w:val="21"/>
        </w:rPr>
        <w:t>2018</w:t>
      </w:r>
      <w:r>
        <w:rPr>
          <w:rFonts w:ascii="宋体" w:hAnsi="宋体" w:hint="eastAsia"/>
          <w:szCs w:val="21"/>
        </w:rPr>
        <w:t>年，住户存款和非金融企业存款增量中定期存款占比为</w:t>
      </w:r>
      <w:r>
        <w:rPr>
          <w:rFonts w:ascii="宋体" w:hAnsi="宋体" w:hint="eastAsia"/>
          <w:szCs w:val="21"/>
        </w:rPr>
        <w:t xml:space="preserve"> 80.7%</w:t>
      </w:r>
      <w:r>
        <w:rPr>
          <w:rFonts w:ascii="宋体" w:hAnsi="宋体" w:hint="eastAsia"/>
          <w:szCs w:val="21"/>
        </w:rPr>
        <w:t>，比上年同期高</w:t>
      </w:r>
      <w:r>
        <w:rPr>
          <w:rFonts w:ascii="宋体" w:hAnsi="宋体" w:hint="eastAsia"/>
          <w:szCs w:val="21"/>
        </w:rPr>
        <w:t xml:space="preserve"> 25.9 </w:t>
      </w:r>
      <w:proofErr w:type="gramStart"/>
      <w:r>
        <w:rPr>
          <w:rFonts w:ascii="宋体" w:hAnsi="宋体" w:hint="eastAsia"/>
          <w:szCs w:val="21"/>
        </w:rPr>
        <w:t>个</w:t>
      </w:r>
      <w:proofErr w:type="gramEnd"/>
      <w:r>
        <w:rPr>
          <w:rFonts w:ascii="宋体" w:hAnsi="宋体" w:hint="eastAsia"/>
          <w:szCs w:val="21"/>
        </w:rPr>
        <w:t>百分点。从人民币存款部门分布看，住户存款、非银行业金融机构存款分别同比多增</w:t>
      </w:r>
      <w:r>
        <w:rPr>
          <w:rFonts w:ascii="宋体" w:hAnsi="宋体" w:hint="eastAsia"/>
          <w:szCs w:val="21"/>
        </w:rPr>
        <w:t xml:space="preserve"> 2.6 </w:t>
      </w:r>
      <w:r>
        <w:rPr>
          <w:rFonts w:ascii="宋体" w:hAnsi="宋体" w:hint="eastAsia"/>
          <w:szCs w:val="21"/>
        </w:rPr>
        <w:t>万亿元、</w:t>
      </w:r>
      <w:r>
        <w:rPr>
          <w:rFonts w:ascii="宋体" w:hAnsi="宋体" w:hint="eastAsia"/>
          <w:szCs w:val="21"/>
        </w:rPr>
        <w:t xml:space="preserve">7300 </w:t>
      </w:r>
      <w:r>
        <w:rPr>
          <w:rFonts w:ascii="宋体" w:hAnsi="宋体" w:hint="eastAsia"/>
          <w:szCs w:val="21"/>
        </w:rPr>
        <w:t>亿元；非金融企业存款、政府存款分别同比少增</w:t>
      </w:r>
      <w:r>
        <w:rPr>
          <w:rFonts w:ascii="宋体" w:hAnsi="宋体" w:hint="eastAsia"/>
          <w:szCs w:val="21"/>
        </w:rPr>
        <w:t xml:space="preserve"> 1.9 </w:t>
      </w:r>
      <w:r>
        <w:rPr>
          <w:rFonts w:ascii="宋体" w:hAnsi="宋体" w:hint="eastAsia"/>
          <w:szCs w:val="21"/>
        </w:rPr>
        <w:t>万亿元、</w:t>
      </w:r>
      <w:r>
        <w:rPr>
          <w:rFonts w:ascii="宋体" w:hAnsi="宋体" w:hint="eastAsia"/>
          <w:szCs w:val="21"/>
        </w:rPr>
        <w:t xml:space="preserve">1.4 </w:t>
      </w:r>
      <w:r>
        <w:rPr>
          <w:rFonts w:ascii="宋体" w:hAnsi="宋体" w:hint="eastAsia"/>
          <w:szCs w:val="21"/>
        </w:rPr>
        <w:t>万亿元。</w:t>
      </w:r>
      <w:r>
        <w:rPr>
          <w:rFonts w:ascii="宋体" w:hAnsi="宋体" w:hint="eastAsia"/>
          <w:szCs w:val="21"/>
        </w:rPr>
        <w:t>2018</w:t>
      </w:r>
      <w:r>
        <w:rPr>
          <w:rFonts w:ascii="宋体" w:hAnsi="宋体" w:hint="eastAsia"/>
          <w:szCs w:val="21"/>
        </w:rPr>
        <w:t>年年</w:t>
      </w:r>
      <w:proofErr w:type="gramStart"/>
      <w:r>
        <w:rPr>
          <w:rFonts w:ascii="宋体" w:hAnsi="宋体" w:hint="eastAsia"/>
          <w:szCs w:val="21"/>
        </w:rPr>
        <w:t>末存款类</w:t>
      </w:r>
      <w:proofErr w:type="gramEnd"/>
      <w:r>
        <w:rPr>
          <w:rFonts w:ascii="宋体" w:hAnsi="宋体" w:hint="eastAsia"/>
          <w:szCs w:val="21"/>
        </w:rPr>
        <w:t>金融机构人民币各项存款总额同比增长</w:t>
      </w:r>
      <w:r>
        <w:rPr>
          <w:rFonts w:ascii="宋体" w:hAnsi="宋体" w:hint="eastAsia"/>
          <w:szCs w:val="21"/>
        </w:rPr>
        <w:t xml:space="preserve">7.25% </w:t>
      </w:r>
      <w:r>
        <w:rPr>
          <w:rFonts w:ascii="宋体" w:hAnsi="宋体" w:hint="eastAsia"/>
          <w:szCs w:val="21"/>
        </w:rPr>
        <w:t>；贷款余额同比增长</w:t>
      </w:r>
      <w:r>
        <w:rPr>
          <w:rFonts w:ascii="宋体" w:hAnsi="宋体" w:hint="eastAsia"/>
          <w:szCs w:val="21"/>
        </w:rPr>
        <w:t>12.6%</w:t>
      </w:r>
      <w:r>
        <w:rPr>
          <w:rFonts w:ascii="宋体" w:hAnsi="宋体" w:hint="eastAsia"/>
          <w:szCs w:val="21"/>
        </w:rPr>
        <w:t>，存款类金融机构人民币各项存款总额占境内总存款的</w:t>
      </w:r>
      <w:r>
        <w:rPr>
          <w:rFonts w:ascii="宋体" w:hAnsi="宋体" w:hint="eastAsia"/>
          <w:szCs w:val="21"/>
        </w:rPr>
        <w:t>90.65%</w:t>
      </w:r>
      <w:r>
        <w:rPr>
          <w:rFonts w:ascii="宋体" w:hAnsi="宋体" w:hint="eastAsia"/>
          <w:szCs w:val="21"/>
        </w:rPr>
        <w:t>，存款类金融机构人民币各项贷款总额占境内总贷款的</w:t>
      </w:r>
      <w:r>
        <w:rPr>
          <w:rFonts w:ascii="宋体" w:hAnsi="宋体" w:hint="eastAsia"/>
          <w:szCs w:val="21"/>
        </w:rPr>
        <w:t>97.32%</w:t>
      </w:r>
      <w:r>
        <w:rPr>
          <w:rFonts w:ascii="宋体" w:hAnsi="宋体" w:hint="eastAsia"/>
          <w:szCs w:val="21"/>
        </w:rPr>
        <w:t>，存款类金融机构仍是主力军。</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）从</w:t>
      </w:r>
      <w:r w:rsidRPr="00BC1C0D">
        <w:rPr>
          <w:rFonts w:ascii="宋体" w:hAnsi="宋体" w:hint="eastAsia"/>
          <w:szCs w:val="21"/>
          <w:highlight w:val="yellow"/>
        </w:rPr>
        <w:t>贷款角度分析</w:t>
      </w:r>
      <w:r>
        <w:rPr>
          <w:rFonts w:ascii="宋体" w:hAnsi="宋体" w:hint="eastAsia"/>
          <w:szCs w:val="21"/>
        </w:rPr>
        <w:t>银行业金融机构的发展潜力</w:t>
      </w:r>
    </w:p>
    <w:p w:rsidR="00167400" w:rsidRDefault="00C64B37">
      <w:pPr>
        <w:spacing w:line="360" w:lineRule="auto"/>
        <w:ind w:firstLineChars="200" w:firstLine="420"/>
        <w:rPr>
          <w:rFonts w:ascii="宋体" w:hAnsi="宋体"/>
          <w:szCs w:val="21"/>
        </w:rPr>
      </w:pPr>
      <w:r>
        <w:rPr>
          <w:rFonts w:ascii="宋体" w:hAnsi="宋体" w:hint="eastAsia"/>
          <w:szCs w:val="21"/>
        </w:rPr>
        <w:lastRenderedPageBreak/>
        <w:t>贷款是商业金融机构的主要资金运用方式，本期</w:t>
      </w:r>
      <w:r>
        <w:rPr>
          <w:rFonts w:ascii="宋体" w:hAnsi="宋体" w:hint="eastAsia"/>
          <w:szCs w:val="21"/>
        </w:rPr>
        <w:t>贷款余额大，说明目前的实力大；贷款增量大，说明其发展后劲就大。人民银行统计，</w:t>
      </w:r>
      <w:r>
        <w:rPr>
          <w:rFonts w:ascii="宋体" w:hAnsi="宋体" w:hint="eastAsia"/>
          <w:szCs w:val="21"/>
        </w:rPr>
        <w:t xml:space="preserve">2018 </w:t>
      </w:r>
      <w:r>
        <w:rPr>
          <w:rFonts w:ascii="宋体" w:hAnsi="宋体" w:hint="eastAsia"/>
          <w:szCs w:val="21"/>
        </w:rPr>
        <w:t>年末，金融机构人民币各项贷款余额</w:t>
      </w:r>
      <w:r>
        <w:rPr>
          <w:rFonts w:ascii="宋体" w:hAnsi="宋体" w:hint="eastAsia"/>
          <w:szCs w:val="21"/>
        </w:rPr>
        <w:t xml:space="preserve">136.3 </w:t>
      </w:r>
      <w:r>
        <w:rPr>
          <w:rFonts w:ascii="宋体" w:hAnsi="宋体" w:hint="eastAsia"/>
          <w:szCs w:val="21"/>
        </w:rPr>
        <w:t>万亿元，同比增长</w:t>
      </w:r>
      <w:r>
        <w:rPr>
          <w:rFonts w:ascii="宋体" w:hAnsi="宋体" w:hint="eastAsia"/>
          <w:szCs w:val="21"/>
        </w:rPr>
        <w:t xml:space="preserve"> 13.5%</w:t>
      </w:r>
      <w:r>
        <w:rPr>
          <w:rFonts w:ascii="宋体" w:hAnsi="宋体" w:hint="eastAsia"/>
          <w:szCs w:val="21"/>
        </w:rPr>
        <w:t>，增速比上年末高</w:t>
      </w:r>
      <w:r>
        <w:rPr>
          <w:rFonts w:ascii="宋体" w:hAnsi="宋体" w:hint="eastAsia"/>
          <w:szCs w:val="21"/>
        </w:rPr>
        <w:t xml:space="preserve"> 0.8 </w:t>
      </w:r>
      <w:proofErr w:type="gramStart"/>
      <w:r>
        <w:rPr>
          <w:rFonts w:ascii="宋体" w:hAnsi="宋体" w:hint="eastAsia"/>
          <w:szCs w:val="21"/>
        </w:rPr>
        <w:t>个</w:t>
      </w:r>
      <w:proofErr w:type="gramEnd"/>
      <w:r>
        <w:rPr>
          <w:rFonts w:ascii="宋体" w:hAnsi="宋体" w:hint="eastAsia"/>
          <w:szCs w:val="21"/>
        </w:rPr>
        <w:t>百分点；全年增加</w:t>
      </w:r>
      <w:r>
        <w:rPr>
          <w:rFonts w:ascii="宋体" w:hAnsi="宋体" w:hint="eastAsia"/>
          <w:szCs w:val="21"/>
        </w:rPr>
        <w:t xml:space="preserve"> 16.17 </w:t>
      </w:r>
      <w:r>
        <w:rPr>
          <w:rFonts w:ascii="宋体" w:hAnsi="宋体" w:hint="eastAsia"/>
          <w:szCs w:val="21"/>
        </w:rPr>
        <w:t>万亿元，同比多增</w:t>
      </w:r>
      <w:r>
        <w:rPr>
          <w:rFonts w:ascii="宋体" w:hAnsi="宋体" w:hint="eastAsia"/>
          <w:szCs w:val="21"/>
        </w:rPr>
        <w:t xml:space="preserve"> 2.64 </w:t>
      </w:r>
      <w:r>
        <w:rPr>
          <w:rFonts w:ascii="宋体" w:hAnsi="宋体" w:hint="eastAsia"/>
          <w:szCs w:val="21"/>
        </w:rPr>
        <w:t>万亿元。</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）净息差</w:t>
      </w:r>
    </w:p>
    <w:p w:rsidR="00167400" w:rsidRDefault="00C64B37">
      <w:pPr>
        <w:spacing w:line="360" w:lineRule="auto"/>
        <w:rPr>
          <w:rFonts w:ascii="宋体" w:hAnsi="宋体"/>
          <w:szCs w:val="21"/>
        </w:rPr>
      </w:pPr>
      <w:r>
        <w:rPr>
          <w:rFonts w:ascii="宋体" w:hAnsi="宋体" w:hint="eastAsia"/>
          <w:noProof/>
          <w:szCs w:val="21"/>
        </w:rPr>
        <w:drawing>
          <wp:inline distT="0" distB="0" distL="114300" distR="114300">
            <wp:extent cx="5257800" cy="232473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图</w:t>
      </w:r>
      <w:r>
        <w:rPr>
          <w:rFonts w:ascii="宋体" w:hAnsi="宋体" w:hint="eastAsia"/>
          <w:szCs w:val="21"/>
        </w:rPr>
        <w:t xml:space="preserve">3        </w:t>
      </w:r>
      <w:r>
        <w:rPr>
          <w:rFonts w:ascii="宋体" w:hAnsi="宋体" w:hint="eastAsia"/>
          <w:szCs w:val="21"/>
        </w:rPr>
        <w:t>净息差的变化图</w:t>
      </w:r>
    </w:p>
    <w:p w:rsidR="00167400" w:rsidRDefault="00C64B37">
      <w:pPr>
        <w:spacing w:line="360" w:lineRule="auto"/>
        <w:ind w:firstLineChars="200" w:firstLine="420"/>
        <w:rPr>
          <w:rFonts w:ascii="宋体" w:hAnsi="宋体"/>
          <w:szCs w:val="21"/>
        </w:rPr>
      </w:pPr>
      <w:r>
        <w:rPr>
          <w:rFonts w:ascii="宋体" w:hAnsi="宋体" w:hint="eastAsia"/>
          <w:szCs w:val="21"/>
        </w:rPr>
        <w:t>商业银行的传统业务是资产业务和负债业务，其主要的收入来源是</w:t>
      </w:r>
      <w:r w:rsidRPr="00FA6DEB">
        <w:rPr>
          <w:rFonts w:ascii="宋体" w:hAnsi="宋体" w:hint="eastAsia"/>
          <w:szCs w:val="21"/>
          <w:highlight w:val="yellow"/>
        </w:rPr>
        <w:t>存贷利息差</w:t>
      </w:r>
      <w:r>
        <w:rPr>
          <w:rFonts w:ascii="宋体" w:hAnsi="宋体" w:hint="eastAsia"/>
          <w:szCs w:val="21"/>
        </w:rPr>
        <w:t>，从上述分析可以看出</w:t>
      </w:r>
      <w:r>
        <w:rPr>
          <w:rFonts w:ascii="宋体" w:hAnsi="宋体" w:hint="eastAsia"/>
          <w:szCs w:val="21"/>
        </w:rPr>
        <w:t>2018</w:t>
      </w:r>
      <w:r>
        <w:rPr>
          <w:rFonts w:ascii="宋体" w:hAnsi="宋体" w:hint="eastAsia"/>
          <w:szCs w:val="21"/>
        </w:rPr>
        <w:t>年以来商业银行的存贷款总额都在增加，虽然由于受宏观环境的影响使得商业银行的贷款利率下</w:t>
      </w:r>
      <w:r>
        <w:rPr>
          <w:rFonts w:ascii="宋体" w:hAnsi="宋体" w:hint="eastAsia"/>
          <w:szCs w:val="21"/>
        </w:rPr>
        <w:t>行和存款利率上升，会减少商业银行的利差空间，但可以从上图看出总体近两年来商业银行的净息差呈现出上升趋势，且其</w:t>
      </w:r>
      <w:r>
        <w:rPr>
          <w:rFonts w:ascii="宋体" w:hAnsi="宋体" w:hint="eastAsia"/>
          <w:szCs w:val="21"/>
        </w:rPr>
        <w:t>2018</w:t>
      </w:r>
      <w:r>
        <w:rPr>
          <w:rFonts w:ascii="宋体" w:hAnsi="宋体" w:hint="eastAsia"/>
          <w:szCs w:val="21"/>
        </w:rPr>
        <w:t>年的上升幅度大于</w:t>
      </w:r>
      <w:r>
        <w:rPr>
          <w:rFonts w:ascii="宋体" w:hAnsi="宋体" w:hint="eastAsia"/>
          <w:szCs w:val="21"/>
        </w:rPr>
        <w:t>2017</w:t>
      </w:r>
      <w:r>
        <w:rPr>
          <w:rFonts w:ascii="宋体" w:hAnsi="宋体" w:hint="eastAsia"/>
          <w:szCs w:val="21"/>
        </w:rPr>
        <w:t>年。存在此种情况的原因可能是消费者对经济的预期不佳，大多的投资者将更多的资金投向了商业银行业，使得存款数量增加，从而存贷比开始增加。</w:t>
      </w:r>
    </w:p>
    <w:p w:rsidR="00167400" w:rsidRDefault="00C64B37">
      <w:pPr>
        <w:spacing w:line="360" w:lineRule="auto"/>
        <w:rPr>
          <w:rFonts w:ascii="宋体" w:hAnsi="宋体"/>
          <w:szCs w:val="21"/>
        </w:rPr>
      </w:pPr>
      <w:r>
        <w:rPr>
          <w:rFonts w:ascii="宋体" w:hAnsi="宋体" w:hint="eastAsia"/>
          <w:szCs w:val="21"/>
        </w:rPr>
        <w:t>2.</w:t>
      </w:r>
      <w:r w:rsidRPr="00BC1C0D">
        <w:rPr>
          <w:rFonts w:ascii="宋体" w:hAnsi="宋体" w:hint="eastAsia"/>
          <w:szCs w:val="21"/>
          <w:highlight w:val="yellow"/>
        </w:rPr>
        <w:t>盈利能力</w:t>
      </w:r>
    </w:p>
    <w:p w:rsidR="00167400" w:rsidRDefault="00C64B37">
      <w:pPr>
        <w:spacing w:line="360" w:lineRule="auto"/>
        <w:ind w:firstLineChars="200" w:firstLine="420"/>
        <w:rPr>
          <w:rFonts w:ascii="宋体" w:hAnsi="宋体"/>
          <w:szCs w:val="21"/>
        </w:rPr>
      </w:pPr>
      <w:r>
        <w:rPr>
          <w:rFonts w:ascii="宋体" w:hAnsi="宋体" w:hint="eastAsia"/>
          <w:szCs w:val="21"/>
        </w:rPr>
        <w:t>分析盈利能力的指标很多，例如：利润增长率、利息增长率、净利息变动率、呆账准备金与税前利润的比率、税前利润与加权风险资产的比率、成本与收益的比率、支付股息增长率、营业支出与平均资产的比率等。</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）盈利情况</w:t>
      </w:r>
    </w:p>
    <w:p w:rsidR="00167400" w:rsidRDefault="00C64B37">
      <w:pPr>
        <w:spacing w:line="360" w:lineRule="auto"/>
        <w:ind w:firstLineChars="200" w:firstLine="420"/>
        <w:jc w:val="left"/>
        <w:rPr>
          <w:rFonts w:ascii="宋体" w:hAnsi="宋体"/>
          <w:szCs w:val="21"/>
        </w:rPr>
      </w:pPr>
      <w:r>
        <w:rPr>
          <w:rFonts w:ascii="宋体" w:hAnsi="宋体" w:hint="eastAsia"/>
          <w:szCs w:val="21"/>
        </w:rPr>
        <w:t>从中国银行保险监督</w:t>
      </w:r>
      <w:r>
        <w:rPr>
          <w:rFonts w:ascii="宋体" w:hAnsi="宋体" w:hint="eastAsia"/>
          <w:szCs w:val="21"/>
        </w:rPr>
        <w:t>委员会公布的商业银行主要监测指标的数据来看，银行的资产利润率情况低于去年同期。从</w:t>
      </w:r>
      <w:r>
        <w:rPr>
          <w:rFonts w:ascii="宋体" w:hAnsi="宋体" w:hint="eastAsia"/>
          <w:szCs w:val="21"/>
        </w:rPr>
        <w:t>2016</w:t>
      </w:r>
      <w:r>
        <w:rPr>
          <w:rFonts w:ascii="宋体" w:hAnsi="宋体" w:hint="eastAsia"/>
          <w:szCs w:val="21"/>
        </w:rPr>
        <w:t>以来各个季度的资产利润率同比上一年都有所下降，但由于资产数量的增加使得商业银行的净利润的绝对数是不断增加的如图</w:t>
      </w:r>
      <w:r>
        <w:rPr>
          <w:rFonts w:ascii="宋体" w:hAnsi="宋体" w:hint="eastAsia"/>
          <w:szCs w:val="21"/>
        </w:rPr>
        <w:t>4</w:t>
      </w:r>
      <w:r>
        <w:rPr>
          <w:rFonts w:ascii="宋体" w:hAnsi="宋体" w:hint="eastAsia"/>
          <w:szCs w:val="21"/>
        </w:rPr>
        <w:t>所示。又由于受到季节性的影响，资产利润率与净利润的变化都存在着周期性的变化，资产利润率从第一季度到第四季度呈现出下降趋势，净利润从第一季度到第四季度呈现出上升趋势。</w:t>
      </w:r>
      <w:r>
        <w:rPr>
          <w:rFonts w:ascii="宋体" w:hAnsi="宋体" w:hint="eastAsia"/>
          <w:noProof/>
          <w:szCs w:val="21"/>
        </w:rPr>
        <w:lastRenderedPageBreak/>
        <w:drawing>
          <wp:inline distT="0" distB="0" distL="114300" distR="114300">
            <wp:extent cx="4866640" cy="239141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7400" w:rsidRDefault="00C64B37">
      <w:pPr>
        <w:spacing w:line="360" w:lineRule="auto"/>
        <w:ind w:firstLineChars="500" w:firstLine="1050"/>
        <w:rPr>
          <w:rFonts w:ascii="宋体" w:hAnsi="宋体"/>
          <w:szCs w:val="21"/>
        </w:rPr>
      </w:pPr>
      <w:r>
        <w:rPr>
          <w:rFonts w:ascii="宋体" w:hAnsi="宋体" w:hint="eastAsia"/>
          <w:szCs w:val="21"/>
        </w:rPr>
        <w:t xml:space="preserve"> </w:t>
      </w:r>
      <w:r>
        <w:rPr>
          <w:rFonts w:ascii="宋体" w:hAnsi="宋体" w:hint="eastAsia"/>
          <w:szCs w:val="21"/>
        </w:rPr>
        <w:t>图</w:t>
      </w:r>
      <w:r>
        <w:rPr>
          <w:rFonts w:ascii="宋体" w:hAnsi="宋体" w:hint="eastAsia"/>
          <w:szCs w:val="21"/>
        </w:rPr>
        <w:t xml:space="preserve">4      </w:t>
      </w:r>
      <w:r>
        <w:rPr>
          <w:rFonts w:ascii="宋体" w:hAnsi="宋体" w:hint="eastAsia"/>
          <w:szCs w:val="21"/>
        </w:rPr>
        <w:t>资产利润率与净利润变化趋势图</w:t>
      </w:r>
      <w:r>
        <w:rPr>
          <w:rFonts w:ascii="宋体" w:hAnsi="宋体" w:hint="eastAsia"/>
          <w:szCs w:val="21"/>
        </w:rPr>
        <w:t xml:space="preserve"> </w:t>
      </w:r>
    </w:p>
    <w:p w:rsidR="00167400" w:rsidRDefault="00167400">
      <w:pPr>
        <w:spacing w:line="360" w:lineRule="auto"/>
        <w:ind w:firstLineChars="500" w:firstLine="1050"/>
        <w:rPr>
          <w:rFonts w:ascii="宋体" w:hAnsi="宋体"/>
          <w:szCs w:val="21"/>
        </w:rPr>
      </w:pPr>
    </w:p>
    <w:p w:rsidR="00167400" w:rsidRDefault="00C64B37">
      <w:pPr>
        <w:spacing w:line="360" w:lineRule="auto"/>
        <w:rPr>
          <w:rFonts w:ascii="宋体" w:hAnsi="宋体"/>
          <w:szCs w:val="21"/>
        </w:rPr>
      </w:pPr>
      <w:r>
        <w:rPr>
          <w:rFonts w:ascii="宋体" w:hAnsi="宋体" w:hint="eastAsia"/>
          <w:noProof/>
          <w:szCs w:val="21"/>
        </w:rPr>
        <w:drawing>
          <wp:inline distT="0" distB="0" distL="114300" distR="114300">
            <wp:extent cx="5038090" cy="2047874"/>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67400" w:rsidRDefault="00C64B37">
      <w:pPr>
        <w:spacing w:line="360" w:lineRule="auto"/>
        <w:ind w:firstLineChars="400" w:firstLine="840"/>
        <w:rPr>
          <w:rFonts w:ascii="宋体" w:hAnsi="宋体"/>
          <w:szCs w:val="21"/>
        </w:rPr>
      </w:pPr>
      <w:r>
        <w:rPr>
          <w:rFonts w:ascii="宋体" w:hAnsi="宋体" w:hint="eastAsia"/>
          <w:szCs w:val="21"/>
        </w:rPr>
        <w:t>图</w:t>
      </w:r>
      <w:r>
        <w:rPr>
          <w:rFonts w:ascii="宋体" w:hAnsi="宋体" w:hint="eastAsia"/>
          <w:szCs w:val="21"/>
        </w:rPr>
        <w:t xml:space="preserve">5      </w:t>
      </w:r>
      <w:proofErr w:type="gramStart"/>
      <w:r>
        <w:rPr>
          <w:rFonts w:ascii="宋体" w:hAnsi="宋体" w:hint="eastAsia"/>
          <w:szCs w:val="21"/>
        </w:rPr>
        <w:t>年资产</w:t>
      </w:r>
      <w:proofErr w:type="gramEnd"/>
      <w:r>
        <w:rPr>
          <w:rFonts w:ascii="宋体" w:hAnsi="宋体" w:hint="eastAsia"/>
          <w:szCs w:val="21"/>
        </w:rPr>
        <w:t>利润率与净利润变化趋势图</w:t>
      </w:r>
    </w:p>
    <w:p w:rsidR="00167400" w:rsidRDefault="00C64B37">
      <w:pPr>
        <w:spacing w:line="360" w:lineRule="auto"/>
        <w:ind w:firstLineChars="200" w:firstLine="420"/>
        <w:rPr>
          <w:rFonts w:ascii="宋体" w:hAnsi="宋体"/>
          <w:szCs w:val="21"/>
        </w:rPr>
      </w:pPr>
      <w:r>
        <w:rPr>
          <w:rFonts w:ascii="宋体" w:hAnsi="宋体" w:hint="eastAsia"/>
          <w:szCs w:val="21"/>
        </w:rPr>
        <w:t>为剔除季节性因素以每年第四季度的数据表示</w:t>
      </w:r>
      <w:r>
        <w:rPr>
          <w:rFonts w:ascii="宋体" w:hAnsi="宋体" w:hint="eastAsia"/>
          <w:szCs w:val="21"/>
        </w:rPr>
        <w:t>本年数据，可以从图</w:t>
      </w:r>
      <w:r>
        <w:rPr>
          <w:rFonts w:ascii="宋体" w:hAnsi="宋体" w:hint="eastAsia"/>
          <w:szCs w:val="21"/>
        </w:rPr>
        <w:t>5</w:t>
      </w:r>
      <w:r>
        <w:rPr>
          <w:rFonts w:ascii="宋体" w:hAnsi="宋体" w:hint="eastAsia"/>
          <w:szCs w:val="21"/>
        </w:rPr>
        <w:t>看出</w:t>
      </w:r>
      <w:r>
        <w:rPr>
          <w:rFonts w:ascii="宋体" w:hAnsi="宋体" w:hint="eastAsia"/>
          <w:szCs w:val="21"/>
        </w:rPr>
        <w:t>2016</w:t>
      </w:r>
      <w:r>
        <w:rPr>
          <w:rFonts w:ascii="宋体" w:hAnsi="宋体" w:hint="eastAsia"/>
          <w:szCs w:val="21"/>
        </w:rPr>
        <w:t>年至</w:t>
      </w:r>
      <w:r>
        <w:rPr>
          <w:rFonts w:ascii="宋体" w:hAnsi="宋体" w:hint="eastAsia"/>
          <w:szCs w:val="21"/>
        </w:rPr>
        <w:t>2018</w:t>
      </w:r>
      <w:r>
        <w:rPr>
          <w:rFonts w:ascii="宋体" w:hAnsi="宋体" w:hint="eastAsia"/>
          <w:szCs w:val="21"/>
        </w:rPr>
        <w:t>年银行的资产利润率总体出现减少的情况，但其净利润总体出现上升的趋势，综合商业银行总资产余额数量，总资产每增加一单位对商业银行的经营利润的贡献在下降。在</w:t>
      </w:r>
      <w:r>
        <w:rPr>
          <w:rFonts w:ascii="宋体" w:hAnsi="宋体" w:hint="eastAsia"/>
          <w:szCs w:val="21"/>
        </w:rPr>
        <w:t>2018</w:t>
      </w:r>
      <w:r>
        <w:rPr>
          <w:rFonts w:ascii="宋体" w:hAnsi="宋体" w:hint="eastAsia"/>
          <w:szCs w:val="21"/>
        </w:rPr>
        <w:t>年第四季度实现净利润</w:t>
      </w:r>
      <w:r>
        <w:rPr>
          <w:rFonts w:ascii="宋体" w:hAnsi="宋体" w:hint="eastAsia"/>
          <w:szCs w:val="21"/>
        </w:rPr>
        <w:t>18302</w:t>
      </w:r>
      <w:r>
        <w:rPr>
          <w:rFonts w:ascii="宋体" w:hAnsi="宋体" w:hint="eastAsia"/>
          <w:szCs w:val="21"/>
        </w:rPr>
        <w:t>万元，资产利润率为</w:t>
      </w:r>
      <w:r>
        <w:rPr>
          <w:rFonts w:ascii="宋体" w:hAnsi="宋体" w:hint="eastAsia"/>
          <w:szCs w:val="21"/>
        </w:rPr>
        <w:t>0.9%</w:t>
      </w:r>
      <w:r>
        <w:rPr>
          <w:rFonts w:ascii="宋体" w:hAnsi="宋体" w:hint="eastAsia"/>
          <w:szCs w:val="21"/>
        </w:rPr>
        <w:t>。</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）各类商业银行资产利润率</w:t>
      </w:r>
    </w:p>
    <w:p w:rsidR="00167400" w:rsidRDefault="00C64B37">
      <w:pPr>
        <w:spacing w:line="360" w:lineRule="auto"/>
        <w:rPr>
          <w:rFonts w:ascii="宋体" w:hAnsi="宋体"/>
          <w:szCs w:val="21"/>
        </w:rPr>
      </w:pPr>
      <w:r>
        <w:rPr>
          <w:rFonts w:ascii="宋体" w:hAnsi="宋体" w:hint="eastAsia"/>
          <w:noProof/>
          <w:szCs w:val="21"/>
        </w:rPr>
        <w:lastRenderedPageBreak/>
        <w:drawing>
          <wp:inline distT="0" distB="0" distL="114300" distR="114300">
            <wp:extent cx="5189855" cy="1876424"/>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67400" w:rsidRDefault="00C64B37">
      <w:pPr>
        <w:spacing w:line="360" w:lineRule="auto"/>
        <w:ind w:firstLine="480"/>
        <w:rPr>
          <w:rFonts w:ascii="宋体" w:hAnsi="宋体"/>
          <w:szCs w:val="21"/>
        </w:rPr>
      </w:pPr>
      <w:r>
        <w:rPr>
          <w:rFonts w:ascii="宋体" w:hAnsi="宋体" w:hint="eastAsia"/>
          <w:szCs w:val="21"/>
        </w:rPr>
        <w:t xml:space="preserve">         </w:t>
      </w:r>
      <w:r>
        <w:rPr>
          <w:rFonts w:ascii="宋体" w:hAnsi="宋体" w:hint="eastAsia"/>
          <w:szCs w:val="21"/>
        </w:rPr>
        <w:t>图</w:t>
      </w:r>
      <w:r>
        <w:rPr>
          <w:rFonts w:ascii="宋体" w:hAnsi="宋体" w:hint="eastAsia"/>
          <w:szCs w:val="21"/>
        </w:rPr>
        <w:t xml:space="preserve">6      </w:t>
      </w:r>
      <w:r>
        <w:rPr>
          <w:rFonts w:ascii="宋体" w:hAnsi="宋体" w:hint="eastAsia"/>
          <w:szCs w:val="21"/>
        </w:rPr>
        <w:t>各类商业银行近三年的资产利润率</w:t>
      </w:r>
    </w:p>
    <w:p w:rsidR="00167400" w:rsidRDefault="00C64B37">
      <w:pPr>
        <w:spacing w:line="360" w:lineRule="auto"/>
        <w:rPr>
          <w:rFonts w:ascii="宋体" w:hAnsi="宋体"/>
          <w:szCs w:val="21"/>
        </w:rPr>
      </w:pPr>
      <w:r>
        <w:rPr>
          <w:rFonts w:ascii="宋体" w:hAnsi="宋体" w:hint="eastAsia"/>
          <w:szCs w:val="21"/>
        </w:rPr>
        <w:t>从各类商业银行的资产利润率以每年第四季度数据来进行分析，从上图可以看出大型商业银行、城市商业银行、农村商业银行的资产利润率呈现下降趋势，外资商业银行的资产利润率呈现上升趋势，股份制商业银行</w:t>
      </w:r>
      <w:r>
        <w:rPr>
          <w:rFonts w:ascii="宋体" w:hAnsi="宋体" w:hint="eastAsia"/>
          <w:szCs w:val="21"/>
        </w:rPr>
        <w:t>2017</w:t>
      </w:r>
      <w:r>
        <w:rPr>
          <w:rFonts w:ascii="宋体" w:hAnsi="宋体" w:hint="eastAsia"/>
          <w:szCs w:val="21"/>
        </w:rPr>
        <w:t>年和</w:t>
      </w:r>
      <w:r>
        <w:rPr>
          <w:rFonts w:ascii="宋体" w:hAnsi="宋体" w:hint="eastAsia"/>
          <w:szCs w:val="21"/>
        </w:rPr>
        <w:t>2018</w:t>
      </w:r>
      <w:r>
        <w:rPr>
          <w:rFonts w:ascii="宋体" w:hAnsi="宋体" w:hint="eastAsia"/>
          <w:szCs w:val="21"/>
        </w:rPr>
        <w:t>年总资产利润率资本保持不变。根据各类商业银行资产的增量来分析，城市商业银行的资产增加量最大，但其每一单位的资产所创造的利润在减少。</w:t>
      </w:r>
      <w:r>
        <w:rPr>
          <w:rFonts w:ascii="宋体" w:hAnsi="宋体" w:hint="eastAsia"/>
          <w:szCs w:val="21"/>
        </w:rPr>
        <w:t>2018</w:t>
      </w:r>
      <w:r>
        <w:rPr>
          <w:rFonts w:ascii="宋体" w:hAnsi="宋体" w:hint="eastAsia"/>
          <w:szCs w:val="21"/>
        </w:rPr>
        <w:t>年</w:t>
      </w:r>
      <w:r>
        <w:rPr>
          <w:rFonts w:ascii="宋体" w:hAnsi="宋体" w:hint="eastAsia"/>
          <w:szCs w:val="21"/>
        </w:rPr>
        <w:t>12</w:t>
      </w:r>
      <w:r>
        <w:rPr>
          <w:rFonts w:ascii="宋体" w:hAnsi="宋体" w:hint="eastAsia"/>
          <w:szCs w:val="21"/>
        </w:rPr>
        <w:t>月底，各类商业银行的资产利润率分别为</w:t>
      </w:r>
      <w:r>
        <w:rPr>
          <w:rFonts w:ascii="宋体" w:hAnsi="宋体" w:hint="eastAsia"/>
          <w:szCs w:val="21"/>
        </w:rPr>
        <w:t>1%</w:t>
      </w:r>
      <w:r>
        <w:rPr>
          <w:rFonts w:ascii="宋体" w:hAnsi="宋体" w:hint="eastAsia"/>
          <w:szCs w:val="21"/>
        </w:rPr>
        <w:t>、</w:t>
      </w:r>
      <w:r>
        <w:rPr>
          <w:rFonts w:ascii="宋体" w:hAnsi="宋体" w:hint="eastAsia"/>
          <w:color w:val="000000"/>
          <w:kern w:val="0"/>
          <w:szCs w:val="21"/>
        </w:rPr>
        <w:t>0.84%</w:t>
      </w:r>
      <w:r>
        <w:rPr>
          <w:rFonts w:ascii="宋体" w:hAnsi="宋体" w:hint="eastAsia"/>
          <w:color w:val="000000"/>
          <w:kern w:val="0"/>
          <w:szCs w:val="21"/>
        </w:rPr>
        <w:t>、</w:t>
      </w:r>
      <w:r>
        <w:rPr>
          <w:rFonts w:ascii="宋体" w:hAnsi="宋体" w:hint="eastAsia"/>
          <w:color w:val="000000"/>
          <w:kern w:val="0"/>
          <w:szCs w:val="21"/>
        </w:rPr>
        <w:t>0.74%</w:t>
      </w:r>
      <w:r>
        <w:rPr>
          <w:rFonts w:ascii="宋体" w:hAnsi="宋体" w:hint="eastAsia"/>
          <w:color w:val="000000"/>
          <w:kern w:val="0"/>
          <w:szCs w:val="21"/>
        </w:rPr>
        <w:t>、</w:t>
      </w:r>
      <w:r>
        <w:rPr>
          <w:rFonts w:ascii="宋体" w:hAnsi="宋体" w:hint="eastAsia"/>
          <w:color w:val="000000"/>
          <w:kern w:val="0"/>
          <w:szCs w:val="21"/>
        </w:rPr>
        <w:t>0.84%</w:t>
      </w:r>
      <w:r>
        <w:rPr>
          <w:rFonts w:ascii="宋体" w:hAnsi="宋体" w:hint="eastAsia"/>
          <w:color w:val="000000"/>
          <w:kern w:val="0"/>
          <w:szCs w:val="21"/>
        </w:rPr>
        <w:t>、</w:t>
      </w:r>
      <w:r>
        <w:rPr>
          <w:rFonts w:ascii="宋体" w:hAnsi="宋体" w:hint="eastAsia"/>
          <w:color w:val="000000"/>
          <w:kern w:val="0"/>
          <w:szCs w:val="21"/>
        </w:rPr>
        <w:t>0.75%</w:t>
      </w:r>
      <w:r>
        <w:rPr>
          <w:rFonts w:ascii="宋体" w:hAnsi="宋体" w:hint="eastAsia"/>
          <w:color w:val="000000"/>
          <w:kern w:val="0"/>
          <w:szCs w:val="21"/>
        </w:rPr>
        <w:t>，</w:t>
      </w:r>
      <w:r>
        <w:rPr>
          <w:rFonts w:ascii="宋体" w:hAnsi="宋体" w:hint="eastAsia"/>
          <w:szCs w:val="21"/>
        </w:rPr>
        <w:t>资产利润率最高的依然是国有大型商业银行。此外，我们不能忽视这样一个事实，即国际商业银行的利润是提足呆账准备金后的利润，而我国商业银行的利润是未提足呆账准备金的情况</w:t>
      </w:r>
      <w:proofErr w:type="gramStart"/>
      <w:r>
        <w:rPr>
          <w:rFonts w:ascii="宋体" w:hAnsi="宋体" w:hint="eastAsia"/>
          <w:szCs w:val="21"/>
        </w:rPr>
        <w:t>下计算</w:t>
      </w:r>
      <w:proofErr w:type="gramEnd"/>
      <w:r>
        <w:rPr>
          <w:rFonts w:ascii="宋体" w:hAnsi="宋体" w:hint="eastAsia"/>
          <w:szCs w:val="21"/>
        </w:rPr>
        <w:t>出来的，故如果将资产利润率作为比较对象来分析我国商业银行与其国际商业银行的盈利能力的大小时需要将利润进行调整。</w:t>
      </w:r>
    </w:p>
    <w:p w:rsidR="00167400" w:rsidRDefault="00C64B37">
      <w:pPr>
        <w:spacing w:line="360" w:lineRule="auto"/>
        <w:rPr>
          <w:rFonts w:ascii="宋体" w:hAnsi="宋体"/>
          <w:szCs w:val="21"/>
        </w:rPr>
      </w:pPr>
      <w:r>
        <w:rPr>
          <w:rFonts w:ascii="宋体" w:hAnsi="宋体" w:hint="eastAsia"/>
          <w:szCs w:val="21"/>
        </w:rPr>
        <w:t>3.</w:t>
      </w:r>
      <w:r w:rsidRPr="00BC1C0D">
        <w:rPr>
          <w:rFonts w:ascii="宋体" w:hAnsi="宋体" w:hint="eastAsia"/>
          <w:szCs w:val="21"/>
          <w:highlight w:val="yellow"/>
        </w:rPr>
        <w:t>经营稳健性分析</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）资产质量</w:t>
      </w:r>
    </w:p>
    <w:p w:rsidR="00167400" w:rsidRDefault="00C64B37">
      <w:pPr>
        <w:spacing w:line="360" w:lineRule="auto"/>
        <w:ind w:firstLineChars="200" w:firstLine="420"/>
        <w:rPr>
          <w:rFonts w:ascii="宋体" w:hAnsi="宋体"/>
          <w:szCs w:val="21"/>
        </w:rPr>
      </w:pPr>
      <w:r>
        <w:rPr>
          <w:rFonts w:ascii="宋体" w:hAnsi="宋体" w:hint="eastAsia"/>
          <w:szCs w:val="21"/>
        </w:rPr>
        <w:t>资产质量是评价一个银行经营稳健与否的重要指标，也是评价银行业及某个银行状况的重要指标。在分析资产质量时本文采取商业银行不良贷款率来进行分析。</w:t>
      </w:r>
    </w:p>
    <w:p w:rsidR="00167400" w:rsidRDefault="00C64B37">
      <w:pPr>
        <w:spacing w:line="360" w:lineRule="auto"/>
        <w:ind w:left="1470" w:hangingChars="700" w:hanging="1470"/>
        <w:rPr>
          <w:rFonts w:ascii="宋体" w:hAnsi="宋体"/>
          <w:szCs w:val="21"/>
        </w:rPr>
      </w:pPr>
      <w:r>
        <w:rPr>
          <w:rFonts w:ascii="宋体" w:hAnsi="宋体" w:hint="eastAsia"/>
          <w:noProof/>
          <w:szCs w:val="21"/>
        </w:rPr>
        <w:drawing>
          <wp:inline distT="0" distB="0" distL="114300" distR="114300">
            <wp:extent cx="5219065" cy="2029460"/>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宋体" w:hAnsi="宋体" w:hint="eastAsia"/>
          <w:szCs w:val="21"/>
        </w:rPr>
        <w:t xml:space="preserve">         </w:t>
      </w:r>
      <w:r>
        <w:rPr>
          <w:rFonts w:ascii="宋体" w:hAnsi="宋体" w:hint="eastAsia"/>
          <w:szCs w:val="21"/>
        </w:rPr>
        <w:t>图</w:t>
      </w:r>
      <w:r>
        <w:rPr>
          <w:rFonts w:ascii="宋体" w:hAnsi="宋体" w:hint="eastAsia"/>
          <w:szCs w:val="21"/>
        </w:rPr>
        <w:t>7   2016</w:t>
      </w:r>
      <w:r>
        <w:rPr>
          <w:rFonts w:ascii="宋体" w:hAnsi="宋体" w:hint="eastAsia"/>
          <w:szCs w:val="21"/>
        </w:rPr>
        <w:t>年</w:t>
      </w:r>
      <w:r>
        <w:rPr>
          <w:rFonts w:ascii="宋体" w:hAnsi="宋体" w:hint="eastAsia"/>
          <w:szCs w:val="21"/>
        </w:rPr>
        <w:t>-2018</w:t>
      </w:r>
      <w:r>
        <w:rPr>
          <w:rFonts w:ascii="宋体" w:hAnsi="宋体" w:hint="eastAsia"/>
          <w:szCs w:val="21"/>
        </w:rPr>
        <w:t>年各</w:t>
      </w:r>
      <w:r>
        <w:rPr>
          <w:rFonts w:ascii="宋体" w:hAnsi="宋体" w:hint="eastAsia"/>
          <w:szCs w:val="21"/>
        </w:rPr>
        <w:t>类商业银行不良资产率</w:t>
      </w:r>
    </w:p>
    <w:p w:rsidR="00167400" w:rsidRDefault="00C64B37">
      <w:pPr>
        <w:spacing w:line="360" w:lineRule="auto"/>
        <w:rPr>
          <w:rFonts w:ascii="宋体" w:hAnsi="宋体"/>
          <w:szCs w:val="21"/>
        </w:rPr>
      </w:pPr>
      <w:r>
        <w:rPr>
          <w:rFonts w:ascii="宋体" w:hAnsi="宋体" w:hint="eastAsia"/>
          <w:noProof/>
          <w:szCs w:val="21"/>
        </w:rPr>
        <w:lastRenderedPageBreak/>
        <w:drawing>
          <wp:inline distT="0" distB="0" distL="114300" distR="114300">
            <wp:extent cx="5238115" cy="1791970"/>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图</w:t>
      </w:r>
      <w:r>
        <w:rPr>
          <w:rFonts w:ascii="宋体" w:hAnsi="宋体" w:hint="eastAsia"/>
          <w:szCs w:val="21"/>
        </w:rPr>
        <w:t>8   2018</w:t>
      </w:r>
      <w:r>
        <w:rPr>
          <w:rFonts w:ascii="宋体" w:hAnsi="宋体" w:hint="eastAsia"/>
          <w:szCs w:val="21"/>
        </w:rPr>
        <w:t>年各类商业银行不良资产率占比</w:t>
      </w:r>
    </w:p>
    <w:p w:rsidR="00167400" w:rsidRDefault="00C64B37">
      <w:pPr>
        <w:spacing w:line="360" w:lineRule="auto"/>
        <w:ind w:firstLineChars="200" w:firstLine="420"/>
        <w:rPr>
          <w:rFonts w:ascii="宋体" w:hAnsi="宋体"/>
          <w:szCs w:val="21"/>
        </w:rPr>
      </w:pPr>
      <w:r>
        <w:rPr>
          <w:rFonts w:ascii="宋体" w:hAnsi="宋体" w:hint="eastAsia"/>
          <w:szCs w:val="21"/>
        </w:rPr>
        <w:t>从分析中可发现国有商业银行的不良资产比率，在不断减少，但是农村商业银行与其他商业银行相比较，农村商业银行的不良资产比率在</w:t>
      </w:r>
      <w:r>
        <w:rPr>
          <w:rFonts w:ascii="宋体" w:hAnsi="宋体" w:hint="eastAsia"/>
          <w:szCs w:val="21"/>
        </w:rPr>
        <w:t>2018</w:t>
      </w:r>
      <w:r>
        <w:rPr>
          <w:rFonts w:ascii="宋体" w:hAnsi="宋体" w:hint="eastAsia"/>
          <w:szCs w:val="21"/>
        </w:rPr>
        <w:t>年第二季度之前一直持续增加，虽然在三、四季度有所下降但仍然过大，在</w:t>
      </w:r>
      <w:r>
        <w:rPr>
          <w:rFonts w:ascii="宋体" w:hAnsi="宋体" w:hint="eastAsia"/>
          <w:szCs w:val="21"/>
        </w:rPr>
        <w:t>2018</w:t>
      </w:r>
      <w:r>
        <w:rPr>
          <w:rFonts w:ascii="宋体" w:hAnsi="宋体" w:hint="eastAsia"/>
          <w:szCs w:val="21"/>
        </w:rPr>
        <w:t>年第二季度达到了</w:t>
      </w:r>
      <w:r>
        <w:rPr>
          <w:rFonts w:ascii="宋体" w:hAnsi="宋体" w:hint="eastAsia"/>
          <w:szCs w:val="21"/>
        </w:rPr>
        <w:t>4.29%</w:t>
      </w:r>
      <w:r>
        <w:rPr>
          <w:rFonts w:ascii="宋体" w:hAnsi="宋体" w:hint="eastAsia"/>
          <w:szCs w:val="21"/>
        </w:rPr>
        <w:t>。总体来说近年来我国商业银行的不良贷款率稳中稍有下降，与前五年相比都有所上升，其中农村商业银行的不良贷款率增加量最大，从</w:t>
      </w:r>
      <w:r>
        <w:rPr>
          <w:rFonts w:ascii="宋体" w:hAnsi="宋体" w:hint="eastAsia"/>
          <w:szCs w:val="21"/>
        </w:rPr>
        <w:t>2013</w:t>
      </w:r>
      <w:r>
        <w:rPr>
          <w:rFonts w:ascii="宋体" w:hAnsi="宋体" w:hint="eastAsia"/>
          <w:szCs w:val="21"/>
        </w:rPr>
        <w:t>年第二季度的</w:t>
      </w:r>
      <w:r>
        <w:rPr>
          <w:rFonts w:ascii="宋体" w:hAnsi="宋体" w:hint="eastAsia"/>
          <w:szCs w:val="21"/>
        </w:rPr>
        <w:t>1.63%</w:t>
      </w:r>
      <w:r>
        <w:rPr>
          <w:rFonts w:ascii="宋体" w:hAnsi="宋体" w:hint="eastAsia"/>
          <w:szCs w:val="21"/>
        </w:rPr>
        <w:t>增加到</w:t>
      </w:r>
      <w:r>
        <w:rPr>
          <w:rFonts w:ascii="宋体" w:hAnsi="宋体" w:hint="eastAsia"/>
          <w:szCs w:val="21"/>
        </w:rPr>
        <w:t>2018</w:t>
      </w:r>
      <w:r>
        <w:rPr>
          <w:rFonts w:ascii="宋体" w:hAnsi="宋体" w:hint="eastAsia"/>
          <w:szCs w:val="21"/>
        </w:rPr>
        <w:t>年第二季度的</w:t>
      </w:r>
      <w:r>
        <w:rPr>
          <w:rFonts w:ascii="宋体" w:hAnsi="宋体" w:hint="eastAsia"/>
          <w:szCs w:val="21"/>
        </w:rPr>
        <w:t>4.2</w:t>
      </w:r>
      <w:r>
        <w:rPr>
          <w:rFonts w:ascii="宋体" w:hAnsi="宋体" w:hint="eastAsia"/>
          <w:szCs w:val="21"/>
        </w:rPr>
        <w:t>9%</w:t>
      </w:r>
      <w:r>
        <w:rPr>
          <w:rFonts w:ascii="宋体" w:hAnsi="宋体" w:hint="eastAsia"/>
          <w:szCs w:val="21"/>
        </w:rPr>
        <w:t>，增长率达到了</w:t>
      </w:r>
      <w:r>
        <w:rPr>
          <w:rFonts w:ascii="宋体" w:hAnsi="宋体" w:hint="eastAsia"/>
          <w:szCs w:val="21"/>
        </w:rPr>
        <w:t>163.19%</w:t>
      </w:r>
      <w:r>
        <w:rPr>
          <w:rFonts w:ascii="宋体" w:hAnsi="宋体" w:hint="eastAsia"/>
          <w:szCs w:val="21"/>
        </w:rPr>
        <w:t>。截止</w:t>
      </w:r>
      <w:r>
        <w:rPr>
          <w:rFonts w:ascii="宋体" w:hAnsi="宋体" w:hint="eastAsia"/>
          <w:szCs w:val="21"/>
        </w:rPr>
        <w:t>2018</w:t>
      </w:r>
      <w:r>
        <w:rPr>
          <w:rFonts w:ascii="宋体" w:hAnsi="宋体" w:hint="eastAsia"/>
          <w:szCs w:val="21"/>
        </w:rPr>
        <w:t>年年末如图</w:t>
      </w:r>
      <w:r>
        <w:rPr>
          <w:rFonts w:ascii="宋体" w:hAnsi="宋体" w:hint="eastAsia"/>
          <w:szCs w:val="21"/>
        </w:rPr>
        <w:t>8</w:t>
      </w:r>
      <w:r>
        <w:rPr>
          <w:rFonts w:ascii="宋体" w:hAnsi="宋体" w:hint="eastAsia"/>
          <w:szCs w:val="21"/>
        </w:rPr>
        <w:t>不良贷款率从大到小的排序是农村商业银行、城市商业银行、股份制商业银行、大型商业银行、外资银行。</w:t>
      </w:r>
    </w:p>
    <w:p w:rsidR="00167400" w:rsidRDefault="00C64B37">
      <w:pPr>
        <w:spacing w:line="360" w:lineRule="auto"/>
        <w:ind w:firstLineChars="200" w:firstLine="420"/>
        <w:rPr>
          <w:rFonts w:ascii="宋体" w:hAnsi="宋体"/>
          <w:szCs w:val="21"/>
        </w:rPr>
      </w:pPr>
      <w:r>
        <w:rPr>
          <w:rFonts w:ascii="宋体" w:hAnsi="宋体" w:hint="eastAsia"/>
          <w:szCs w:val="21"/>
        </w:rPr>
        <w:t>然而商业银行的不良贷款率越高，银行存在的信用风险越大，商业银行的资产质量越差，从而会影响商业银行的长远发展。因此，处理不良资产仍是今后农村商业银行的艰巨任务之一。</w:t>
      </w:r>
    </w:p>
    <w:p w:rsidR="00167400" w:rsidRDefault="00C64B37">
      <w:pPr>
        <w:numPr>
          <w:ilvl w:val="0"/>
          <w:numId w:val="4"/>
        </w:numPr>
        <w:spacing w:line="360" w:lineRule="auto"/>
        <w:rPr>
          <w:rFonts w:ascii="宋体" w:hAnsi="宋体"/>
          <w:szCs w:val="21"/>
        </w:rPr>
      </w:pPr>
      <w:r>
        <w:rPr>
          <w:rFonts w:ascii="宋体" w:hAnsi="宋体" w:hint="eastAsia"/>
          <w:szCs w:val="21"/>
        </w:rPr>
        <w:t>流动性</w:t>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分析银行流动性时，通过采用的</w:t>
      </w:r>
      <w:proofErr w:type="gramStart"/>
      <w:r>
        <w:rPr>
          <w:rFonts w:ascii="宋体" w:hAnsi="宋体" w:hint="eastAsia"/>
          <w:szCs w:val="21"/>
        </w:rPr>
        <w:t>指标有贷存款</w:t>
      </w:r>
      <w:proofErr w:type="gramEnd"/>
      <w:r>
        <w:rPr>
          <w:rFonts w:ascii="宋体" w:hAnsi="宋体" w:hint="eastAsia"/>
          <w:szCs w:val="21"/>
        </w:rPr>
        <w:t>比例、流动性资产与总资产比例，因为商业银行的主要资金来源是储蓄存款，储蓄存款属于商业银行的负债，在款项到期时商业银行面临着还本付息的压力，故</w:t>
      </w:r>
      <w:r>
        <w:rPr>
          <w:rFonts w:ascii="宋体" w:hAnsi="宋体" w:hint="eastAsia"/>
          <w:szCs w:val="21"/>
        </w:rPr>
        <w:t>用流动性资产与总资产比例即流动性比例来衡量商业银行的短期偿债能力及流动性情况。</w:t>
      </w:r>
    </w:p>
    <w:p w:rsidR="00167400" w:rsidRDefault="00C64B37">
      <w:pPr>
        <w:spacing w:line="360" w:lineRule="auto"/>
        <w:rPr>
          <w:rFonts w:ascii="宋体" w:hAnsi="宋体"/>
          <w:szCs w:val="21"/>
        </w:rPr>
      </w:pPr>
      <w:r>
        <w:rPr>
          <w:rFonts w:ascii="宋体" w:hAnsi="宋体" w:hint="eastAsia"/>
          <w:noProof/>
          <w:szCs w:val="21"/>
        </w:rPr>
        <w:lastRenderedPageBreak/>
        <w:drawing>
          <wp:inline distT="0" distB="0" distL="114300" distR="114300">
            <wp:extent cx="5314315" cy="2714625"/>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图</w:t>
      </w:r>
      <w:r>
        <w:rPr>
          <w:rFonts w:ascii="宋体" w:hAnsi="宋体" w:hint="eastAsia"/>
          <w:szCs w:val="21"/>
        </w:rPr>
        <w:t xml:space="preserve">9    </w:t>
      </w:r>
      <w:r>
        <w:rPr>
          <w:rFonts w:ascii="宋体" w:hAnsi="宋体" w:hint="eastAsia"/>
          <w:szCs w:val="21"/>
        </w:rPr>
        <w:t>商业银行流动比例和存贷比变化趋势</w:t>
      </w:r>
    </w:p>
    <w:p w:rsidR="00167400" w:rsidRDefault="00C64B37">
      <w:pPr>
        <w:spacing w:line="360" w:lineRule="auto"/>
        <w:rPr>
          <w:rFonts w:ascii="宋体" w:hAnsi="宋体"/>
          <w:szCs w:val="21"/>
        </w:rPr>
      </w:pPr>
      <w:r>
        <w:rPr>
          <w:rFonts w:ascii="宋体" w:hAnsi="宋体" w:hint="eastAsia"/>
          <w:szCs w:val="21"/>
        </w:rPr>
        <w:t xml:space="preserve">   </w:t>
      </w:r>
      <w:r>
        <w:rPr>
          <w:rFonts w:ascii="宋体" w:hAnsi="宋体" w:hint="eastAsia"/>
          <w:szCs w:val="21"/>
        </w:rPr>
        <w:t>从上图商业银行总体的情况来看，商业银行的存贷比和流动性比例都在逐渐上升，这说明商业银行的偿债能力在不断的增强，一般来监管要求商业银行的流动性比例不低于</w:t>
      </w:r>
      <w:r>
        <w:rPr>
          <w:rFonts w:ascii="宋体" w:hAnsi="宋体" w:hint="eastAsia"/>
          <w:szCs w:val="21"/>
        </w:rPr>
        <w:t>25%</w:t>
      </w:r>
      <w:r>
        <w:rPr>
          <w:rFonts w:ascii="宋体" w:hAnsi="宋体" w:hint="eastAsia"/>
          <w:szCs w:val="21"/>
        </w:rPr>
        <w:t>，从上图可以看出我国商业银行的总体的流动性比例是比较高的，在</w:t>
      </w:r>
      <w:r>
        <w:rPr>
          <w:rFonts w:ascii="宋体" w:hAnsi="宋体" w:hint="eastAsia"/>
          <w:szCs w:val="21"/>
        </w:rPr>
        <w:t>2018</w:t>
      </w:r>
      <w:r>
        <w:rPr>
          <w:rFonts w:ascii="宋体" w:hAnsi="宋体" w:hint="eastAsia"/>
          <w:szCs w:val="21"/>
        </w:rPr>
        <w:t>年第四季度达到了</w:t>
      </w:r>
      <w:r>
        <w:rPr>
          <w:rFonts w:ascii="宋体" w:hAnsi="宋体" w:hint="eastAsia"/>
          <w:szCs w:val="21"/>
        </w:rPr>
        <w:t>55.31%</w:t>
      </w:r>
      <w:r>
        <w:rPr>
          <w:rFonts w:ascii="宋体" w:hAnsi="宋体" w:hint="eastAsia"/>
          <w:szCs w:val="21"/>
        </w:rPr>
        <w:t>，存贷比也在不断的增加，截止</w:t>
      </w:r>
      <w:r>
        <w:rPr>
          <w:rFonts w:ascii="宋体" w:hAnsi="宋体" w:hint="eastAsia"/>
          <w:szCs w:val="21"/>
        </w:rPr>
        <w:t>2018</w:t>
      </w:r>
      <w:r>
        <w:rPr>
          <w:rFonts w:ascii="宋体" w:hAnsi="宋体" w:hint="eastAsia"/>
          <w:szCs w:val="21"/>
        </w:rPr>
        <w:t>年第四季度达到了</w:t>
      </w:r>
      <w:r>
        <w:rPr>
          <w:rFonts w:ascii="宋体" w:hAnsi="宋体" w:hint="eastAsia"/>
          <w:szCs w:val="21"/>
        </w:rPr>
        <w:t>74.34%</w:t>
      </w:r>
      <w:r>
        <w:rPr>
          <w:rFonts w:ascii="宋体" w:hAnsi="宋体" w:hint="eastAsia"/>
          <w:szCs w:val="21"/>
        </w:rPr>
        <w:t>，两个衡量商业银行短期偿债能力的指</w:t>
      </w:r>
      <w:r>
        <w:rPr>
          <w:rFonts w:ascii="宋体" w:hAnsi="宋体" w:hint="eastAsia"/>
          <w:szCs w:val="21"/>
        </w:rPr>
        <w:t>标都达到历史最高水平，这也符合商业银行对流动风险的监管和防范。</w:t>
      </w:r>
    </w:p>
    <w:p w:rsidR="00167400" w:rsidRDefault="00C64B37">
      <w:pPr>
        <w:spacing w:line="360" w:lineRule="auto"/>
        <w:rPr>
          <w:rFonts w:ascii="宋体" w:hAnsi="宋体"/>
          <w:szCs w:val="21"/>
        </w:rPr>
      </w:pPr>
      <w:r>
        <w:rPr>
          <w:rFonts w:ascii="宋体" w:hAnsi="宋体" w:hint="eastAsia"/>
          <w:szCs w:val="21"/>
        </w:rPr>
        <w:t>表</w:t>
      </w:r>
      <w:r>
        <w:rPr>
          <w:rFonts w:ascii="宋体" w:hAnsi="宋体" w:hint="eastAsia"/>
          <w:szCs w:val="21"/>
        </w:rPr>
        <w:t xml:space="preserve">3                     </w:t>
      </w:r>
      <w:r>
        <w:rPr>
          <w:rFonts w:ascii="宋体" w:hAnsi="宋体" w:hint="eastAsia"/>
          <w:szCs w:val="21"/>
        </w:rPr>
        <w:t>各类商业银行流动性比例</w:t>
      </w:r>
    </w:p>
    <w:tbl>
      <w:tblPr>
        <w:tblW w:w="8533" w:type="dxa"/>
        <w:tblLayout w:type="fixed"/>
        <w:tblCellMar>
          <w:top w:w="15" w:type="dxa"/>
          <w:left w:w="15" w:type="dxa"/>
          <w:bottom w:w="15" w:type="dxa"/>
          <w:right w:w="15" w:type="dxa"/>
        </w:tblCellMar>
        <w:tblLook w:val="04A0" w:firstRow="1" w:lastRow="0" w:firstColumn="1" w:lastColumn="0" w:noHBand="0" w:noVBand="1"/>
      </w:tblPr>
      <w:tblGrid>
        <w:gridCol w:w="958"/>
        <w:gridCol w:w="930"/>
        <w:gridCol w:w="915"/>
        <w:gridCol w:w="930"/>
        <w:gridCol w:w="975"/>
        <w:gridCol w:w="990"/>
        <w:gridCol w:w="945"/>
        <w:gridCol w:w="960"/>
        <w:gridCol w:w="930"/>
      </w:tblGrid>
      <w:tr w:rsidR="00167400">
        <w:trPr>
          <w:trHeight w:val="286"/>
        </w:trPr>
        <w:tc>
          <w:tcPr>
            <w:tcW w:w="958" w:type="dxa"/>
            <w:vMerge w:val="restart"/>
            <w:tcBorders>
              <w:top w:val="single" w:sz="4" w:space="0" w:color="000000"/>
              <w:bottom w:val="single" w:sz="4" w:space="0" w:color="000000"/>
              <w:right w:val="single" w:sz="4" w:space="0" w:color="000000"/>
            </w:tcBorders>
            <w:shd w:val="clear" w:color="auto" w:fill="auto"/>
            <w:vAlign w:val="center"/>
          </w:tcPr>
          <w:p w:rsidR="00167400" w:rsidRDefault="00167400">
            <w:pPr>
              <w:jc w:val="center"/>
              <w:rPr>
                <w:rFonts w:ascii="宋体" w:hAnsi="宋体"/>
                <w:color w:val="000000"/>
                <w:szCs w:val="21"/>
              </w:rPr>
            </w:pPr>
          </w:p>
        </w:tc>
        <w:tc>
          <w:tcPr>
            <w:tcW w:w="375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center"/>
              <w:textAlignment w:val="center"/>
              <w:rPr>
                <w:rFonts w:ascii="宋体" w:hAnsi="宋体"/>
                <w:color w:val="000000"/>
                <w:szCs w:val="21"/>
              </w:rPr>
            </w:pPr>
            <w:r>
              <w:rPr>
                <w:rFonts w:ascii="宋体" w:hAnsi="宋体" w:hint="eastAsia"/>
                <w:color w:val="000000"/>
                <w:kern w:val="0"/>
                <w:szCs w:val="21"/>
              </w:rPr>
              <w:t>2017</w:t>
            </w:r>
            <w:r>
              <w:rPr>
                <w:rFonts w:ascii="宋体" w:hAnsi="宋体" w:hint="eastAsia"/>
                <w:color w:val="000000"/>
                <w:kern w:val="0"/>
                <w:szCs w:val="21"/>
              </w:rPr>
              <w:t>年</w:t>
            </w:r>
          </w:p>
        </w:tc>
        <w:tc>
          <w:tcPr>
            <w:tcW w:w="3825" w:type="dxa"/>
            <w:gridSpan w:val="4"/>
            <w:tcBorders>
              <w:top w:val="single" w:sz="4" w:space="0" w:color="000000"/>
              <w:left w:val="single" w:sz="4" w:space="0" w:color="000000"/>
              <w:bottom w:val="single" w:sz="4" w:space="0" w:color="000000"/>
              <w:right w:val="nil"/>
            </w:tcBorders>
            <w:shd w:val="clear" w:color="auto" w:fill="auto"/>
            <w:vAlign w:val="center"/>
          </w:tcPr>
          <w:p w:rsidR="00167400" w:rsidRDefault="00C64B37">
            <w:pPr>
              <w:widowControl/>
              <w:jc w:val="center"/>
              <w:textAlignment w:val="center"/>
              <w:rPr>
                <w:rFonts w:ascii="宋体" w:hAnsi="宋体"/>
                <w:color w:val="000000"/>
                <w:szCs w:val="21"/>
              </w:rPr>
            </w:pPr>
            <w:r>
              <w:rPr>
                <w:rFonts w:ascii="宋体" w:hAnsi="宋体" w:hint="eastAsia"/>
                <w:color w:val="000000"/>
                <w:kern w:val="0"/>
                <w:szCs w:val="21"/>
              </w:rPr>
              <w:t>2018</w:t>
            </w:r>
            <w:r>
              <w:rPr>
                <w:rFonts w:ascii="宋体" w:hAnsi="宋体" w:hint="eastAsia"/>
                <w:color w:val="000000"/>
                <w:kern w:val="0"/>
                <w:szCs w:val="21"/>
              </w:rPr>
              <w:t>年</w:t>
            </w:r>
          </w:p>
        </w:tc>
      </w:tr>
      <w:tr w:rsidR="00167400">
        <w:trPr>
          <w:trHeight w:val="375"/>
        </w:trPr>
        <w:tc>
          <w:tcPr>
            <w:tcW w:w="958" w:type="dxa"/>
            <w:vMerge/>
            <w:tcBorders>
              <w:top w:val="single" w:sz="4" w:space="0" w:color="000000"/>
              <w:bottom w:val="single" w:sz="4" w:space="0" w:color="000000"/>
              <w:right w:val="single" w:sz="4" w:space="0" w:color="000000"/>
            </w:tcBorders>
            <w:shd w:val="clear" w:color="auto" w:fill="auto"/>
            <w:vAlign w:val="center"/>
          </w:tcPr>
          <w:p w:rsidR="00167400" w:rsidRDefault="00167400">
            <w:pPr>
              <w:jc w:val="center"/>
              <w:rPr>
                <w:rFonts w:ascii="宋体" w:hAnsi="宋体"/>
                <w:color w:val="000000"/>
                <w:szCs w:val="21"/>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第一季度</w:t>
            </w:r>
          </w:p>
        </w:tc>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第二季度</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第三季度</w:t>
            </w:r>
          </w:p>
        </w:tc>
        <w:tc>
          <w:tcPr>
            <w:tcW w:w="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第四季度</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第一季度</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第二季度</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第三季度</w:t>
            </w:r>
          </w:p>
        </w:tc>
        <w:tc>
          <w:tcPr>
            <w:tcW w:w="930"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第四季度</w:t>
            </w:r>
          </w:p>
        </w:tc>
      </w:tr>
      <w:tr w:rsidR="00167400">
        <w:trPr>
          <w:trHeight w:val="286"/>
        </w:trPr>
        <w:tc>
          <w:tcPr>
            <w:tcW w:w="958"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大型商业银行</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46.07%</w:t>
            </w:r>
          </w:p>
        </w:tc>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48.03%</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47.66%</w:t>
            </w:r>
          </w:p>
        </w:tc>
        <w:tc>
          <w:tcPr>
            <w:tcW w:w="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48.10%</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50.81%</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51.83%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52.84%</w:t>
            </w:r>
          </w:p>
        </w:tc>
        <w:tc>
          <w:tcPr>
            <w:tcW w:w="930"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52.34%</w:t>
            </w:r>
          </w:p>
        </w:tc>
      </w:tr>
      <w:tr w:rsidR="00167400">
        <w:trPr>
          <w:trHeight w:val="286"/>
        </w:trPr>
        <w:tc>
          <w:tcPr>
            <w:tcW w:w="958"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股份制商业银行</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51.03%</w:t>
            </w:r>
          </w:p>
        </w:tc>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50.13%</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49.82%</w:t>
            </w:r>
          </w:p>
        </w:tc>
        <w:tc>
          <w:tcPr>
            <w:tcW w:w="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50.78%</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51.40%</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51.69%</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5.00%</w:t>
            </w:r>
          </w:p>
        </w:tc>
        <w:tc>
          <w:tcPr>
            <w:tcW w:w="930"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56.49%</w:t>
            </w:r>
          </w:p>
        </w:tc>
      </w:tr>
      <w:tr w:rsidR="00167400">
        <w:trPr>
          <w:trHeight w:val="286"/>
        </w:trPr>
        <w:tc>
          <w:tcPr>
            <w:tcW w:w="958"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城市商业银行</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52.55%</w:t>
            </w:r>
          </w:p>
        </w:tc>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99.56%</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50.35%</w:t>
            </w:r>
          </w:p>
        </w:tc>
        <w:tc>
          <w:tcPr>
            <w:tcW w:w="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51.48%</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50.87%</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52.73%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52.02%</w:t>
            </w:r>
          </w:p>
        </w:tc>
        <w:tc>
          <w:tcPr>
            <w:tcW w:w="930"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60.14%</w:t>
            </w:r>
          </w:p>
        </w:tc>
      </w:tr>
      <w:tr w:rsidR="00167400">
        <w:trPr>
          <w:trHeight w:val="286"/>
        </w:trPr>
        <w:tc>
          <w:tcPr>
            <w:tcW w:w="958"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农村商业银行</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51.52%</w:t>
            </w:r>
          </w:p>
        </w:tc>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51.12%</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51.32%</w:t>
            </w:r>
          </w:p>
        </w:tc>
        <w:tc>
          <w:tcPr>
            <w:tcW w:w="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53.14%</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52.93%</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54.16%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54.54%</w:t>
            </w:r>
          </w:p>
        </w:tc>
        <w:tc>
          <w:tcPr>
            <w:tcW w:w="930"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58.77%</w:t>
            </w:r>
          </w:p>
        </w:tc>
      </w:tr>
      <w:tr w:rsidR="00167400">
        <w:trPr>
          <w:trHeight w:val="286"/>
        </w:trPr>
        <w:tc>
          <w:tcPr>
            <w:tcW w:w="958" w:type="dxa"/>
            <w:tcBorders>
              <w:top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外资银行</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60.59%</w:t>
            </w:r>
          </w:p>
        </w:tc>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62.41%</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63.93%</w:t>
            </w:r>
          </w:p>
        </w:tc>
        <w:tc>
          <w:tcPr>
            <w:tcW w:w="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66.80%</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62.02%</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64.73%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68.96%</w:t>
            </w:r>
          </w:p>
        </w:tc>
        <w:tc>
          <w:tcPr>
            <w:tcW w:w="930" w:type="dxa"/>
            <w:tcBorders>
              <w:top w:val="single" w:sz="4" w:space="0" w:color="000000"/>
              <w:left w:val="single" w:sz="4" w:space="0" w:color="000000"/>
              <w:bottom w:val="single" w:sz="4" w:space="0" w:color="000000"/>
            </w:tcBorders>
            <w:shd w:val="clear" w:color="auto" w:fill="auto"/>
            <w:vAlign w:val="center"/>
          </w:tcPr>
          <w:p w:rsidR="00167400" w:rsidRDefault="00C64B37">
            <w:pPr>
              <w:widowControl/>
              <w:jc w:val="left"/>
              <w:textAlignment w:val="center"/>
              <w:rPr>
                <w:rFonts w:ascii="宋体" w:hAnsi="宋体"/>
                <w:color w:val="000000"/>
                <w:szCs w:val="21"/>
              </w:rPr>
            </w:pPr>
            <w:r>
              <w:rPr>
                <w:rFonts w:ascii="宋体" w:hAnsi="宋体" w:hint="eastAsia"/>
                <w:color w:val="000000"/>
                <w:kern w:val="0"/>
                <w:szCs w:val="21"/>
              </w:rPr>
              <w:t>72.20%</w:t>
            </w:r>
          </w:p>
        </w:tc>
      </w:tr>
    </w:tbl>
    <w:p w:rsidR="00167400" w:rsidRDefault="00C64B37">
      <w:pPr>
        <w:spacing w:line="360" w:lineRule="auto"/>
        <w:ind w:firstLineChars="200" w:firstLine="420"/>
        <w:rPr>
          <w:rFonts w:ascii="宋体" w:hAnsi="宋体"/>
          <w:szCs w:val="21"/>
        </w:rPr>
      </w:pPr>
      <w:r>
        <w:rPr>
          <w:rFonts w:ascii="宋体" w:hAnsi="宋体" w:hint="eastAsia"/>
          <w:szCs w:val="21"/>
        </w:rPr>
        <w:t>从上表可以看出从</w:t>
      </w:r>
      <w:r>
        <w:rPr>
          <w:rFonts w:ascii="宋体" w:hAnsi="宋体" w:hint="eastAsia"/>
          <w:szCs w:val="21"/>
        </w:rPr>
        <w:t>2017</w:t>
      </w:r>
      <w:r>
        <w:rPr>
          <w:rFonts w:ascii="宋体" w:hAnsi="宋体" w:hint="eastAsia"/>
          <w:szCs w:val="21"/>
        </w:rPr>
        <w:t>年以来我国商业银行基本不存在流动性问题，并且流动性比例也都在不断增加，农村信用社有人民银行再贷款支持，股份制商业银行存款增长很快，目前也不存在流动性问题。</w:t>
      </w:r>
    </w:p>
    <w:p w:rsidR="00167400" w:rsidRDefault="00C64B37">
      <w:pPr>
        <w:numPr>
          <w:ilvl w:val="0"/>
          <w:numId w:val="4"/>
        </w:numPr>
        <w:spacing w:line="360" w:lineRule="auto"/>
        <w:rPr>
          <w:rFonts w:ascii="宋体" w:hAnsi="宋体"/>
          <w:szCs w:val="21"/>
        </w:rPr>
      </w:pPr>
      <w:r>
        <w:rPr>
          <w:rFonts w:ascii="宋体" w:hAnsi="宋体" w:hint="eastAsia"/>
          <w:szCs w:val="21"/>
        </w:rPr>
        <w:t>资本（资本充足率）</w:t>
      </w:r>
    </w:p>
    <w:p w:rsidR="00167400" w:rsidRDefault="00C64B37">
      <w:pPr>
        <w:spacing w:line="360" w:lineRule="auto"/>
        <w:ind w:firstLineChars="200" w:firstLine="420"/>
        <w:rPr>
          <w:rFonts w:ascii="宋体" w:hAnsi="宋体"/>
          <w:szCs w:val="21"/>
        </w:rPr>
      </w:pPr>
      <w:r>
        <w:rPr>
          <w:rFonts w:ascii="宋体" w:hAnsi="宋体" w:hint="eastAsia"/>
          <w:szCs w:val="21"/>
        </w:rPr>
        <w:t>由于金融危机的不断出现，国际社会对商业银行的自有资本性越来越重视，并规定出最</w:t>
      </w:r>
      <w:r>
        <w:rPr>
          <w:rFonts w:ascii="宋体" w:hAnsi="宋体" w:hint="eastAsia"/>
          <w:szCs w:val="21"/>
        </w:rPr>
        <w:lastRenderedPageBreak/>
        <w:t>低核心资本比例（</w:t>
      </w:r>
      <w:r>
        <w:rPr>
          <w:rFonts w:ascii="宋体" w:hAnsi="宋体" w:hint="eastAsia"/>
          <w:szCs w:val="21"/>
        </w:rPr>
        <w:t>4%)</w:t>
      </w:r>
      <w:r>
        <w:rPr>
          <w:rFonts w:ascii="宋体" w:hAnsi="宋体" w:hint="eastAsia"/>
          <w:szCs w:val="21"/>
        </w:rPr>
        <w:t>和加权风险资本充足率</w:t>
      </w:r>
      <w:r>
        <w:rPr>
          <w:rFonts w:ascii="宋体" w:hAnsi="宋体" w:hint="eastAsia"/>
          <w:szCs w:val="21"/>
        </w:rPr>
        <w:t>(8%)</w:t>
      </w:r>
      <w:r>
        <w:rPr>
          <w:rFonts w:ascii="宋体" w:hAnsi="宋体" w:hint="eastAsia"/>
          <w:szCs w:val="21"/>
        </w:rPr>
        <w:t>。分析银行的资本状况时，主要对银行的法定资本水平、银行盈利能力、发行新股的能力、内部资本分配情况等进行分析。在分析资本充足情况时，主要采取以下数量指标</w:t>
      </w:r>
      <w:r>
        <w:rPr>
          <w:rFonts w:ascii="宋体" w:hAnsi="宋体" w:hint="eastAsia"/>
          <w:szCs w:val="21"/>
        </w:rPr>
        <w:t>:</w:t>
      </w:r>
      <w:r>
        <w:rPr>
          <w:rFonts w:ascii="宋体" w:hAnsi="宋体" w:hint="eastAsia"/>
          <w:szCs w:val="21"/>
        </w:rPr>
        <w:t>一级资本比率、加权风险资本充足率</w:t>
      </w:r>
      <w:r>
        <w:rPr>
          <w:rFonts w:ascii="宋体" w:hAnsi="宋体" w:hint="eastAsia"/>
          <w:szCs w:val="21"/>
        </w:rPr>
        <w:t>(</w:t>
      </w:r>
      <w:r>
        <w:rPr>
          <w:rFonts w:ascii="宋体" w:hAnsi="宋体" w:hint="eastAsia"/>
          <w:szCs w:val="21"/>
        </w:rPr>
        <w:t>BIS)</w:t>
      </w:r>
      <w:r>
        <w:rPr>
          <w:rFonts w:ascii="宋体" w:hAnsi="宋体" w:hint="eastAsia"/>
          <w:szCs w:val="21"/>
        </w:rPr>
        <w:t>、股东股本与总资产的比率、权益性股本与股东股本比率、资本产生率等。由于我国目前商业银行尚未</w:t>
      </w:r>
      <w:proofErr w:type="gramStart"/>
      <w:r>
        <w:rPr>
          <w:rFonts w:ascii="宋体" w:hAnsi="宋体" w:hint="eastAsia"/>
          <w:szCs w:val="21"/>
        </w:rPr>
        <w:t>公布自</w:t>
      </w:r>
      <w:proofErr w:type="gramEnd"/>
      <w:r>
        <w:rPr>
          <w:rFonts w:ascii="宋体" w:hAnsi="宋体" w:hint="eastAsia"/>
          <w:szCs w:val="21"/>
        </w:rPr>
        <w:t>有资本比例</w:t>
      </w:r>
      <w:r>
        <w:rPr>
          <w:rFonts w:ascii="宋体" w:hAnsi="宋体" w:hint="eastAsia"/>
          <w:szCs w:val="21"/>
        </w:rPr>
        <w:t>,</w:t>
      </w:r>
      <w:r>
        <w:rPr>
          <w:rFonts w:ascii="宋体" w:hAnsi="宋体" w:hint="eastAsia"/>
          <w:szCs w:val="21"/>
        </w:rPr>
        <w:t>因此无法进行这方面的分析，本文从加权风险资本充足率</w:t>
      </w:r>
      <w:r>
        <w:rPr>
          <w:rFonts w:ascii="宋体" w:hAnsi="宋体" w:hint="eastAsia"/>
          <w:szCs w:val="21"/>
        </w:rPr>
        <w:t>(BIS)</w:t>
      </w:r>
      <w:r>
        <w:rPr>
          <w:rFonts w:ascii="宋体" w:hAnsi="宋体" w:hint="eastAsia"/>
          <w:szCs w:val="21"/>
        </w:rPr>
        <w:t>来分析商业银行的资本状况。截止</w:t>
      </w:r>
      <w:r>
        <w:rPr>
          <w:rFonts w:ascii="宋体" w:hAnsi="宋体" w:hint="eastAsia"/>
          <w:szCs w:val="21"/>
        </w:rPr>
        <w:t>2018</w:t>
      </w:r>
      <w:r>
        <w:rPr>
          <w:rFonts w:ascii="宋体" w:hAnsi="宋体" w:hint="eastAsia"/>
          <w:szCs w:val="21"/>
        </w:rPr>
        <w:t>年第四季度我国各类商业银行的加权风险资本充足率都是比较高的，其中大型商业银行资本充足率为</w:t>
      </w:r>
      <w:r>
        <w:rPr>
          <w:rFonts w:ascii="宋体" w:hAnsi="宋体" w:hint="eastAsia"/>
          <w:color w:val="000000"/>
          <w:kern w:val="0"/>
          <w:szCs w:val="21"/>
        </w:rPr>
        <w:t>15.70%</w:t>
      </w:r>
      <w:r>
        <w:rPr>
          <w:rFonts w:ascii="宋体" w:hAnsi="宋体" w:hint="eastAsia"/>
          <w:color w:val="000000"/>
          <w:kern w:val="0"/>
          <w:szCs w:val="21"/>
        </w:rPr>
        <w:t>，股份制商业银行</w:t>
      </w:r>
      <w:r>
        <w:rPr>
          <w:rFonts w:ascii="宋体" w:hAnsi="宋体" w:hint="eastAsia"/>
          <w:szCs w:val="21"/>
        </w:rPr>
        <w:t>资本充足率为</w:t>
      </w:r>
      <w:r>
        <w:rPr>
          <w:rFonts w:ascii="宋体" w:hAnsi="宋体" w:hint="eastAsia"/>
          <w:color w:val="000000"/>
          <w:kern w:val="0"/>
          <w:szCs w:val="21"/>
        </w:rPr>
        <w:t>12.76%</w:t>
      </w:r>
      <w:r>
        <w:rPr>
          <w:rFonts w:ascii="宋体" w:hAnsi="宋体" w:hint="eastAsia"/>
          <w:color w:val="000000"/>
          <w:kern w:val="0"/>
          <w:szCs w:val="21"/>
        </w:rPr>
        <w:t>，城市商业银行</w:t>
      </w:r>
      <w:r>
        <w:rPr>
          <w:rFonts w:ascii="宋体" w:hAnsi="宋体" w:hint="eastAsia"/>
          <w:szCs w:val="21"/>
        </w:rPr>
        <w:t>资本充足率为</w:t>
      </w:r>
      <w:r>
        <w:rPr>
          <w:rFonts w:ascii="宋体" w:hAnsi="宋体" w:hint="eastAsia"/>
          <w:szCs w:val="21"/>
        </w:rPr>
        <w:t>12.8%</w:t>
      </w:r>
      <w:r>
        <w:rPr>
          <w:rFonts w:ascii="宋体" w:hAnsi="宋体" w:hint="eastAsia"/>
          <w:szCs w:val="21"/>
        </w:rPr>
        <w:t>，农村</w:t>
      </w:r>
      <w:r>
        <w:rPr>
          <w:rFonts w:ascii="宋体" w:hAnsi="宋体" w:hint="eastAsia"/>
          <w:color w:val="000000"/>
          <w:kern w:val="0"/>
          <w:szCs w:val="21"/>
        </w:rPr>
        <w:t>商业银行</w:t>
      </w:r>
      <w:r>
        <w:rPr>
          <w:rFonts w:ascii="宋体" w:hAnsi="宋体" w:hint="eastAsia"/>
          <w:szCs w:val="21"/>
        </w:rPr>
        <w:t>资本充足率为</w:t>
      </w:r>
      <w:r>
        <w:rPr>
          <w:rFonts w:ascii="宋体" w:hAnsi="宋体" w:hint="eastAsia"/>
          <w:color w:val="000000"/>
          <w:kern w:val="0"/>
          <w:szCs w:val="21"/>
        </w:rPr>
        <w:t>13.20%</w:t>
      </w:r>
      <w:r>
        <w:rPr>
          <w:rFonts w:ascii="宋体" w:hAnsi="宋体" w:hint="eastAsia"/>
          <w:color w:val="000000"/>
          <w:kern w:val="0"/>
          <w:szCs w:val="21"/>
        </w:rPr>
        <w:t>，外资商业银行资本充足率为</w:t>
      </w:r>
      <w:r>
        <w:rPr>
          <w:rFonts w:ascii="宋体" w:hAnsi="宋体" w:hint="eastAsia"/>
          <w:color w:val="000000"/>
          <w:kern w:val="0"/>
          <w:szCs w:val="21"/>
        </w:rPr>
        <w:t>18.4%</w:t>
      </w:r>
      <w:r>
        <w:rPr>
          <w:rFonts w:ascii="宋体" w:hAnsi="宋体" w:hint="eastAsia"/>
          <w:color w:val="000000"/>
          <w:kern w:val="0"/>
          <w:szCs w:val="21"/>
        </w:rPr>
        <w:t>，总体来说我国商业银行的资本充足率是有所增加。</w:t>
      </w:r>
    </w:p>
    <w:p w:rsidR="00167400" w:rsidRDefault="00C64B37">
      <w:pPr>
        <w:spacing w:line="360" w:lineRule="auto"/>
        <w:rPr>
          <w:rFonts w:ascii="宋体" w:hAnsi="宋体"/>
          <w:szCs w:val="21"/>
        </w:rPr>
      </w:pPr>
      <w:r w:rsidRPr="00385382">
        <w:rPr>
          <w:rFonts w:ascii="宋体" w:hAnsi="宋体" w:hint="eastAsia"/>
          <w:szCs w:val="21"/>
          <w:highlight w:val="yellow"/>
        </w:rPr>
        <w:t>四、总结</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年，中国银行业整体经营状况呈现稳中有升、稳中向好的趋势，资产质量逐步好转，拨备反哺利润，对净利润增长起到一定的正向作用。银行业整体经营情况保持平稳，行业净利润增幅甚至有望创</w:t>
      </w:r>
      <w:r>
        <w:rPr>
          <w:rFonts w:ascii="宋体" w:hAnsi="宋体" w:hint="eastAsia"/>
          <w:szCs w:val="21"/>
        </w:rPr>
        <w:t>2015</w:t>
      </w:r>
      <w:r>
        <w:rPr>
          <w:rFonts w:ascii="宋体" w:hAnsi="宋体" w:hint="eastAsia"/>
          <w:szCs w:val="21"/>
        </w:rPr>
        <w:t>年以来新高。</w:t>
      </w:r>
      <w:r>
        <w:rPr>
          <w:rFonts w:ascii="宋体" w:hAnsi="宋体" w:hint="eastAsia"/>
          <w:szCs w:val="21"/>
        </w:rPr>
        <w:t>2018</w:t>
      </w:r>
      <w:r>
        <w:rPr>
          <w:rFonts w:ascii="宋体" w:hAnsi="宋体" w:hint="eastAsia"/>
          <w:szCs w:val="21"/>
        </w:rPr>
        <w:t>年初以来，一系列影响商业银行盈利的政策陆续出台。从“量”上看，年内</w:t>
      </w:r>
      <w:proofErr w:type="gramStart"/>
      <w:r>
        <w:rPr>
          <w:rFonts w:ascii="宋体" w:hAnsi="宋体" w:hint="eastAsia"/>
          <w:szCs w:val="21"/>
        </w:rPr>
        <w:t>四次降准为</w:t>
      </w:r>
      <w:proofErr w:type="gramEnd"/>
      <w:r>
        <w:rPr>
          <w:rFonts w:ascii="宋体" w:hAnsi="宋体" w:hint="eastAsia"/>
          <w:szCs w:val="21"/>
        </w:rPr>
        <w:t>商业银行以“量”补“价”提供了可能，在一定程度上抵消了社会融资增长低迷、新增贷款增速放缓等负面影响。从“价”上看，</w:t>
      </w:r>
      <w:proofErr w:type="gramStart"/>
      <w:r>
        <w:rPr>
          <w:rFonts w:ascii="宋体" w:hAnsi="宋体" w:hint="eastAsia"/>
          <w:szCs w:val="21"/>
        </w:rPr>
        <w:t>降准带来</w:t>
      </w:r>
      <w:proofErr w:type="gramEnd"/>
      <w:r>
        <w:rPr>
          <w:rFonts w:ascii="宋体" w:hAnsi="宋体" w:hint="eastAsia"/>
          <w:szCs w:val="21"/>
        </w:rPr>
        <w:t>存款成本有所下降。</w:t>
      </w:r>
    </w:p>
    <w:p w:rsidR="00167400" w:rsidRDefault="00C64B37">
      <w:pPr>
        <w:spacing w:line="360" w:lineRule="auto"/>
        <w:rPr>
          <w:rFonts w:ascii="宋体" w:hAnsi="宋体"/>
          <w:szCs w:val="21"/>
        </w:rPr>
      </w:pPr>
      <w:r>
        <w:rPr>
          <w:rFonts w:ascii="宋体" w:hAnsi="宋体" w:hint="eastAsia"/>
          <w:szCs w:val="21"/>
        </w:rPr>
        <w:t>1.</w:t>
      </w:r>
      <w:r>
        <w:rPr>
          <w:rFonts w:ascii="宋体" w:hAnsi="宋体" w:hint="eastAsia"/>
          <w:szCs w:val="21"/>
        </w:rPr>
        <w:t>结论</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）银行业资产和负债规模保持增长</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年四季度末，我国银行业</w:t>
      </w:r>
      <w:r>
        <w:rPr>
          <w:rFonts w:ascii="宋体" w:hAnsi="宋体" w:hint="eastAsia"/>
          <w:szCs w:val="21"/>
        </w:rPr>
        <w:t>金融机构本外币资产</w:t>
      </w:r>
      <w:r>
        <w:rPr>
          <w:rFonts w:ascii="宋体" w:hAnsi="宋体" w:hint="eastAsia"/>
          <w:szCs w:val="21"/>
        </w:rPr>
        <w:t>268</w:t>
      </w:r>
      <w:proofErr w:type="gramStart"/>
      <w:r>
        <w:rPr>
          <w:rFonts w:ascii="宋体" w:hAnsi="宋体" w:hint="eastAsia"/>
          <w:szCs w:val="21"/>
        </w:rPr>
        <w:t>万亿</w:t>
      </w:r>
      <w:proofErr w:type="gramEnd"/>
      <w:r>
        <w:rPr>
          <w:rFonts w:ascii="宋体" w:hAnsi="宋体" w:hint="eastAsia"/>
          <w:szCs w:val="21"/>
        </w:rPr>
        <w:t>元，同比增长</w:t>
      </w:r>
      <w:r>
        <w:rPr>
          <w:rFonts w:ascii="宋体" w:hAnsi="宋体" w:hint="eastAsia"/>
          <w:szCs w:val="21"/>
        </w:rPr>
        <w:t>6.3%</w:t>
      </w:r>
      <w:r>
        <w:rPr>
          <w:rFonts w:ascii="宋体" w:hAnsi="宋体" w:hint="eastAsia"/>
          <w:szCs w:val="21"/>
        </w:rPr>
        <w:t>。其中，大型商业银行本外币资产</w:t>
      </w:r>
      <w:r>
        <w:rPr>
          <w:rFonts w:ascii="宋体" w:hAnsi="宋体" w:hint="eastAsia"/>
          <w:szCs w:val="21"/>
        </w:rPr>
        <w:t>98</w:t>
      </w:r>
      <w:proofErr w:type="gramStart"/>
      <w:r>
        <w:rPr>
          <w:rFonts w:ascii="宋体" w:hAnsi="宋体" w:hint="eastAsia"/>
          <w:szCs w:val="21"/>
        </w:rPr>
        <w:t>万亿</w:t>
      </w:r>
      <w:proofErr w:type="gramEnd"/>
      <w:r>
        <w:rPr>
          <w:rFonts w:ascii="宋体" w:hAnsi="宋体" w:hint="eastAsia"/>
          <w:szCs w:val="21"/>
        </w:rPr>
        <w:t>元，占比</w:t>
      </w:r>
      <w:r>
        <w:rPr>
          <w:rFonts w:ascii="宋体" w:hAnsi="宋体" w:hint="eastAsia"/>
          <w:szCs w:val="21"/>
        </w:rPr>
        <w:t>36.7%</w:t>
      </w:r>
      <w:r>
        <w:rPr>
          <w:rFonts w:ascii="宋体" w:hAnsi="宋体" w:hint="eastAsia"/>
          <w:szCs w:val="21"/>
        </w:rPr>
        <w:t>，资产总额同比增长</w:t>
      </w:r>
      <w:r>
        <w:rPr>
          <w:rFonts w:ascii="宋体" w:hAnsi="宋体" w:hint="eastAsia"/>
          <w:szCs w:val="21"/>
        </w:rPr>
        <w:t>6.0%</w:t>
      </w:r>
      <w:r>
        <w:rPr>
          <w:rFonts w:ascii="宋体" w:hAnsi="宋体" w:hint="eastAsia"/>
          <w:szCs w:val="21"/>
        </w:rPr>
        <w:t>；股份制商业银行本外币资产</w:t>
      </w:r>
      <w:r>
        <w:rPr>
          <w:rFonts w:ascii="宋体" w:hAnsi="宋体" w:hint="eastAsia"/>
          <w:szCs w:val="21"/>
        </w:rPr>
        <w:t>47</w:t>
      </w:r>
      <w:proofErr w:type="gramStart"/>
      <w:r>
        <w:rPr>
          <w:rFonts w:ascii="宋体" w:hAnsi="宋体" w:hint="eastAsia"/>
          <w:szCs w:val="21"/>
        </w:rPr>
        <w:t>万亿</w:t>
      </w:r>
      <w:proofErr w:type="gramEnd"/>
      <w:r>
        <w:rPr>
          <w:rFonts w:ascii="宋体" w:hAnsi="宋体" w:hint="eastAsia"/>
          <w:szCs w:val="21"/>
        </w:rPr>
        <w:t>元，占比</w:t>
      </w:r>
      <w:r>
        <w:rPr>
          <w:rFonts w:ascii="宋体" w:hAnsi="宋体" w:hint="eastAsia"/>
          <w:szCs w:val="21"/>
        </w:rPr>
        <w:t>17.5%</w:t>
      </w:r>
      <w:r>
        <w:rPr>
          <w:rFonts w:ascii="宋体" w:hAnsi="宋体" w:hint="eastAsia"/>
          <w:szCs w:val="21"/>
        </w:rPr>
        <w:t>，资产总额同比增长</w:t>
      </w:r>
      <w:r>
        <w:rPr>
          <w:rFonts w:ascii="宋体" w:hAnsi="宋体" w:hint="eastAsia"/>
          <w:szCs w:val="21"/>
        </w:rPr>
        <w:t>4.6%</w:t>
      </w:r>
      <w:r>
        <w:rPr>
          <w:rFonts w:ascii="宋体" w:hAnsi="宋体" w:hint="eastAsia"/>
          <w:szCs w:val="21"/>
        </w:rPr>
        <w:t>。银行业金融机构本外币负债</w:t>
      </w:r>
      <w:r>
        <w:rPr>
          <w:rFonts w:ascii="宋体" w:hAnsi="宋体" w:hint="eastAsia"/>
          <w:szCs w:val="21"/>
        </w:rPr>
        <w:t>247</w:t>
      </w:r>
      <w:proofErr w:type="gramStart"/>
      <w:r>
        <w:rPr>
          <w:rFonts w:ascii="宋体" w:hAnsi="宋体" w:hint="eastAsia"/>
          <w:szCs w:val="21"/>
        </w:rPr>
        <w:t>万亿</w:t>
      </w:r>
      <w:proofErr w:type="gramEnd"/>
      <w:r>
        <w:rPr>
          <w:rFonts w:ascii="宋体" w:hAnsi="宋体" w:hint="eastAsia"/>
          <w:szCs w:val="21"/>
        </w:rPr>
        <w:t>元，同比增长</w:t>
      </w:r>
      <w:r>
        <w:rPr>
          <w:rFonts w:ascii="宋体" w:hAnsi="宋体" w:hint="eastAsia"/>
          <w:szCs w:val="21"/>
        </w:rPr>
        <w:t>5.9%</w:t>
      </w:r>
      <w:r>
        <w:rPr>
          <w:rFonts w:ascii="宋体" w:hAnsi="宋体" w:hint="eastAsia"/>
          <w:szCs w:val="21"/>
        </w:rPr>
        <w:t>。其中，大型商业银行本外币负债</w:t>
      </w:r>
      <w:r>
        <w:rPr>
          <w:rFonts w:ascii="宋体" w:hAnsi="宋体" w:hint="eastAsia"/>
          <w:szCs w:val="21"/>
        </w:rPr>
        <w:t>90</w:t>
      </w:r>
      <w:proofErr w:type="gramStart"/>
      <w:r>
        <w:rPr>
          <w:rFonts w:ascii="宋体" w:hAnsi="宋体" w:hint="eastAsia"/>
          <w:szCs w:val="21"/>
        </w:rPr>
        <w:t>万亿</w:t>
      </w:r>
      <w:proofErr w:type="gramEnd"/>
      <w:r>
        <w:rPr>
          <w:rFonts w:ascii="宋体" w:hAnsi="宋体" w:hint="eastAsia"/>
          <w:szCs w:val="21"/>
        </w:rPr>
        <w:t>元，占比</w:t>
      </w:r>
      <w:r>
        <w:rPr>
          <w:rFonts w:ascii="宋体" w:hAnsi="宋体" w:hint="eastAsia"/>
          <w:szCs w:val="21"/>
        </w:rPr>
        <w:t>36.7%</w:t>
      </w:r>
      <w:r>
        <w:rPr>
          <w:rFonts w:ascii="宋体" w:hAnsi="宋体" w:hint="eastAsia"/>
          <w:szCs w:val="21"/>
        </w:rPr>
        <w:t>，负债总额同比增长</w:t>
      </w:r>
      <w:r>
        <w:rPr>
          <w:rFonts w:ascii="宋体" w:hAnsi="宋体" w:hint="eastAsia"/>
          <w:szCs w:val="21"/>
        </w:rPr>
        <w:t>5.6%</w:t>
      </w:r>
      <w:r>
        <w:rPr>
          <w:rFonts w:ascii="宋体" w:hAnsi="宋体" w:hint="eastAsia"/>
          <w:szCs w:val="21"/>
        </w:rPr>
        <w:t>；股份制商业银行本外币负债</w:t>
      </w:r>
      <w:r>
        <w:rPr>
          <w:rFonts w:ascii="宋体" w:hAnsi="宋体" w:hint="eastAsia"/>
          <w:szCs w:val="21"/>
        </w:rPr>
        <w:t>44</w:t>
      </w:r>
      <w:proofErr w:type="gramStart"/>
      <w:r>
        <w:rPr>
          <w:rFonts w:ascii="宋体" w:hAnsi="宋体" w:hint="eastAsia"/>
          <w:szCs w:val="21"/>
        </w:rPr>
        <w:t>万亿</w:t>
      </w:r>
      <w:proofErr w:type="gramEnd"/>
      <w:r>
        <w:rPr>
          <w:rFonts w:ascii="宋体" w:hAnsi="宋体" w:hint="eastAsia"/>
          <w:szCs w:val="21"/>
        </w:rPr>
        <w:t>元，占比</w:t>
      </w:r>
      <w:r>
        <w:rPr>
          <w:rFonts w:ascii="宋体" w:hAnsi="宋体" w:hint="eastAsia"/>
          <w:szCs w:val="21"/>
        </w:rPr>
        <w:t>17.7%</w:t>
      </w:r>
      <w:r>
        <w:rPr>
          <w:rFonts w:ascii="宋体" w:hAnsi="宋体" w:hint="eastAsia"/>
          <w:szCs w:val="21"/>
        </w:rPr>
        <w:t>，负债总额同比增长</w:t>
      </w:r>
      <w:r>
        <w:rPr>
          <w:rFonts w:ascii="宋体" w:hAnsi="宋体" w:hint="eastAsia"/>
          <w:szCs w:val="21"/>
        </w:rPr>
        <w:t>4.0%</w:t>
      </w:r>
      <w:r>
        <w:rPr>
          <w:rFonts w:ascii="宋体" w:hAnsi="宋体" w:hint="eastAsia"/>
          <w:szCs w:val="21"/>
        </w:rPr>
        <w:t>。</w:t>
      </w:r>
    </w:p>
    <w:p w:rsidR="00167400" w:rsidRDefault="00C64B37">
      <w:pPr>
        <w:numPr>
          <w:ilvl w:val="0"/>
          <w:numId w:val="3"/>
        </w:numPr>
        <w:spacing w:line="360" w:lineRule="auto"/>
        <w:rPr>
          <w:rFonts w:ascii="宋体" w:hAnsi="宋体"/>
          <w:szCs w:val="21"/>
        </w:rPr>
      </w:pPr>
      <w:r>
        <w:rPr>
          <w:rFonts w:ascii="宋体" w:hAnsi="宋体" w:hint="eastAsia"/>
          <w:szCs w:val="21"/>
        </w:rPr>
        <w:t>银行业继续加强金融服务</w:t>
      </w:r>
      <w:r>
        <w:rPr>
          <w:rFonts w:ascii="宋体" w:hAnsi="宋体" w:hint="eastAsia"/>
          <w:szCs w:val="21"/>
        </w:rPr>
        <w:t xml:space="preserve"> </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年四季度末，银行业金融机构涉农贷款</w:t>
      </w:r>
      <w:r>
        <w:rPr>
          <w:rFonts w:ascii="宋体" w:hAnsi="宋体" w:hint="eastAsia"/>
          <w:szCs w:val="21"/>
        </w:rPr>
        <w:t>(</w:t>
      </w:r>
      <w:r>
        <w:rPr>
          <w:rFonts w:ascii="宋体" w:hAnsi="宋体" w:hint="eastAsia"/>
          <w:szCs w:val="21"/>
        </w:rPr>
        <w:t>不含票据融资</w:t>
      </w:r>
      <w:r>
        <w:rPr>
          <w:rFonts w:ascii="宋体" w:hAnsi="宋体" w:hint="eastAsia"/>
          <w:szCs w:val="21"/>
        </w:rPr>
        <w:t>)</w:t>
      </w:r>
      <w:r>
        <w:rPr>
          <w:rFonts w:ascii="宋体" w:hAnsi="宋体" w:hint="eastAsia"/>
          <w:szCs w:val="21"/>
        </w:rPr>
        <w:t>余额</w:t>
      </w:r>
      <w:r>
        <w:rPr>
          <w:rFonts w:ascii="宋体" w:hAnsi="宋体" w:hint="eastAsia"/>
          <w:szCs w:val="21"/>
        </w:rPr>
        <w:t>33</w:t>
      </w:r>
      <w:proofErr w:type="gramStart"/>
      <w:r>
        <w:rPr>
          <w:rFonts w:ascii="宋体" w:hAnsi="宋体" w:hint="eastAsia"/>
          <w:szCs w:val="21"/>
        </w:rPr>
        <w:t>万亿</w:t>
      </w:r>
      <w:proofErr w:type="gramEnd"/>
      <w:r>
        <w:rPr>
          <w:rFonts w:ascii="宋体" w:hAnsi="宋体" w:hint="eastAsia"/>
          <w:szCs w:val="21"/>
        </w:rPr>
        <w:t>元，同比增长</w:t>
      </w:r>
      <w:r>
        <w:rPr>
          <w:rFonts w:ascii="宋体" w:hAnsi="宋体" w:hint="eastAsia"/>
          <w:szCs w:val="21"/>
        </w:rPr>
        <w:t>5.6%</w:t>
      </w:r>
      <w:r>
        <w:rPr>
          <w:rFonts w:ascii="宋体" w:hAnsi="宋体" w:hint="eastAsia"/>
          <w:szCs w:val="21"/>
        </w:rPr>
        <w:t>。用于小</w:t>
      </w:r>
      <w:proofErr w:type="gramStart"/>
      <w:r>
        <w:rPr>
          <w:rFonts w:ascii="宋体" w:hAnsi="宋体" w:hint="eastAsia"/>
          <w:szCs w:val="21"/>
        </w:rPr>
        <w:t>微企业</w:t>
      </w:r>
      <w:proofErr w:type="gramEnd"/>
      <w:r>
        <w:rPr>
          <w:rFonts w:ascii="宋体" w:hAnsi="宋体" w:hint="eastAsia"/>
          <w:szCs w:val="21"/>
        </w:rPr>
        <w:t>的贷款</w:t>
      </w:r>
      <w:r>
        <w:rPr>
          <w:rFonts w:ascii="宋体" w:hAnsi="宋体" w:hint="eastAsia"/>
          <w:szCs w:val="21"/>
        </w:rPr>
        <w:t>(</w:t>
      </w:r>
      <w:r>
        <w:rPr>
          <w:rFonts w:ascii="宋体" w:hAnsi="宋体" w:hint="eastAsia"/>
          <w:szCs w:val="21"/>
        </w:rPr>
        <w:t>包括小微型企业贷款、个体工商户贷款和小微企业主贷款</w:t>
      </w:r>
      <w:r>
        <w:rPr>
          <w:rFonts w:ascii="宋体" w:hAnsi="宋体" w:hint="eastAsia"/>
          <w:szCs w:val="21"/>
        </w:rPr>
        <w:t>)</w:t>
      </w:r>
      <w:r>
        <w:rPr>
          <w:rFonts w:ascii="宋体" w:hAnsi="宋体" w:hint="eastAsia"/>
          <w:szCs w:val="21"/>
        </w:rPr>
        <w:t>余额</w:t>
      </w:r>
      <w:r>
        <w:rPr>
          <w:rFonts w:ascii="宋体" w:hAnsi="宋体" w:hint="eastAsia"/>
          <w:szCs w:val="21"/>
        </w:rPr>
        <w:t>33.5</w:t>
      </w:r>
      <w:proofErr w:type="gramStart"/>
      <w:r>
        <w:rPr>
          <w:rFonts w:ascii="宋体" w:hAnsi="宋体" w:hint="eastAsia"/>
          <w:szCs w:val="21"/>
        </w:rPr>
        <w:t>万亿</w:t>
      </w:r>
      <w:proofErr w:type="gramEnd"/>
      <w:r>
        <w:rPr>
          <w:rFonts w:ascii="宋体" w:hAnsi="宋体" w:hint="eastAsia"/>
          <w:szCs w:val="21"/>
        </w:rPr>
        <w:t>元，其中</w:t>
      </w:r>
      <w:proofErr w:type="gramStart"/>
      <w:r>
        <w:rPr>
          <w:rFonts w:ascii="宋体" w:hAnsi="宋体" w:hint="eastAsia"/>
          <w:szCs w:val="21"/>
        </w:rPr>
        <w:t>单户授信</w:t>
      </w:r>
      <w:proofErr w:type="gramEnd"/>
      <w:r>
        <w:rPr>
          <w:rFonts w:ascii="宋体" w:hAnsi="宋体" w:hint="eastAsia"/>
          <w:szCs w:val="21"/>
        </w:rPr>
        <w:t>总额</w:t>
      </w:r>
      <w:r>
        <w:rPr>
          <w:rFonts w:ascii="宋体" w:hAnsi="宋体" w:hint="eastAsia"/>
          <w:szCs w:val="21"/>
        </w:rPr>
        <w:t>1000</w:t>
      </w:r>
      <w:r>
        <w:rPr>
          <w:rFonts w:ascii="宋体" w:hAnsi="宋体" w:hint="eastAsia"/>
          <w:szCs w:val="21"/>
        </w:rPr>
        <w:t>万元及以下的普惠型小</w:t>
      </w:r>
      <w:proofErr w:type="gramStart"/>
      <w:r>
        <w:rPr>
          <w:rFonts w:ascii="宋体" w:hAnsi="宋体" w:hint="eastAsia"/>
          <w:szCs w:val="21"/>
        </w:rPr>
        <w:t>微企业</w:t>
      </w:r>
      <w:proofErr w:type="gramEnd"/>
      <w:r>
        <w:rPr>
          <w:rFonts w:ascii="宋体" w:hAnsi="宋体" w:hint="eastAsia"/>
          <w:szCs w:val="21"/>
        </w:rPr>
        <w:t>贷款余额</w:t>
      </w:r>
      <w:r>
        <w:rPr>
          <w:rFonts w:ascii="宋体" w:hAnsi="宋体" w:hint="eastAsia"/>
          <w:szCs w:val="21"/>
        </w:rPr>
        <w:t>9.4</w:t>
      </w:r>
      <w:proofErr w:type="gramStart"/>
      <w:r>
        <w:rPr>
          <w:rFonts w:ascii="宋体" w:hAnsi="宋体" w:hint="eastAsia"/>
          <w:szCs w:val="21"/>
        </w:rPr>
        <w:t>万亿</w:t>
      </w:r>
      <w:proofErr w:type="gramEnd"/>
      <w:r>
        <w:rPr>
          <w:rFonts w:ascii="宋体" w:hAnsi="宋体" w:hint="eastAsia"/>
          <w:szCs w:val="21"/>
        </w:rPr>
        <w:t>元，同比增长</w:t>
      </w:r>
      <w:r>
        <w:rPr>
          <w:rFonts w:ascii="宋体" w:hAnsi="宋体" w:hint="eastAsia"/>
          <w:szCs w:val="21"/>
        </w:rPr>
        <w:t>21.8%</w:t>
      </w:r>
      <w:r>
        <w:rPr>
          <w:rFonts w:ascii="宋体" w:hAnsi="宋体" w:hint="eastAsia"/>
          <w:szCs w:val="21"/>
        </w:rPr>
        <w:t>。用于信用卡消费、保障性安居工程等领域贷款同比增长分别为</w:t>
      </w:r>
      <w:r>
        <w:rPr>
          <w:rFonts w:ascii="宋体" w:hAnsi="宋体" w:hint="eastAsia"/>
          <w:szCs w:val="21"/>
        </w:rPr>
        <w:t>25.2%</w:t>
      </w:r>
      <w:r>
        <w:rPr>
          <w:rFonts w:ascii="宋体" w:hAnsi="宋体" w:hint="eastAsia"/>
          <w:szCs w:val="21"/>
        </w:rPr>
        <w:t>和</w:t>
      </w:r>
      <w:r>
        <w:rPr>
          <w:rFonts w:ascii="宋体" w:hAnsi="宋体" w:hint="eastAsia"/>
          <w:szCs w:val="21"/>
        </w:rPr>
        <w:t>32.7%</w:t>
      </w:r>
      <w:r>
        <w:rPr>
          <w:rFonts w:ascii="宋体" w:hAnsi="宋体" w:hint="eastAsia"/>
          <w:szCs w:val="21"/>
        </w:rPr>
        <w:t>，</w:t>
      </w:r>
      <w:proofErr w:type="gramStart"/>
      <w:r>
        <w:rPr>
          <w:rFonts w:ascii="宋体" w:hAnsi="宋体" w:hint="eastAsia"/>
          <w:szCs w:val="21"/>
        </w:rPr>
        <w:t>比各项</w:t>
      </w:r>
      <w:proofErr w:type="gramEnd"/>
      <w:r>
        <w:rPr>
          <w:rFonts w:ascii="宋体" w:hAnsi="宋体" w:hint="eastAsia"/>
          <w:szCs w:val="21"/>
        </w:rPr>
        <w:t>贷款平均增速高出</w:t>
      </w:r>
      <w:r>
        <w:rPr>
          <w:rFonts w:ascii="宋体" w:hAnsi="宋体" w:hint="eastAsia"/>
          <w:szCs w:val="21"/>
        </w:rPr>
        <w:t>13.1</w:t>
      </w:r>
      <w:r>
        <w:rPr>
          <w:rFonts w:ascii="宋体" w:hAnsi="宋体" w:hint="eastAsia"/>
          <w:szCs w:val="21"/>
        </w:rPr>
        <w:t>和</w:t>
      </w:r>
      <w:r>
        <w:rPr>
          <w:rFonts w:ascii="宋体" w:hAnsi="宋体" w:hint="eastAsia"/>
          <w:szCs w:val="21"/>
        </w:rPr>
        <w:t>20.6</w:t>
      </w:r>
      <w:r>
        <w:rPr>
          <w:rFonts w:ascii="宋体" w:hAnsi="宋体" w:hint="eastAsia"/>
          <w:szCs w:val="21"/>
        </w:rPr>
        <w:t>个百分点。</w:t>
      </w:r>
    </w:p>
    <w:p w:rsidR="00167400" w:rsidRDefault="00C64B37">
      <w:pPr>
        <w:numPr>
          <w:ilvl w:val="0"/>
          <w:numId w:val="3"/>
        </w:numPr>
        <w:spacing w:line="360" w:lineRule="auto"/>
        <w:rPr>
          <w:rFonts w:ascii="宋体" w:hAnsi="宋体"/>
          <w:szCs w:val="21"/>
        </w:rPr>
      </w:pPr>
      <w:r>
        <w:rPr>
          <w:rFonts w:ascii="宋体" w:hAnsi="宋体" w:hint="eastAsia"/>
          <w:szCs w:val="21"/>
        </w:rPr>
        <w:lastRenderedPageBreak/>
        <w:t>信贷资产质量保持平稳</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年四季度末，商业银行</w:t>
      </w:r>
      <w:r>
        <w:rPr>
          <w:rFonts w:ascii="宋体" w:hAnsi="宋体" w:hint="eastAsia"/>
          <w:szCs w:val="21"/>
        </w:rPr>
        <w:t>(</w:t>
      </w:r>
      <w:r>
        <w:rPr>
          <w:rFonts w:ascii="宋体" w:hAnsi="宋体" w:hint="eastAsia"/>
          <w:szCs w:val="21"/>
        </w:rPr>
        <w:t>法人口径，下同</w:t>
      </w:r>
      <w:r>
        <w:rPr>
          <w:rFonts w:ascii="宋体" w:hAnsi="宋体" w:hint="eastAsia"/>
          <w:szCs w:val="21"/>
        </w:rPr>
        <w:t>)</w:t>
      </w:r>
      <w:r>
        <w:rPr>
          <w:rFonts w:ascii="宋体" w:hAnsi="宋体" w:hint="eastAsia"/>
          <w:szCs w:val="21"/>
        </w:rPr>
        <w:t>不良贷款余额</w:t>
      </w:r>
      <w:r>
        <w:rPr>
          <w:rFonts w:ascii="宋体" w:hAnsi="宋体" w:hint="eastAsia"/>
          <w:szCs w:val="21"/>
        </w:rPr>
        <w:t>2.03</w:t>
      </w:r>
      <w:proofErr w:type="gramStart"/>
      <w:r>
        <w:rPr>
          <w:rFonts w:ascii="宋体" w:hAnsi="宋体" w:hint="eastAsia"/>
          <w:szCs w:val="21"/>
        </w:rPr>
        <w:t>万亿</w:t>
      </w:r>
      <w:proofErr w:type="gramEnd"/>
      <w:r>
        <w:rPr>
          <w:rFonts w:ascii="宋体" w:hAnsi="宋体" w:hint="eastAsia"/>
          <w:szCs w:val="21"/>
        </w:rPr>
        <w:t>元，较上季末减少</w:t>
      </w:r>
      <w:r>
        <w:rPr>
          <w:rFonts w:ascii="宋体" w:hAnsi="宋体" w:hint="eastAsia"/>
          <w:szCs w:val="21"/>
        </w:rPr>
        <w:t>68</w:t>
      </w:r>
      <w:r>
        <w:rPr>
          <w:rFonts w:ascii="宋体" w:hAnsi="宋体" w:hint="eastAsia"/>
          <w:szCs w:val="21"/>
        </w:rPr>
        <w:t>亿元；商业银行不良贷款率</w:t>
      </w:r>
      <w:r>
        <w:rPr>
          <w:rFonts w:ascii="宋体" w:hAnsi="宋体" w:hint="eastAsia"/>
          <w:szCs w:val="21"/>
        </w:rPr>
        <w:t>1.83%</w:t>
      </w:r>
      <w:r>
        <w:rPr>
          <w:rFonts w:ascii="宋体" w:hAnsi="宋体" w:hint="eastAsia"/>
          <w:szCs w:val="21"/>
        </w:rPr>
        <w:t>，较上季末下降</w:t>
      </w:r>
      <w:r>
        <w:rPr>
          <w:rFonts w:ascii="宋体" w:hAnsi="宋体" w:hint="eastAsia"/>
          <w:szCs w:val="21"/>
        </w:rPr>
        <w:t>0.</w:t>
      </w:r>
      <w:r>
        <w:rPr>
          <w:rFonts w:ascii="宋体" w:hAnsi="宋体" w:hint="eastAsia"/>
          <w:szCs w:val="21"/>
        </w:rPr>
        <w:t>04</w:t>
      </w:r>
      <w:r>
        <w:rPr>
          <w:rFonts w:ascii="宋体" w:hAnsi="宋体" w:hint="eastAsia"/>
          <w:szCs w:val="21"/>
        </w:rPr>
        <w:t>个百分点。</w:t>
      </w:r>
      <w:r>
        <w:rPr>
          <w:rFonts w:ascii="宋体" w:hAnsi="宋体" w:hint="eastAsia"/>
          <w:szCs w:val="21"/>
        </w:rPr>
        <w:t>2018</w:t>
      </w:r>
      <w:r>
        <w:rPr>
          <w:rFonts w:ascii="宋体" w:hAnsi="宋体" w:hint="eastAsia"/>
          <w:szCs w:val="21"/>
        </w:rPr>
        <w:t>年四季度末，商业银行正常贷款余额</w:t>
      </w:r>
      <w:r>
        <w:rPr>
          <w:rFonts w:ascii="宋体" w:hAnsi="宋体" w:hint="eastAsia"/>
          <w:szCs w:val="21"/>
        </w:rPr>
        <w:t>108.5</w:t>
      </w:r>
      <w:proofErr w:type="gramStart"/>
      <w:r>
        <w:rPr>
          <w:rFonts w:ascii="宋体" w:hAnsi="宋体" w:hint="eastAsia"/>
          <w:szCs w:val="21"/>
        </w:rPr>
        <w:t>万亿</w:t>
      </w:r>
      <w:proofErr w:type="gramEnd"/>
      <w:r>
        <w:rPr>
          <w:rFonts w:ascii="宋体" w:hAnsi="宋体" w:hint="eastAsia"/>
          <w:szCs w:val="21"/>
        </w:rPr>
        <w:t>元，其中正常类贷款余额</w:t>
      </w:r>
      <w:r>
        <w:rPr>
          <w:rFonts w:ascii="宋体" w:hAnsi="宋体" w:hint="eastAsia"/>
          <w:szCs w:val="21"/>
        </w:rPr>
        <w:t>105</w:t>
      </w:r>
      <w:proofErr w:type="gramStart"/>
      <w:r>
        <w:rPr>
          <w:rFonts w:ascii="宋体" w:hAnsi="宋体" w:hint="eastAsia"/>
          <w:szCs w:val="21"/>
        </w:rPr>
        <w:t>万亿</w:t>
      </w:r>
      <w:proofErr w:type="gramEnd"/>
      <w:r>
        <w:rPr>
          <w:rFonts w:ascii="宋体" w:hAnsi="宋体" w:hint="eastAsia"/>
          <w:szCs w:val="21"/>
        </w:rPr>
        <w:t>元，关注类贷款余额</w:t>
      </w:r>
      <w:r>
        <w:rPr>
          <w:rFonts w:ascii="宋体" w:hAnsi="宋体" w:hint="eastAsia"/>
          <w:szCs w:val="21"/>
        </w:rPr>
        <w:t>3.5</w:t>
      </w:r>
      <w:proofErr w:type="gramStart"/>
      <w:r>
        <w:rPr>
          <w:rFonts w:ascii="宋体" w:hAnsi="宋体" w:hint="eastAsia"/>
          <w:szCs w:val="21"/>
        </w:rPr>
        <w:t>万亿</w:t>
      </w:r>
      <w:proofErr w:type="gramEnd"/>
      <w:r>
        <w:rPr>
          <w:rFonts w:ascii="宋体" w:hAnsi="宋体" w:hint="eastAsia"/>
          <w:szCs w:val="21"/>
        </w:rPr>
        <w:t>元。</w:t>
      </w:r>
    </w:p>
    <w:p w:rsidR="00167400" w:rsidRDefault="00C64B37">
      <w:pPr>
        <w:numPr>
          <w:ilvl w:val="0"/>
          <w:numId w:val="3"/>
        </w:numPr>
        <w:spacing w:line="360" w:lineRule="auto"/>
        <w:rPr>
          <w:rFonts w:ascii="宋体" w:hAnsi="宋体"/>
          <w:szCs w:val="21"/>
        </w:rPr>
      </w:pPr>
      <w:r>
        <w:rPr>
          <w:rFonts w:ascii="宋体" w:hAnsi="宋体" w:hint="eastAsia"/>
          <w:szCs w:val="21"/>
        </w:rPr>
        <w:t>利润增长基本稳定</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年前四季度，商业银行累计实现净利润</w:t>
      </w:r>
      <w:r>
        <w:rPr>
          <w:rFonts w:ascii="宋体" w:hAnsi="宋体" w:hint="eastAsia"/>
          <w:szCs w:val="21"/>
        </w:rPr>
        <w:t>18302</w:t>
      </w:r>
      <w:r>
        <w:rPr>
          <w:rFonts w:ascii="宋体" w:hAnsi="宋体" w:hint="eastAsia"/>
          <w:szCs w:val="21"/>
        </w:rPr>
        <w:t>亿元，同比增长</w:t>
      </w:r>
      <w:r>
        <w:rPr>
          <w:rFonts w:ascii="宋体" w:hAnsi="宋体" w:hint="eastAsia"/>
          <w:szCs w:val="21"/>
        </w:rPr>
        <w:t>4.72%</w:t>
      </w:r>
      <w:r>
        <w:rPr>
          <w:rFonts w:ascii="宋体" w:hAnsi="宋体" w:hint="eastAsia"/>
          <w:szCs w:val="21"/>
        </w:rPr>
        <w:t>，增速较去年同期下降</w:t>
      </w:r>
      <w:r>
        <w:rPr>
          <w:rFonts w:ascii="宋体" w:hAnsi="宋体" w:hint="eastAsia"/>
          <w:szCs w:val="21"/>
        </w:rPr>
        <w:t>1.26</w:t>
      </w:r>
      <w:r>
        <w:rPr>
          <w:rFonts w:ascii="宋体" w:hAnsi="宋体" w:hint="eastAsia"/>
          <w:szCs w:val="21"/>
        </w:rPr>
        <w:t>个百分点。商业银行平均资产利润率为</w:t>
      </w:r>
      <w:r>
        <w:rPr>
          <w:rFonts w:ascii="宋体" w:hAnsi="宋体" w:hint="eastAsia"/>
          <w:szCs w:val="21"/>
        </w:rPr>
        <w:t>0.90%</w:t>
      </w:r>
      <w:r>
        <w:rPr>
          <w:rFonts w:ascii="宋体" w:hAnsi="宋体" w:hint="eastAsia"/>
          <w:szCs w:val="21"/>
        </w:rPr>
        <w:t>，较上季末下降</w:t>
      </w:r>
      <w:r>
        <w:rPr>
          <w:rFonts w:ascii="宋体" w:hAnsi="宋体" w:hint="eastAsia"/>
          <w:szCs w:val="21"/>
        </w:rPr>
        <w:t>0.10</w:t>
      </w:r>
      <w:r>
        <w:rPr>
          <w:rFonts w:ascii="宋体" w:hAnsi="宋体" w:hint="eastAsia"/>
          <w:szCs w:val="21"/>
        </w:rPr>
        <w:t>个百分点；平均资本利润率</w:t>
      </w:r>
      <w:r>
        <w:rPr>
          <w:rFonts w:ascii="宋体" w:hAnsi="宋体" w:hint="eastAsia"/>
          <w:szCs w:val="21"/>
        </w:rPr>
        <w:t>11.73%</w:t>
      </w:r>
      <w:r>
        <w:rPr>
          <w:rFonts w:ascii="宋体" w:hAnsi="宋体" w:hint="eastAsia"/>
          <w:szCs w:val="21"/>
        </w:rPr>
        <w:t>，较上季末下降</w:t>
      </w:r>
      <w:r>
        <w:rPr>
          <w:rFonts w:ascii="宋体" w:hAnsi="宋体" w:hint="eastAsia"/>
          <w:szCs w:val="21"/>
        </w:rPr>
        <w:t>1.42</w:t>
      </w:r>
      <w:r>
        <w:rPr>
          <w:rFonts w:ascii="宋体" w:hAnsi="宋体" w:hint="eastAsia"/>
          <w:szCs w:val="21"/>
        </w:rPr>
        <w:t>个百分点。</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）风险抵补能力较为充足</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年四季度末，商业银行贷款损失</w:t>
      </w:r>
      <w:proofErr w:type="gramStart"/>
      <w:r>
        <w:rPr>
          <w:rFonts w:ascii="宋体" w:hAnsi="宋体" w:hint="eastAsia"/>
          <w:szCs w:val="21"/>
        </w:rPr>
        <w:t>准备余额</w:t>
      </w:r>
      <w:proofErr w:type="gramEnd"/>
      <w:r>
        <w:rPr>
          <w:rFonts w:ascii="宋体" w:hAnsi="宋体" w:hint="eastAsia"/>
          <w:szCs w:val="21"/>
        </w:rPr>
        <w:t>为</w:t>
      </w:r>
      <w:r>
        <w:rPr>
          <w:rFonts w:ascii="宋体" w:hAnsi="宋体" w:hint="eastAsia"/>
          <w:szCs w:val="21"/>
        </w:rPr>
        <w:t>3.77</w:t>
      </w:r>
      <w:proofErr w:type="gramStart"/>
      <w:r>
        <w:rPr>
          <w:rFonts w:ascii="宋体" w:hAnsi="宋体" w:hint="eastAsia"/>
          <w:szCs w:val="21"/>
        </w:rPr>
        <w:t>万亿</w:t>
      </w:r>
      <w:proofErr w:type="gramEnd"/>
      <w:r>
        <w:rPr>
          <w:rFonts w:ascii="宋体" w:hAnsi="宋体" w:hint="eastAsia"/>
          <w:szCs w:val="21"/>
        </w:rPr>
        <w:t>元，较上季末增加</w:t>
      </w:r>
      <w:r>
        <w:rPr>
          <w:rFonts w:ascii="宋体" w:hAnsi="宋体" w:hint="eastAsia"/>
          <w:szCs w:val="21"/>
        </w:rPr>
        <w:t>1006</w:t>
      </w:r>
      <w:r>
        <w:rPr>
          <w:rFonts w:ascii="宋体" w:hAnsi="宋体" w:hint="eastAsia"/>
          <w:szCs w:val="21"/>
        </w:rPr>
        <w:t>亿元；拨备</w:t>
      </w:r>
      <w:r>
        <w:rPr>
          <w:rFonts w:ascii="宋体" w:hAnsi="宋体" w:hint="eastAsia"/>
          <w:szCs w:val="21"/>
        </w:rPr>
        <w:t>覆盖率为</w:t>
      </w:r>
      <w:r>
        <w:rPr>
          <w:rFonts w:ascii="宋体" w:hAnsi="宋体" w:hint="eastAsia"/>
          <w:szCs w:val="21"/>
        </w:rPr>
        <w:t>186.31%</w:t>
      </w:r>
      <w:r>
        <w:rPr>
          <w:rFonts w:ascii="宋体" w:hAnsi="宋体" w:hint="eastAsia"/>
          <w:szCs w:val="21"/>
        </w:rPr>
        <w:t>，较上季末上升</w:t>
      </w:r>
      <w:r>
        <w:rPr>
          <w:rFonts w:ascii="宋体" w:hAnsi="宋体" w:hint="eastAsia"/>
          <w:szCs w:val="21"/>
        </w:rPr>
        <w:t>5.58</w:t>
      </w:r>
      <w:r>
        <w:rPr>
          <w:rFonts w:ascii="宋体" w:hAnsi="宋体" w:hint="eastAsia"/>
          <w:szCs w:val="21"/>
        </w:rPr>
        <w:t>个百分点；贷款</w:t>
      </w:r>
      <w:proofErr w:type="gramStart"/>
      <w:r>
        <w:rPr>
          <w:rFonts w:ascii="宋体" w:hAnsi="宋体" w:hint="eastAsia"/>
          <w:szCs w:val="21"/>
        </w:rPr>
        <w:t>拨备率为</w:t>
      </w:r>
      <w:proofErr w:type="gramEnd"/>
      <w:r>
        <w:rPr>
          <w:rFonts w:ascii="宋体" w:hAnsi="宋体" w:hint="eastAsia"/>
          <w:szCs w:val="21"/>
        </w:rPr>
        <w:t>3.41%</w:t>
      </w:r>
      <w:r>
        <w:rPr>
          <w:rFonts w:ascii="宋体" w:hAnsi="宋体" w:hint="eastAsia"/>
          <w:szCs w:val="21"/>
        </w:rPr>
        <w:t>，较上季末上升</w:t>
      </w:r>
      <w:r>
        <w:rPr>
          <w:rFonts w:ascii="宋体" w:hAnsi="宋体" w:hint="eastAsia"/>
          <w:szCs w:val="21"/>
        </w:rPr>
        <w:t>0.03</w:t>
      </w:r>
      <w:r>
        <w:rPr>
          <w:rFonts w:ascii="宋体" w:hAnsi="宋体" w:hint="eastAsia"/>
          <w:szCs w:val="21"/>
        </w:rPr>
        <w:t>个百分点。</w:t>
      </w:r>
      <w:r>
        <w:rPr>
          <w:rFonts w:ascii="宋体" w:hAnsi="宋体" w:hint="eastAsia"/>
          <w:szCs w:val="21"/>
        </w:rPr>
        <w:t>2018</w:t>
      </w:r>
      <w:r>
        <w:rPr>
          <w:rFonts w:ascii="宋体" w:hAnsi="宋体" w:hint="eastAsia"/>
          <w:szCs w:val="21"/>
        </w:rPr>
        <w:t>年四季度末，商业银行</w:t>
      </w:r>
      <w:r>
        <w:rPr>
          <w:rFonts w:ascii="宋体" w:hAnsi="宋体" w:hint="eastAsia"/>
          <w:szCs w:val="21"/>
        </w:rPr>
        <w:t>(</w:t>
      </w:r>
      <w:r>
        <w:rPr>
          <w:rFonts w:ascii="宋体" w:hAnsi="宋体" w:hint="eastAsia"/>
          <w:szCs w:val="21"/>
        </w:rPr>
        <w:t>不含外国银行分行</w:t>
      </w:r>
      <w:r>
        <w:rPr>
          <w:rFonts w:ascii="宋体" w:hAnsi="宋体" w:hint="eastAsia"/>
          <w:szCs w:val="21"/>
        </w:rPr>
        <w:t>)</w:t>
      </w:r>
      <w:r>
        <w:rPr>
          <w:rFonts w:ascii="宋体" w:hAnsi="宋体" w:hint="eastAsia"/>
          <w:szCs w:val="21"/>
        </w:rPr>
        <w:t>核心一级资本充足率为</w:t>
      </w:r>
      <w:r>
        <w:rPr>
          <w:rFonts w:ascii="宋体" w:hAnsi="宋体" w:hint="eastAsia"/>
          <w:szCs w:val="21"/>
        </w:rPr>
        <w:t>11.03%</w:t>
      </w:r>
      <w:r>
        <w:rPr>
          <w:rFonts w:ascii="宋体" w:hAnsi="宋体" w:hint="eastAsia"/>
          <w:szCs w:val="21"/>
        </w:rPr>
        <w:t>，较上季末上升</w:t>
      </w:r>
      <w:r>
        <w:rPr>
          <w:rFonts w:ascii="宋体" w:hAnsi="宋体" w:hint="eastAsia"/>
          <w:szCs w:val="21"/>
        </w:rPr>
        <w:t>0.24</w:t>
      </w:r>
      <w:r>
        <w:rPr>
          <w:rFonts w:ascii="宋体" w:hAnsi="宋体" w:hint="eastAsia"/>
          <w:szCs w:val="21"/>
        </w:rPr>
        <w:t>个百分点；一级资本充足率为</w:t>
      </w:r>
      <w:r>
        <w:rPr>
          <w:rFonts w:ascii="宋体" w:hAnsi="宋体" w:hint="eastAsia"/>
          <w:szCs w:val="21"/>
        </w:rPr>
        <w:t>11.58%</w:t>
      </w:r>
      <w:r>
        <w:rPr>
          <w:rFonts w:ascii="宋体" w:hAnsi="宋体" w:hint="eastAsia"/>
          <w:szCs w:val="21"/>
        </w:rPr>
        <w:t>，较上季末上升</w:t>
      </w:r>
      <w:r>
        <w:rPr>
          <w:rFonts w:ascii="宋体" w:hAnsi="宋体" w:hint="eastAsia"/>
          <w:szCs w:val="21"/>
        </w:rPr>
        <w:t>0.25</w:t>
      </w:r>
      <w:r>
        <w:rPr>
          <w:rFonts w:ascii="宋体" w:hAnsi="宋体" w:hint="eastAsia"/>
          <w:szCs w:val="21"/>
        </w:rPr>
        <w:t>个百分点；资本充足率为</w:t>
      </w:r>
      <w:r>
        <w:rPr>
          <w:rFonts w:ascii="宋体" w:hAnsi="宋体" w:hint="eastAsia"/>
          <w:szCs w:val="21"/>
        </w:rPr>
        <w:t>14.20%</w:t>
      </w:r>
      <w:r>
        <w:rPr>
          <w:rFonts w:ascii="宋体" w:hAnsi="宋体" w:hint="eastAsia"/>
          <w:szCs w:val="21"/>
        </w:rPr>
        <w:t>，较上季末上升</w:t>
      </w:r>
      <w:r>
        <w:rPr>
          <w:rFonts w:ascii="宋体" w:hAnsi="宋体" w:hint="eastAsia"/>
          <w:szCs w:val="21"/>
        </w:rPr>
        <w:t>0.38</w:t>
      </w:r>
      <w:r>
        <w:rPr>
          <w:rFonts w:ascii="宋体" w:hAnsi="宋体" w:hint="eastAsia"/>
          <w:szCs w:val="21"/>
        </w:rPr>
        <w:t>个百分点。</w:t>
      </w:r>
    </w:p>
    <w:p w:rsidR="00167400" w:rsidRDefault="00C64B37">
      <w:pPr>
        <w:spacing w:line="360" w:lineRule="auto"/>
        <w:rPr>
          <w:rFonts w:ascii="宋体" w:hAnsi="宋体"/>
          <w:szCs w:val="21"/>
        </w:rPr>
      </w:pPr>
      <w:r>
        <w:rPr>
          <w:rFonts w:ascii="宋体" w:hAnsi="宋体" w:hint="eastAsia"/>
          <w:szCs w:val="21"/>
        </w:rPr>
        <w:t>（</w:t>
      </w:r>
      <w:r>
        <w:rPr>
          <w:rFonts w:ascii="宋体" w:hAnsi="宋体" w:hint="eastAsia"/>
          <w:szCs w:val="21"/>
        </w:rPr>
        <w:t>6</w:t>
      </w:r>
      <w:r>
        <w:rPr>
          <w:rFonts w:ascii="宋体" w:hAnsi="宋体" w:hint="eastAsia"/>
          <w:szCs w:val="21"/>
        </w:rPr>
        <w:t>）流动性水平保持稳健</w:t>
      </w:r>
    </w:p>
    <w:p w:rsidR="00167400" w:rsidRDefault="00C64B37">
      <w:pPr>
        <w:spacing w:line="360" w:lineRule="auto"/>
        <w:ind w:firstLineChars="200" w:firstLine="420"/>
        <w:rPr>
          <w:rFonts w:ascii="宋体" w:hAnsi="宋体"/>
          <w:szCs w:val="21"/>
        </w:rPr>
      </w:pPr>
      <w:r>
        <w:rPr>
          <w:rFonts w:ascii="宋体" w:hAnsi="宋体" w:hint="eastAsia"/>
          <w:szCs w:val="21"/>
        </w:rPr>
        <w:t>2018</w:t>
      </w:r>
      <w:r>
        <w:rPr>
          <w:rFonts w:ascii="宋体" w:hAnsi="宋体" w:hint="eastAsia"/>
          <w:szCs w:val="21"/>
        </w:rPr>
        <w:t>年四季度末，商业银行流动性比例为</w:t>
      </w:r>
      <w:r>
        <w:rPr>
          <w:rFonts w:ascii="宋体" w:hAnsi="宋体" w:hint="eastAsia"/>
          <w:szCs w:val="21"/>
        </w:rPr>
        <w:t>55.31%</w:t>
      </w:r>
      <w:r>
        <w:rPr>
          <w:rFonts w:ascii="宋体" w:hAnsi="宋体" w:hint="eastAsia"/>
          <w:szCs w:val="21"/>
        </w:rPr>
        <w:t>，较上季末上升</w:t>
      </w:r>
      <w:r>
        <w:rPr>
          <w:rFonts w:ascii="宋体" w:hAnsi="宋体" w:hint="eastAsia"/>
          <w:szCs w:val="21"/>
        </w:rPr>
        <w:t>2.37</w:t>
      </w:r>
      <w:r>
        <w:rPr>
          <w:rFonts w:ascii="宋体" w:hAnsi="宋体" w:hint="eastAsia"/>
          <w:szCs w:val="21"/>
        </w:rPr>
        <w:t>个百分点；人民币超额备付金率</w:t>
      </w:r>
      <w:r>
        <w:rPr>
          <w:rFonts w:ascii="宋体" w:hAnsi="宋体" w:hint="eastAsia"/>
          <w:szCs w:val="21"/>
        </w:rPr>
        <w:t>2.64%</w:t>
      </w:r>
      <w:r>
        <w:rPr>
          <w:rFonts w:ascii="宋体" w:hAnsi="宋体" w:hint="eastAsia"/>
          <w:szCs w:val="21"/>
        </w:rPr>
        <w:t>，较上季末上升</w:t>
      </w:r>
      <w:r>
        <w:rPr>
          <w:rFonts w:ascii="宋体" w:hAnsi="宋体" w:hint="eastAsia"/>
          <w:szCs w:val="21"/>
        </w:rPr>
        <w:t>0.5</w:t>
      </w:r>
      <w:r>
        <w:rPr>
          <w:rFonts w:ascii="宋体" w:hAnsi="宋体" w:hint="eastAsia"/>
          <w:szCs w:val="21"/>
        </w:rPr>
        <w:t>个百分点；存贷款</w:t>
      </w:r>
      <w:r>
        <w:rPr>
          <w:rFonts w:ascii="宋体" w:hAnsi="宋体" w:hint="eastAsia"/>
          <w:szCs w:val="21"/>
        </w:rPr>
        <w:t>比例</w:t>
      </w:r>
      <w:r>
        <w:rPr>
          <w:rFonts w:ascii="宋体" w:hAnsi="宋体" w:hint="eastAsia"/>
          <w:szCs w:val="21"/>
        </w:rPr>
        <w:t>(</w:t>
      </w:r>
      <w:r>
        <w:rPr>
          <w:rFonts w:ascii="宋体" w:hAnsi="宋体" w:hint="eastAsia"/>
          <w:szCs w:val="21"/>
        </w:rPr>
        <w:t>人民币境内口径</w:t>
      </w:r>
      <w:r>
        <w:rPr>
          <w:rFonts w:ascii="宋体" w:hAnsi="宋体" w:hint="eastAsia"/>
          <w:szCs w:val="21"/>
        </w:rPr>
        <w:t>)</w:t>
      </w:r>
      <w:r>
        <w:rPr>
          <w:rFonts w:ascii="宋体" w:hAnsi="宋体" w:hint="eastAsia"/>
          <w:szCs w:val="21"/>
        </w:rPr>
        <w:t>为</w:t>
      </w:r>
      <w:r>
        <w:rPr>
          <w:rFonts w:ascii="宋体" w:hAnsi="宋体" w:hint="eastAsia"/>
          <w:szCs w:val="21"/>
        </w:rPr>
        <w:t>74.34%</w:t>
      </w:r>
      <w:r>
        <w:rPr>
          <w:rFonts w:ascii="宋体" w:hAnsi="宋体" w:hint="eastAsia"/>
          <w:szCs w:val="21"/>
        </w:rPr>
        <w:t>，较上季末上升</w:t>
      </w:r>
      <w:r>
        <w:rPr>
          <w:rFonts w:ascii="宋体" w:hAnsi="宋体" w:hint="eastAsia"/>
          <w:szCs w:val="21"/>
        </w:rPr>
        <w:t>0.79</w:t>
      </w:r>
      <w:r>
        <w:rPr>
          <w:rFonts w:ascii="宋体" w:hAnsi="宋体" w:hint="eastAsia"/>
          <w:szCs w:val="21"/>
        </w:rPr>
        <w:t>个百分点。</w:t>
      </w:r>
    </w:p>
    <w:p w:rsidR="00167400" w:rsidRPr="00385382" w:rsidRDefault="00C64B37">
      <w:pPr>
        <w:numPr>
          <w:ilvl w:val="0"/>
          <w:numId w:val="5"/>
        </w:numPr>
        <w:spacing w:line="360" w:lineRule="auto"/>
        <w:rPr>
          <w:rFonts w:ascii="宋体" w:hAnsi="宋体"/>
          <w:szCs w:val="21"/>
          <w:highlight w:val="yellow"/>
        </w:rPr>
      </w:pPr>
      <w:r w:rsidRPr="00385382">
        <w:rPr>
          <w:rFonts w:ascii="宋体" w:hAnsi="宋体" w:hint="eastAsia"/>
          <w:szCs w:val="21"/>
          <w:highlight w:val="yellow"/>
        </w:rPr>
        <w:t>未来预测</w:t>
      </w:r>
    </w:p>
    <w:p w:rsidR="00167400" w:rsidRDefault="00C64B37">
      <w:pPr>
        <w:spacing w:line="360" w:lineRule="auto"/>
        <w:ind w:firstLineChars="200" w:firstLine="420"/>
        <w:rPr>
          <w:rFonts w:ascii="宋体" w:hAnsi="宋体"/>
          <w:szCs w:val="21"/>
        </w:rPr>
      </w:pPr>
      <w:r>
        <w:rPr>
          <w:rFonts w:ascii="宋体" w:hAnsi="宋体" w:hint="eastAsia"/>
          <w:szCs w:val="21"/>
        </w:rPr>
        <w:t>展望</w:t>
      </w:r>
      <w:r>
        <w:rPr>
          <w:rFonts w:ascii="宋体" w:hAnsi="宋体" w:hint="eastAsia"/>
          <w:szCs w:val="21"/>
        </w:rPr>
        <w:t>2019</w:t>
      </w:r>
      <w:r>
        <w:rPr>
          <w:rFonts w:ascii="宋体" w:hAnsi="宋体" w:hint="eastAsia"/>
          <w:szCs w:val="21"/>
        </w:rPr>
        <w:t>年</w:t>
      </w:r>
      <w:r>
        <w:rPr>
          <w:rFonts w:ascii="宋体" w:hAnsi="宋体" w:hint="eastAsia"/>
          <w:szCs w:val="21"/>
        </w:rPr>
        <w:t>,</w:t>
      </w:r>
      <w:r>
        <w:rPr>
          <w:rFonts w:ascii="宋体" w:hAnsi="宋体" w:hint="eastAsia"/>
          <w:szCs w:val="21"/>
        </w:rPr>
        <w:t>一方面受信贷定价制约资产端收益率提升和核心负债压力不减，息</w:t>
      </w:r>
      <w:proofErr w:type="gramStart"/>
      <w:r>
        <w:rPr>
          <w:rFonts w:ascii="宋体" w:hAnsi="宋体" w:hint="eastAsia"/>
          <w:szCs w:val="21"/>
        </w:rPr>
        <w:t>差存在</w:t>
      </w:r>
      <w:proofErr w:type="gramEnd"/>
      <w:r>
        <w:rPr>
          <w:rFonts w:ascii="宋体" w:hAnsi="宋体" w:hint="eastAsia"/>
          <w:szCs w:val="21"/>
        </w:rPr>
        <w:t>下行压力，而行业规模增速不会有显著提升；另一方面受宏观经济影响资产质量改善趋势可能难以为继，因此</w:t>
      </w:r>
      <w:r w:rsidRPr="00061A76">
        <w:rPr>
          <w:rFonts w:ascii="宋体" w:hAnsi="宋体" w:hint="eastAsia"/>
          <w:color w:val="FF0000"/>
          <w:szCs w:val="21"/>
        </w:rPr>
        <w:t>，</w:t>
      </w:r>
      <w:r w:rsidRPr="00061A76">
        <w:rPr>
          <w:rFonts w:ascii="宋体" w:hAnsi="宋体" w:hint="eastAsia"/>
          <w:color w:val="FF0000"/>
          <w:szCs w:val="21"/>
        </w:rPr>
        <w:t>2019</w:t>
      </w:r>
      <w:r w:rsidRPr="00061A76">
        <w:rPr>
          <w:rFonts w:ascii="宋体" w:hAnsi="宋体" w:hint="eastAsia"/>
          <w:color w:val="FF0000"/>
          <w:szCs w:val="21"/>
        </w:rPr>
        <w:t>年银行业经营压力会不断增加，利润增速或将回落。</w:t>
      </w:r>
      <w:r>
        <w:rPr>
          <w:rFonts w:ascii="宋体" w:hAnsi="宋体" w:hint="eastAsia"/>
          <w:szCs w:val="21"/>
        </w:rPr>
        <w:t>在宏观经济下行压力加大</w:t>
      </w:r>
      <w:r>
        <w:rPr>
          <w:rFonts w:ascii="宋体" w:hAnsi="宋体" w:hint="eastAsia"/>
          <w:szCs w:val="21"/>
        </w:rPr>
        <w:t>,</w:t>
      </w:r>
      <w:r>
        <w:rPr>
          <w:rFonts w:ascii="宋体" w:hAnsi="宋体" w:hint="eastAsia"/>
          <w:szCs w:val="21"/>
        </w:rPr>
        <w:t>外部不确定性风险加大</w:t>
      </w:r>
      <w:r>
        <w:rPr>
          <w:rFonts w:ascii="宋体" w:hAnsi="宋体" w:hint="eastAsia"/>
          <w:szCs w:val="21"/>
        </w:rPr>
        <w:t>,</w:t>
      </w:r>
      <w:r>
        <w:rPr>
          <w:rFonts w:ascii="宋体" w:hAnsi="宋体" w:hint="eastAsia"/>
          <w:szCs w:val="21"/>
        </w:rPr>
        <w:t>经济走势存在不确定性的背景下，经营上的波动或成为</w:t>
      </w:r>
      <w:r>
        <w:rPr>
          <w:rFonts w:ascii="宋体" w:hAnsi="宋体" w:hint="eastAsia"/>
          <w:szCs w:val="21"/>
        </w:rPr>
        <w:t>2019</w:t>
      </w:r>
      <w:r>
        <w:rPr>
          <w:rFonts w:ascii="宋体" w:hAnsi="宋体" w:hint="eastAsia"/>
          <w:szCs w:val="21"/>
        </w:rPr>
        <w:t>年银行业面临的较大挑战。</w:t>
      </w:r>
    </w:p>
    <w:p w:rsidR="00167400" w:rsidRDefault="00C64B37">
      <w:pPr>
        <w:spacing w:line="360" w:lineRule="auto"/>
        <w:ind w:firstLineChars="200" w:firstLine="420"/>
        <w:rPr>
          <w:rFonts w:ascii="宋体" w:hAnsi="宋体"/>
          <w:szCs w:val="21"/>
        </w:rPr>
      </w:pPr>
      <w:r>
        <w:rPr>
          <w:rFonts w:ascii="宋体" w:hAnsi="宋体" w:hint="eastAsia"/>
          <w:szCs w:val="21"/>
        </w:rPr>
        <w:t>从长期来看，</w:t>
      </w:r>
      <w:r w:rsidRPr="00061A76">
        <w:rPr>
          <w:rFonts w:ascii="宋体" w:hAnsi="宋体" w:hint="eastAsia"/>
          <w:szCs w:val="21"/>
          <w:highlight w:val="yellow"/>
        </w:rPr>
        <w:t>银行经营业绩</w:t>
      </w:r>
      <w:r>
        <w:rPr>
          <w:rFonts w:ascii="宋体" w:hAnsi="宋体" w:hint="eastAsia"/>
          <w:szCs w:val="21"/>
        </w:rPr>
        <w:t>与</w:t>
      </w:r>
      <w:r w:rsidRPr="00061A76">
        <w:rPr>
          <w:rFonts w:ascii="宋体" w:hAnsi="宋体" w:hint="eastAsia"/>
          <w:szCs w:val="21"/>
          <w:highlight w:val="yellow"/>
        </w:rPr>
        <w:t>宏观经济走势</w:t>
      </w:r>
      <w:r>
        <w:rPr>
          <w:rFonts w:ascii="宋体" w:hAnsi="宋体" w:hint="eastAsia"/>
          <w:szCs w:val="21"/>
        </w:rPr>
        <w:t>呈正相关，但实体经济的增速下滑传导</w:t>
      </w:r>
      <w:r>
        <w:rPr>
          <w:rFonts w:ascii="宋体" w:hAnsi="宋体" w:hint="eastAsia"/>
          <w:szCs w:val="21"/>
        </w:rPr>
        <w:t>至银行业绩仍有一定滞后性，尤其是政策托底的大背景下，银行业整体经营业绩仍能维持向好的趋势，但净利润同比增速相较</w:t>
      </w:r>
      <w:r>
        <w:rPr>
          <w:rFonts w:ascii="宋体" w:hAnsi="宋体" w:hint="eastAsia"/>
          <w:szCs w:val="21"/>
        </w:rPr>
        <w:t>2018</w:t>
      </w:r>
      <w:r>
        <w:rPr>
          <w:rFonts w:ascii="宋体" w:hAnsi="宋体" w:hint="eastAsia"/>
          <w:szCs w:val="21"/>
        </w:rPr>
        <w:t>年度可能略有下滑。一些业内专家认为，</w:t>
      </w:r>
      <w:r w:rsidRPr="00061A76">
        <w:rPr>
          <w:rFonts w:ascii="宋体" w:hAnsi="宋体" w:hint="eastAsia"/>
          <w:szCs w:val="21"/>
          <w:highlight w:val="yellow"/>
        </w:rPr>
        <w:t>2019</w:t>
      </w:r>
      <w:r w:rsidRPr="00061A76">
        <w:rPr>
          <w:rFonts w:ascii="宋体" w:hAnsi="宋体" w:hint="eastAsia"/>
          <w:szCs w:val="21"/>
          <w:highlight w:val="yellow"/>
        </w:rPr>
        <w:t>年银行业的利润增速</w:t>
      </w:r>
      <w:r>
        <w:rPr>
          <w:rFonts w:ascii="宋体" w:hAnsi="宋体" w:hint="eastAsia"/>
          <w:szCs w:val="21"/>
        </w:rPr>
        <w:t>将可能出现回落，一是监管部门有意引导融资成本的下行；二是前期地方融资平台债务置换和大规模发行地方政府专项债之后，银行的利差收入将大幅下降。</w:t>
      </w:r>
    </w:p>
    <w:p w:rsidR="00167400" w:rsidRDefault="00C64B37">
      <w:pPr>
        <w:spacing w:line="360" w:lineRule="auto"/>
        <w:ind w:firstLineChars="200" w:firstLine="420"/>
        <w:rPr>
          <w:rFonts w:ascii="宋体" w:hAnsi="宋体"/>
          <w:szCs w:val="21"/>
        </w:rPr>
      </w:pPr>
      <w:r>
        <w:rPr>
          <w:rFonts w:ascii="宋体" w:hAnsi="宋体" w:hint="eastAsia"/>
          <w:szCs w:val="21"/>
        </w:rPr>
        <w:lastRenderedPageBreak/>
        <w:t>银保监</w:t>
      </w:r>
      <w:proofErr w:type="gramStart"/>
      <w:r>
        <w:rPr>
          <w:rFonts w:ascii="宋体" w:hAnsi="宋体" w:hint="eastAsia"/>
          <w:szCs w:val="21"/>
        </w:rPr>
        <w:t>会数据</w:t>
      </w:r>
      <w:proofErr w:type="gramEnd"/>
      <w:r>
        <w:rPr>
          <w:rFonts w:ascii="宋体" w:hAnsi="宋体" w:hint="eastAsia"/>
          <w:szCs w:val="21"/>
        </w:rPr>
        <w:t>显示，</w:t>
      </w:r>
      <w:r>
        <w:rPr>
          <w:rFonts w:ascii="宋体" w:hAnsi="宋体" w:hint="eastAsia"/>
          <w:szCs w:val="21"/>
        </w:rPr>
        <w:t>2018</w:t>
      </w:r>
      <w:r>
        <w:rPr>
          <w:rFonts w:ascii="宋体" w:hAnsi="宋体" w:hint="eastAsia"/>
          <w:szCs w:val="21"/>
        </w:rPr>
        <w:t>年三季度，商业银行净息差为</w:t>
      </w:r>
      <w:r>
        <w:rPr>
          <w:rFonts w:ascii="宋体" w:hAnsi="宋体" w:hint="eastAsia"/>
          <w:szCs w:val="21"/>
        </w:rPr>
        <w:t>2.15%</w:t>
      </w:r>
      <w:r>
        <w:rPr>
          <w:rFonts w:ascii="宋体" w:hAnsi="宋体" w:hint="eastAsia"/>
          <w:szCs w:val="21"/>
        </w:rPr>
        <w:t>，同环比分别提升</w:t>
      </w:r>
      <w:r>
        <w:rPr>
          <w:rFonts w:ascii="宋体" w:hAnsi="宋体" w:hint="eastAsia"/>
          <w:szCs w:val="21"/>
        </w:rPr>
        <w:t>8</w:t>
      </w:r>
      <w:r>
        <w:rPr>
          <w:rFonts w:ascii="宋体" w:hAnsi="宋体" w:hint="eastAsia"/>
          <w:szCs w:val="21"/>
        </w:rPr>
        <w:t>个基点和</w:t>
      </w:r>
      <w:r>
        <w:rPr>
          <w:rFonts w:ascii="宋体" w:hAnsi="宋体" w:hint="eastAsia"/>
          <w:szCs w:val="21"/>
        </w:rPr>
        <w:t>3</w:t>
      </w:r>
      <w:r>
        <w:rPr>
          <w:rFonts w:ascii="宋体" w:hAnsi="宋体" w:hint="eastAsia"/>
          <w:szCs w:val="21"/>
        </w:rPr>
        <w:t>个基点，</w:t>
      </w:r>
      <w:r>
        <w:rPr>
          <w:rFonts w:ascii="宋体" w:hAnsi="宋体" w:hint="eastAsia"/>
          <w:szCs w:val="21"/>
        </w:rPr>
        <w:t>2018</w:t>
      </w:r>
      <w:r>
        <w:rPr>
          <w:rFonts w:ascii="宋体" w:hAnsi="宋体" w:hint="eastAsia"/>
          <w:szCs w:val="21"/>
        </w:rPr>
        <w:t>年四季度，商业银行净息差为</w:t>
      </w:r>
      <w:r>
        <w:rPr>
          <w:rFonts w:ascii="宋体" w:hAnsi="宋体" w:hint="eastAsia"/>
          <w:szCs w:val="21"/>
        </w:rPr>
        <w:t>2.18%</w:t>
      </w:r>
      <w:r>
        <w:rPr>
          <w:rFonts w:ascii="宋体" w:hAnsi="宋体" w:hint="eastAsia"/>
          <w:szCs w:val="21"/>
        </w:rPr>
        <w:t>，同环比分别提升</w:t>
      </w:r>
      <w:r>
        <w:rPr>
          <w:rFonts w:ascii="宋体" w:hAnsi="宋体" w:hint="eastAsia"/>
          <w:szCs w:val="21"/>
        </w:rPr>
        <w:t>8</w:t>
      </w:r>
      <w:r>
        <w:rPr>
          <w:rFonts w:ascii="宋体" w:hAnsi="宋体" w:hint="eastAsia"/>
          <w:szCs w:val="21"/>
        </w:rPr>
        <w:t>个基点和</w:t>
      </w:r>
      <w:r>
        <w:rPr>
          <w:rFonts w:ascii="宋体" w:hAnsi="宋体" w:hint="eastAsia"/>
          <w:szCs w:val="21"/>
        </w:rPr>
        <w:t>3</w:t>
      </w:r>
      <w:r>
        <w:rPr>
          <w:rFonts w:ascii="宋体" w:hAnsi="宋体" w:hint="eastAsia"/>
          <w:szCs w:val="21"/>
        </w:rPr>
        <w:t>个基点，行业息差保持回</w:t>
      </w:r>
      <w:r>
        <w:rPr>
          <w:rFonts w:ascii="宋体" w:hAnsi="宋体" w:hint="eastAsia"/>
          <w:szCs w:val="21"/>
        </w:rPr>
        <w:t>升态势，但回升的幅度有所放缓。细分来看，大型银行息</w:t>
      </w:r>
      <w:proofErr w:type="gramStart"/>
      <w:r>
        <w:rPr>
          <w:rFonts w:ascii="宋体" w:hAnsi="宋体" w:hint="eastAsia"/>
          <w:szCs w:val="21"/>
        </w:rPr>
        <w:t>差显著</w:t>
      </w:r>
      <w:proofErr w:type="gramEnd"/>
      <w:r>
        <w:rPr>
          <w:rFonts w:ascii="宋体" w:hAnsi="宋体" w:hint="eastAsia"/>
          <w:szCs w:val="21"/>
        </w:rPr>
        <w:t>提升主要来自负债</w:t>
      </w:r>
      <w:proofErr w:type="gramStart"/>
      <w:r>
        <w:rPr>
          <w:rFonts w:ascii="宋体" w:hAnsi="宋体" w:hint="eastAsia"/>
          <w:szCs w:val="21"/>
        </w:rPr>
        <w:t>端尤其</w:t>
      </w:r>
      <w:proofErr w:type="gramEnd"/>
      <w:r>
        <w:rPr>
          <w:rFonts w:ascii="宋体" w:hAnsi="宋体" w:hint="eastAsia"/>
          <w:szCs w:val="21"/>
        </w:rPr>
        <w:t>是存款成本优势加固，同时资产</w:t>
      </w:r>
      <w:proofErr w:type="gramStart"/>
      <w:r>
        <w:rPr>
          <w:rFonts w:ascii="宋体" w:hAnsi="宋体" w:hint="eastAsia"/>
          <w:szCs w:val="21"/>
        </w:rPr>
        <w:t>端加大</w:t>
      </w:r>
      <w:proofErr w:type="gramEnd"/>
      <w:r>
        <w:rPr>
          <w:rFonts w:ascii="宋体" w:hAnsi="宋体" w:hint="eastAsia"/>
          <w:szCs w:val="21"/>
        </w:rPr>
        <w:t>小微、</w:t>
      </w:r>
      <w:r>
        <w:rPr>
          <w:rFonts w:hAnsi="宋体"/>
          <w:szCs w:val="21"/>
        </w:rPr>
        <w:t>“</w:t>
      </w:r>
      <w:r>
        <w:rPr>
          <w:rFonts w:ascii="宋体" w:hAnsi="宋体" w:hint="eastAsia"/>
          <w:szCs w:val="21"/>
        </w:rPr>
        <w:t>三农</w:t>
      </w:r>
      <w:r>
        <w:rPr>
          <w:rFonts w:hAnsi="宋体"/>
          <w:szCs w:val="21"/>
        </w:rPr>
        <w:t>”</w:t>
      </w:r>
      <w:r>
        <w:rPr>
          <w:rFonts w:ascii="宋体" w:hAnsi="宋体" w:hint="eastAsia"/>
          <w:szCs w:val="21"/>
        </w:rPr>
        <w:t>等领域的贷款投放所致。其中，农业银行净息差绝对值最高为</w:t>
      </w:r>
      <w:r>
        <w:rPr>
          <w:rFonts w:ascii="宋体" w:hAnsi="宋体" w:hint="eastAsia"/>
          <w:szCs w:val="21"/>
        </w:rPr>
        <w:t>2.65%</w:t>
      </w:r>
      <w:r>
        <w:rPr>
          <w:rFonts w:ascii="宋体" w:hAnsi="宋体" w:hint="eastAsia"/>
          <w:szCs w:val="21"/>
        </w:rPr>
        <w:t>，同比提升</w:t>
      </w:r>
      <w:r>
        <w:rPr>
          <w:rFonts w:ascii="宋体" w:hAnsi="宋体" w:hint="eastAsia"/>
          <w:szCs w:val="21"/>
        </w:rPr>
        <w:t>37</w:t>
      </w:r>
      <w:r>
        <w:rPr>
          <w:rFonts w:ascii="宋体" w:hAnsi="宋体" w:hint="eastAsia"/>
          <w:szCs w:val="21"/>
        </w:rPr>
        <w:t>个基点。多位业内专家预计，</w:t>
      </w:r>
      <w:r>
        <w:rPr>
          <w:rFonts w:ascii="宋体" w:hAnsi="宋体" w:hint="eastAsia"/>
          <w:szCs w:val="21"/>
        </w:rPr>
        <w:t>2019</w:t>
      </w:r>
      <w:r>
        <w:rPr>
          <w:rFonts w:ascii="宋体" w:hAnsi="宋体" w:hint="eastAsia"/>
          <w:szCs w:val="21"/>
        </w:rPr>
        <w:t>年，在多重因素综合作用下，息</w:t>
      </w:r>
      <w:proofErr w:type="gramStart"/>
      <w:r>
        <w:rPr>
          <w:rFonts w:ascii="宋体" w:hAnsi="宋体" w:hint="eastAsia"/>
          <w:szCs w:val="21"/>
        </w:rPr>
        <w:t>差继续</w:t>
      </w:r>
      <w:proofErr w:type="gramEnd"/>
      <w:r>
        <w:rPr>
          <w:rFonts w:ascii="宋体" w:hAnsi="宋体" w:hint="eastAsia"/>
          <w:szCs w:val="21"/>
        </w:rPr>
        <w:t>改善的空间较小，商业银行净息差或见顶回落。</w:t>
      </w:r>
    </w:p>
    <w:p w:rsidR="00167400" w:rsidRDefault="00C64B37">
      <w:pPr>
        <w:spacing w:line="360" w:lineRule="auto"/>
        <w:ind w:firstLineChars="200" w:firstLine="420"/>
        <w:rPr>
          <w:rFonts w:ascii="宋体" w:hAnsi="宋体"/>
          <w:szCs w:val="21"/>
        </w:rPr>
      </w:pPr>
      <w:r>
        <w:rPr>
          <w:rFonts w:ascii="宋体" w:hAnsi="宋体" w:hint="eastAsia"/>
          <w:szCs w:val="21"/>
        </w:rPr>
        <w:t>在</w:t>
      </w:r>
      <w:r w:rsidRPr="00061A76">
        <w:rPr>
          <w:rFonts w:ascii="宋体" w:hAnsi="宋体" w:hint="eastAsia"/>
          <w:szCs w:val="21"/>
          <w:highlight w:val="yellow"/>
        </w:rPr>
        <w:t>资产端</w:t>
      </w:r>
      <w:r>
        <w:rPr>
          <w:rFonts w:ascii="宋体" w:hAnsi="宋体" w:hint="eastAsia"/>
          <w:szCs w:val="21"/>
        </w:rPr>
        <w:t>，一方面，</w:t>
      </w:r>
      <w:proofErr w:type="gramStart"/>
      <w:r>
        <w:rPr>
          <w:rFonts w:ascii="宋体" w:hAnsi="宋体" w:hint="eastAsia"/>
          <w:szCs w:val="21"/>
        </w:rPr>
        <w:t>宽货币</w:t>
      </w:r>
      <w:proofErr w:type="gramEnd"/>
      <w:r>
        <w:rPr>
          <w:rFonts w:ascii="宋体" w:hAnsi="宋体" w:hint="eastAsia"/>
          <w:szCs w:val="21"/>
        </w:rPr>
        <w:t>环境叠加扶持民营经济发展、控制实体企业融资成本以及实体经济有效需求不足、优质</w:t>
      </w:r>
      <w:r>
        <w:rPr>
          <w:rFonts w:hAnsi="宋体"/>
          <w:szCs w:val="21"/>
        </w:rPr>
        <w:t>“</w:t>
      </w:r>
      <w:r>
        <w:rPr>
          <w:rFonts w:ascii="宋体" w:hAnsi="宋体" w:hint="eastAsia"/>
          <w:szCs w:val="21"/>
        </w:rPr>
        <w:t>资产荒</w:t>
      </w:r>
      <w:r>
        <w:rPr>
          <w:rFonts w:hAnsi="宋体"/>
          <w:szCs w:val="21"/>
        </w:rPr>
        <w:t>”</w:t>
      </w:r>
      <w:r>
        <w:rPr>
          <w:rFonts w:ascii="宋体" w:hAnsi="宋体" w:hint="eastAsia"/>
          <w:szCs w:val="21"/>
        </w:rPr>
        <w:t>再现，贷款利率上行态势将边际趋缓；另一方面，在较低的风险偏好下，</w:t>
      </w:r>
      <w:r>
        <w:rPr>
          <w:rFonts w:ascii="宋体" w:hAnsi="宋体" w:hint="eastAsia"/>
          <w:szCs w:val="21"/>
        </w:rPr>
        <w:t>2019</w:t>
      </w:r>
      <w:r>
        <w:rPr>
          <w:rFonts w:ascii="宋体" w:hAnsi="宋体" w:hint="eastAsia"/>
          <w:szCs w:val="21"/>
        </w:rPr>
        <w:t>年商业银行贷款</w:t>
      </w:r>
      <w:r>
        <w:rPr>
          <w:rFonts w:ascii="宋体" w:hAnsi="宋体" w:hint="eastAsia"/>
          <w:szCs w:val="21"/>
        </w:rPr>
        <w:t>结构调整仍将持续，表内信贷投放有望进一步向零售和高收益领域倾斜，进而一定程度上</w:t>
      </w:r>
      <w:proofErr w:type="gramStart"/>
      <w:r>
        <w:rPr>
          <w:rFonts w:ascii="宋体" w:hAnsi="宋体" w:hint="eastAsia"/>
          <w:szCs w:val="21"/>
        </w:rPr>
        <w:t>缓解息差管理</w:t>
      </w:r>
      <w:proofErr w:type="gramEnd"/>
      <w:r>
        <w:rPr>
          <w:rFonts w:ascii="宋体" w:hAnsi="宋体" w:hint="eastAsia"/>
          <w:szCs w:val="21"/>
        </w:rPr>
        <w:t>压力。在</w:t>
      </w:r>
      <w:r w:rsidRPr="00061A76">
        <w:rPr>
          <w:rFonts w:ascii="宋体" w:hAnsi="宋体" w:hint="eastAsia"/>
          <w:szCs w:val="21"/>
          <w:highlight w:val="yellow"/>
        </w:rPr>
        <w:t>负债端</w:t>
      </w:r>
      <w:r>
        <w:rPr>
          <w:rFonts w:ascii="宋体" w:hAnsi="宋体" w:hint="eastAsia"/>
          <w:szCs w:val="21"/>
        </w:rPr>
        <w:t>，</w:t>
      </w:r>
      <w:proofErr w:type="gramStart"/>
      <w:r>
        <w:rPr>
          <w:rFonts w:ascii="宋体" w:hAnsi="宋体" w:hint="eastAsia"/>
          <w:szCs w:val="21"/>
        </w:rPr>
        <w:t>后利率</w:t>
      </w:r>
      <w:proofErr w:type="gramEnd"/>
      <w:r>
        <w:rPr>
          <w:rFonts w:ascii="宋体" w:hAnsi="宋体" w:hint="eastAsia"/>
          <w:szCs w:val="21"/>
        </w:rPr>
        <w:t>市场化时代存款竞争压力不减，一般存款的约束依然较强，主动负债占比继续提升，存款综合成本率总体易上难下。总体而言，在</w:t>
      </w:r>
      <w:r>
        <w:rPr>
          <w:rFonts w:ascii="宋体" w:hAnsi="宋体" w:hint="eastAsia"/>
          <w:szCs w:val="21"/>
        </w:rPr>
        <w:t>M1</w:t>
      </w:r>
      <w:r>
        <w:rPr>
          <w:rFonts w:ascii="宋体" w:hAnsi="宋体" w:hint="eastAsia"/>
          <w:szCs w:val="21"/>
        </w:rPr>
        <w:t>、</w:t>
      </w:r>
      <w:r>
        <w:rPr>
          <w:rFonts w:ascii="宋体" w:hAnsi="宋体" w:hint="eastAsia"/>
          <w:szCs w:val="21"/>
        </w:rPr>
        <w:t>M2</w:t>
      </w:r>
      <w:r>
        <w:rPr>
          <w:rFonts w:ascii="宋体" w:hAnsi="宋体" w:hint="eastAsia"/>
          <w:szCs w:val="21"/>
        </w:rPr>
        <w:t>持续低</w:t>
      </w:r>
      <w:bookmarkStart w:id="0" w:name="_GoBack"/>
      <w:bookmarkEnd w:id="0"/>
      <w:r>
        <w:rPr>
          <w:rFonts w:ascii="宋体" w:hAnsi="宋体" w:hint="eastAsia"/>
          <w:szCs w:val="21"/>
        </w:rPr>
        <w:t>位运行以及信用派生尚未激活的情况下，商业银行一般存款仍将在很大程度上依赖</w:t>
      </w:r>
      <w:r w:rsidRPr="00061A76">
        <w:rPr>
          <w:rFonts w:ascii="宋体" w:hAnsi="宋体" w:hint="eastAsia"/>
          <w:szCs w:val="21"/>
          <w:highlight w:val="yellow"/>
        </w:rPr>
        <w:t>结构性存款增长</w:t>
      </w:r>
      <w:r>
        <w:rPr>
          <w:rFonts w:ascii="宋体" w:hAnsi="宋体" w:hint="eastAsia"/>
          <w:szCs w:val="21"/>
        </w:rPr>
        <w:t>，存款综合成本率仍将承压。在</w:t>
      </w:r>
      <w:proofErr w:type="gramStart"/>
      <w:r>
        <w:rPr>
          <w:rFonts w:ascii="宋体" w:hAnsi="宋体" w:hint="eastAsia"/>
          <w:szCs w:val="21"/>
        </w:rPr>
        <w:t>宽货币</w:t>
      </w:r>
      <w:proofErr w:type="gramEnd"/>
      <w:r>
        <w:rPr>
          <w:rFonts w:ascii="宋体" w:hAnsi="宋体" w:hint="eastAsia"/>
          <w:szCs w:val="21"/>
        </w:rPr>
        <w:t>环境延续下，</w:t>
      </w:r>
      <w:r>
        <w:rPr>
          <w:rFonts w:ascii="宋体" w:hAnsi="宋体" w:hint="eastAsia"/>
          <w:szCs w:val="21"/>
        </w:rPr>
        <w:t>2019</w:t>
      </w:r>
      <w:r>
        <w:rPr>
          <w:rFonts w:ascii="宋体" w:hAnsi="宋体" w:hint="eastAsia"/>
          <w:szCs w:val="21"/>
        </w:rPr>
        <w:t>年同业负债成本预计仍将维持低位，有效稳定银行整体负债成本。　存款在负债中的占比提升，但存款争夺依然激烈。存款优势显著的银行负债端成</w:t>
      </w:r>
      <w:r>
        <w:rPr>
          <w:rFonts w:ascii="宋体" w:hAnsi="宋体" w:hint="eastAsia"/>
          <w:szCs w:val="21"/>
        </w:rPr>
        <w:t>本控制情况较好，其中，大型银行优势稳固，股份行和城商行也加大吸存力度。资产</w:t>
      </w:r>
      <w:proofErr w:type="gramStart"/>
      <w:r>
        <w:rPr>
          <w:rFonts w:ascii="宋体" w:hAnsi="宋体" w:hint="eastAsia"/>
          <w:szCs w:val="21"/>
        </w:rPr>
        <w:t>端贷款</w:t>
      </w:r>
      <w:proofErr w:type="gramEnd"/>
      <w:r>
        <w:rPr>
          <w:rFonts w:ascii="宋体" w:hAnsi="宋体" w:hint="eastAsia"/>
          <w:szCs w:val="21"/>
        </w:rPr>
        <w:t>定价提升很可能逐步见顶，消费信贷、小</w:t>
      </w:r>
      <w:proofErr w:type="gramStart"/>
      <w:r>
        <w:rPr>
          <w:rFonts w:ascii="宋体" w:hAnsi="宋体" w:hint="eastAsia"/>
          <w:szCs w:val="21"/>
        </w:rPr>
        <w:t>微企业</w:t>
      </w:r>
      <w:proofErr w:type="gramEnd"/>
      <w:r>
        <w:rPr>
          <w:rFonts w:ascii="宋体" w:hAnsi="宋体" w:hint="eastAsia"/>
          <w:szCs w:val="21"/>
        </w:rPr>
        <w:t>等高定价的资产占比依旧较高，证券投资类资产与同业资产整体有所下降。自</w:t>
      </w:r>
      <w:r>
        <w:rPr>
          <w:rFonts w:ascii="宋体" w:hAnsi="宋体" w:hint="eastAsia"/>
          <w:szCs w:val="21"/>
        </w:rPr>
        <w:t>2018</w:t>
      </w:r>
      <w:r>
        <w:rPr>
          <w:rFonts w:ascii="宋体" w:hAnsi="宋体" w:hint="eastAsia"/>
          <w:szCs w:val="21"/>
        </w:rPr>
        <w:t xml:space="preserve">年下半年以来，银行业非利息收入已呈现逐渐改善的状况。　</w:t>
      </w:r>
    </w:p>
    <w:sectPr w:rsidR="001674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B37" w:rsidRDefault="00C64B37" w:rsidP="00BC1C0D">
      <w:r>
        <w:separator/>
      </w:r>
    </w:p>
  </w:endnote>
  <w:endnote w:type="continuationSeparator" w:id="0">
    <w:p w:rsidR="00C64B37" w:rsidRDefault="00C64B37" w:rsidP="00BC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B37" w:rsidRDefault="00C64B37" w:rsidP="00BC1C0D">
      <w:r>
        <w:separator/>
      </w:r>
    </w:p>
  </w:footnote>
  <w:footnote w:type="continuationSeparator" w:id="0">
    <w:p w:rsidR="00C64B37" w:rsidRDefault="00C64B37" w:rsidP="00BC1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A12EA217"/>
    <w:lvl w:ilvl="0">
      <w:start w:val="2"/>
      <w:numFmt w:val="decimal"/>
      <w:suff w:val="nothing"/>
      <w:lvlText w:val="（%1）"/>
      <w:lvlJc w:val="left"/>
    </w:lvl>
  </w:abstractNum>
  <w:abstractNum w:abstractNumId="1" w15:restartNumberingAfterBreak="0">
    <w:nsid w:val="00000001"/>
    <w:multiLevelType w:val="singleLevel"/>
    <w:tmpl w:val="8EECA1D7"/>
    <w:lvl w:ilvl="0">
      <w:start w:val="1"/>
      <w:numFmt w:val="decimal"/>
      <w:lvlText w:val="%1."/>
      <w:lvlJc w:val="left"/>
      <w:pPr>
        <w:tabs>
          <w:tab w:val="left" w:pos="312"/>
        </w:tabs>
      </w:pPr>
    </w:lvl>
  </w:abstractNum>
  <w:abstractNum w:abstractNumId="2" w15:restartNumberingAfterBreak="0">
    <w:nsid w:val="00000002"/>
    <w:multiLevelType w:val="singleLevel"/>
    <w:tmpl w:val="3AD00200"/>
    <w:lvl w:ilvl="0">
      <w:start w:val="1"/>
      <w:numFmt w:val="decimal"/>
      <w:lvlText w:val="%1."/>
      <w:lvlJc w:val="left"/>
      <w:pPr>
        <w:tabs>
          <w:tab w:val="left" w:pos="312"/>
        </w:tabs>
      </w:pPr>
    </w:lvl>
  </w:abstractNum>
  <w:abstractNum w:abstractNumId="3" w15:restartNumberingAfterBreak="0">
    <w:nsid w:val="00000003"/>
    <w:multiLevelType w:val="singleLevel"/>
    <w:tmpl w:val="B48508F0"/>
    <w:lvl w:ilvl="0">
      <w:start w:val="1"/>
      <w:numFmt w:val="decimal"/>
      <w:suff w:val="nothing"/>
      <w:lvlText w:val="（%1）"/>
      <w:lvlJc w:val="left"/>
    </w:lvl>
  </w:abstractNum>
  <w:abstractNum w:abstractNumId="4" w15:restartNumberingAfterBreak="0">
    <w:nsid w:val="00000004"/>
    <w:multiLevelType w:val="singleLevel"/>
    <w:tmpl w:val="982F8DD2"/>
    <w:lvl w:ilvl="0">
      <w:start w:val="2"/>
      <w:numFmt w:val="decimal"/>
      <w:suff w:val="nothing"/>
      <w:lvlText w:val="（%1）"/>
      <w:lvlJc w:val="left"/>
    </w:lvl>
  </w:abstractNum>
  <w:abstractNum w:abstractNumId="5" w15:restartNumberingAfterBreak="0">
    <w:nsid w:val="00000005"/>
    <w:multiLevelType w:val="singleLevel"/>
    <w:tmpl w:val="93DC7FF7"/>
    <w:lvl w:ilvl="0">
      <w:start w:val="1"/>
      <w:numFmt w:val="chineseCounting"/>
      <w:suff w:val="nothing"/>
      <w:lvlText w:val="%1、"/>
      <w:lvlJc w:val="left"/>
      <w:rPr>
        <w:rFonts w:hint="eastAsia"/>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400"/>
    <w:rsid w:val="00061A76"/>
    <w:rsid w:val="00115365"/>
    <w:rsid w:val="00167400"/>
    <w:rsid w:val="00240D85"/>
    <w:rsid w:val="00385382"/>
    <w:rsid w:val="00BC1C0D"/>
    <w:rsid w:val="00C64B37"/>
    <w:rsid w:val="00EA6E8F"/>
    <w:rsid w:val="00FA6DEB"/>
    <w:rsid w:val="00FB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094A9D-C1F0-4374-94FC-41C15B13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qFormat/>
    <w:pPr>
      <w:spacing w:beforeAutospacing="1" w:afterAutospacing="1"/>
      <w:jc w:val="left"/>
    </w:pPr>
    <w:rPr>
      <w:kern w:val="0"/>
      <w:sz w:val="24"/>
    </w:rPr>
  </w:style>
  <w:style w:type="character" w:customStyle="1" w:styleId="bsharetext">
    <w:name w:val="bsharetext"/>
    <w:basedOn w:val="a0"/>
  </w:style>
  <w:style w:type="paragraph" w:styleId="a4">
    <w:name w:val="header"/>
    <w:basedOn w:val="a"/>
    <w:link w:val="a5"/>
    <w:uiPriority w:val="99"/>
    <w:unhideWhenUsed/>
    <w:rsid w:val="00BC1C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1C0D"/>
    <w:rPr>
      <w:rFonts w:ascii="Calibri" w:hAnsi="Calibri" w:cs="宋体"/>
      <w:kern w:val="2"/>
      <w:sz w:val="18"/>
      <w:szCs w:val="18"/>
    </w:rPr>
  </w:style>
  <w:style w:type="paragraph" w:styleId="a6">
    <w:name w:val="footer"/>
    <w:basedOn w:val="a"/>
    <w:link w:val="a7"/>
    <w:uiPriority w:val="99"/>
    <w:unhideWhenUsed/>
    <w:rsid w:val="00BC1C0D"/>
    <w:pPr>
      <w:tabs>
        <w:tab w:val="center" w:pos="4153"/>
        <w:tab w:val="right" w:pos="8306"/>
      </w:tabs>
      <w:snapToGrid w:val="0"/>
      <w:jc w:val="left"/>
    </w:pPr>
    <w:rPr>
      <w:sz w:val="18"/>
      <w:szCs w:val="18"/>
    </w:rPr>
  </w:style>
  <w:style w:type="character" w:customStyle="1" w:styleId="a7">
    <w:name w:val="页脚 字符"/>
    <w:basedOn w:val="a0"/>
    <w:link w:val="a6"/>
    <w:uiPriority w:val="99"/>
    <w:rsid w:val="00BC1C0D"/>
    <w:rPr>
      <w:rFonts w:ascii="Calibri" w:hAnsi="Calibri" w:cs="宋体"/>
      <w:kern w:val="2"/>
      <w:sz w:val="18"/>
      <w:szCs w:val="18"/>
    </w:rPr>
  </w:style>
  <w:style w:type="paragraph" w:styleId="a8">
    <w:name w:val="Balloon Text"/>
    <w:basedOn w:val="a"/>
    <w:link w:val="a9"/>
    <w:uiPriority w:val="99"/>
    <w:semiHidden/>
    <w:unhideWhenUsed/>
    <w:rsid w:val="00BC1C0D"/>
    <w:rPr>
      <w:sz w:val="18"/>
      <w:szCs w:val="18"/>
    </w:rPr>
  </w:style>
  <w:style w:type="character" w:customStyle="1" w:styleId="a9">
    <w:name w:val="批注框文本 字符"/>
    <w:basedOn w:val="a0"/>
    <w:link w:val="a8"/>
    <w:uiPriority w:val="99"/>
    <w:semiHidden/>
    <w:rsid w:val="00BC1C0D"/>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C:/Users/szy/Desktop/&#34892;&#19994;&#20998;&#26512;&#25253;&#21578;&#25968;&#2545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C:/Users/szy/Desktop/&#34892;&#19994;&#20998;&#26512;&#25253;&#21578;&#25968;&#2545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[行业分析报告数据.xlsx]Sheet5!$N$13</c:f>
              <c:strCache>
                <c:ptCount val="1"/>
                <c:pt idx="0">
                  <c:v>银行业景气指数</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[行业分析报告数据.xlsx]Sheet5!$M$14:$M$26</c:f>
              <c:strCache>
                <c:ptCount val="13"/>
                <c:pt idx="0">
                  <c:v>2015.Q4 </c:v>
                </c:pt>
                <c:pt idx="1">
                  <c:v>2016.Q1 </c:v>
                </c:pt>
                <c:pt idx="2">
                  <c:v>2016.Q2 </c:v>
                </c:pt>
                <c:pt idx="3">
                  <c:v>2016.Q3 </c:v>
                </c:pt>
                <c:pt idx="4">
                  <c:v>2016.Q4 </c:v>
                </c:pt>
                <c:pt idx="5">
                  <c:v>2017.Q1 </c:v>
                </c:pt>
                <c:pt idx="6">
                  <c:v>2017.Q2 </c:v>
                </c:pt>
                <c:pt idx="7">
                  <c:v>2017.Q3 </c:v>
                </c:pt>
                <c:pt idx="8">
                  <c:v>2017.Q4 </c:v>
                </c:pt>
                <c:pt idx="9">
                  <c:v>2018.Q1</c:v>
                </c:pt>
                <c:pt idx="10">
                  <c:v>2018.Q2 </c:v>
                </c:pt>
                <c:pt idx="11">
                  <c:v>2018.Q3</c:v>
                </c:pt>
                <c:pt idx="12">
                  <c:v>2018.Q4</c:v>
                </c:pt>
              </c:strCache>
            </c:strRef>
          </c:cat>
          <c:val>
            <c:numRef>
              <c:f>[行业分析报告数据.xlsx]Sheet5!$N$14:$N$26</c:f>
              <c:numCache>
                <c:formatCode>General</c:formatCode>
                <c:ptCount val="13"/>
                <c:pt idx="0">
                  <c:v>60.5</c:v>
                </c:pt>
                <c:pt idx="1">
                  <c:v>62.9</c:v>
                </c:pt>
                <c:pt idx="2">
                  <c:v>61.3</c:v>
                </c:pt>
                <c:pt idx="3">
                  <c:v>62</c:v>
                </c:pt>
                <c:pt idx="4">
                  <c:v>63.9</c:v>
                </c:pt>
                <c:pt idx="5">
                  <c:v>66.900000000000006</c:v>
                </c:pt>
                <c:pt idx="6">
                  <c:v>65</c:v>
                </c:pt>
                <c:pt idx="7">
                  <c:v>65.8</c:v>
                </c:pt>
                <c:pt idx="8">
                  <c:v>68.3</c:v>
                </c:pt>
                <c:pt idx="9">
                  <c:v>69.7</c:v>
                </c:pt>
                <c:pt idx="10">
                  <c:v>66.400000000000006</c:v>
                </c:pt>
                <c:pt idx="11">
                  <c:v>67.5</c:v>
                </c:pt>
                <c:pt idx="12">
                  <c:v>68.7</c:v>
                </c:pt>
              </c:numCache>
            </c:numRef>
          </c:val>
          <c:smooth val="0"/>
          <c:extLst>
            <c:ext xmlns:c16="http://schemas.microsoft.com/office/drawing/2014/chart" uri="{C3380CC4-5D6E-409C-BE32-E72D297353CC}">
              <c16:uniqueId val="{00000000-62F2-4EC5-ACBD-8AE2A451FE34}"/>
            </c:ext>
          </c:extLst>
        </c:ser>
        <c:ser>
          <c:idx val="1"/>
          <c:order val="1"/>
          <c:tx>
            <c:strRef>
              <c:f>[行业分析报告数据.xlsx]Sheet5!$O$13</c:f>
              <c:strCache>
                <c:ptCount val="1"/>
                <c:pt idx="0">
                  <c:v>银行盈利指数</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[行业分析报告数据.xlsx]Sheet5!$M$14:$M$26</c:f>
              <c:strCache>
                <c:ptCount val="13"/>
                <c:pt idx="0">
                  <c:v>2015.Q4 </c:v>
                </c:pt>
                <c:pt idx="1">
                  <c:v>2016.Q1 </c:v>
                </c:pt>
                <c:pt idx="2">
                  <c:v>2016.Q2 </c:v>
                </c:pt>
                <c:pt idx="3">
                  <c:v>2016.Q3 </c:v>
                </c:pt>
                <c:pt idx="4">
                  <c:v>2016.Q4 </c:v>
                </c:pt>
                <c:pt idx="5">
                  <c:v>2017.Q1 </c:v>
                </c:pt>
                <c:pt idx="6">
                  <c:v>2017.Q2 </c:v>
                </c:pt>
                <c:pt idx="7">
                  <c:v>2017.Q3 </c:v>
                </c:pt>
                <c:pt idx="8">
                  <c:v>2017.Q4 </c:v>
                </c:pt>
                <c:pt idx="9">
                  <c:v>2018.Q1</c:v>
                </c:pt>
                <c:pt idx="10">
                  <c:v>2018.Q2 </c:v>
                </c:pt>
                <c:pt idx="11">
                  <c:v>2018.Q3</c:v>
                </c:pt>
                <c:pt idx="12">
                  <c:v>2018.Q4</c:v>
                </c:pt>
              </c:strCache>
            </c:strRef>
          </c:cat>
          <c:val>
            <c:numRef>
              <c:f>[行业分析报告数据.xlsx]Sheet5!$O$14:$O$26</c:f>
              <c:numCache>
                <c:formatCode>General</c:formatCode>
                <c:ptCount val="13"/>
                <c:pt idx="0">
                  <c:v>62.6</c:v>
                </c:pt>
                <c:pt idx="1">
                  <c:v>60.4</c:v>
                </c:pt>
                <c:pt idx="2">
                  <c:v>62.2</c:v>
                </c:pt>
                <c:pt idx="3">
                  <c:v>62.5</c:v>
                </c:pt>
                <c:pt idx="4">
                  <c:v>64.7</c:v>
                </c:pt>
                <c:pt idx="5">
                  <c:v>64.7</c:v>
                </c:pt>
                <c:pt idx="6">
                  <c:v>65.8</c:v>
                </c:pt>
                <c:pt idx="7">
                  <c:v>66.5</c:v>
                </c:pt>
                <c:pt idx="8">
                  <c:v>68.3</c:v>
                </c:pt>
                <c:pt idx="9">
                  <c:v>65.900000000000006</c:v>
                </c:pt>
                <c:pt idx="10">
                  <c:v>66.900000000000006</c:v>
                </c:pt>
                <c:pt idx="11">
                  <c:v>66.900000000000006</c:v>
                </c:pt>
                <c:pt idx="12">
                  <c:v>65.7</c:v>
                </c:pt>
              </c:numCache>
            </c:numRef>
          </c:val>
          <c:smooth val="0"/>
          <c:extLst>
            <c:ext xmlns:c16="http://schemas.microsoft.com/office/drawing/2014/chart" uri="{C3380CC4-5D6E-409C-BE32-E72D297353CC}">
              <c16:uniqueId val="{00000001-62F2-4EC5-ACBD-8AE2A451FE34}"/>
            </c:ext>
          </c:extLst>
        </c:ser>
        <c:dLbls>
          <c:showLegendKey val="0"/>
          <c:showVal val="1"/>
          <c:showCatName val="0"/>
          <c:showSerName val="0"/>
          <c:showPercent val="0"/>
          <c:showBubbleSize val="0"/>
        </c:dLbls>
        <c:smooth val="0"/>
        <c:axId val="904108836"/>
        <c:axId val="54872398"/>
      </c:lineChart>
      <c:catAx>
        <c:axId val="9041088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4872398"/>
        <c:crosses val="autoZero"/>
        <c:auto val="1"/>
        <c:lblAlgn val="ctr"/>
        <c:lblOffset val="100"/>
        <c:noMultiLvlLbl val="0"/>
      </c:catAx>
      <c:valAx>
        <c:axId val="5487239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0410883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zh-CN" altLang="en-US"/>
          </a:p>
        </c:rich>
      </c:tx>
      <c:overlay val="0"/>
      <c:spPr>
        <a:noFill/>
        <a:ln>
          <a:noFill/>
        </a:ln>
        <a:effectLst/>
      </c:spPr>
    </c:title>
    <c:autoTitleDeleted val="0"/>
    <c:plotArea>
      <c:layout>
        <c:manualLayout>
          <c:layoutTarget val="inner"/>
          <c:xMode val="edge"/>
          <c:yMode val="edge"/>
          <c:x val="0.34513888888888899"/>
          <c:y val="0.16944444444444401"/>
          <c:w val="0.36249999999999999"/>
          <c:h val="0.60416666666666696"/>
        </c:manualLayout>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382-4818-88D4-F144F3BA115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382-4818-88D4-F144F3BA115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382-4818-88D4-F144F3BA115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382-4818-88D4-F144F3BA1150}"/>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F382-4818-88D4-F144F3BA1150}"/>
              </c:ext>
            </c:extLst>
          </c:dPt>
          <c:dLbls>
            <c:dLbl>
              <c:idx val="0"/>
              <c:layout>
                <c:manualLayout>
                  <c:x val="6.0416666666666702E-2"/>
                  <c:y val="9.0277777777777804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F382-4818-88D4-F144F3BA1150}"/>
                </c:ext>
              </c:extLst>
            </c:dLbl>
            <c:dLbl>
              <c:idx val="1"/>
              <c:layout>
                <c:manualLayout>
                  <c:x val="-2.0833333333333301E-2"/>
                  <c:y val="4.8611111111111098E-2"/>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F382-4818-88D4-F144F3BA1150}"/>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F382-4818-88D4-F144F3BA1150}"/>
                </c:ext>
              </c:extLst>
            </c:dLbl>
            <c:dLbl>
              <c:idx val="3"/>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F382-4818-88D4-F144F3BA1150}"/>
                </c:ext>
              </c:extLst>
            </c:dLbl>
            <c:dLbl>
              <c:idx val="4"/>
              <c:layout>
                <c:manualLayout>
                  <c:x val="-4.5833333333333302E-2"/>
                  <c:y val="6.25E-2"/>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F382-4818-88D4-F144F3BA1150}"/>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prstDash val="solid"/>
                  <a:round/>
                </a:ln>
                <a:effectLst/>
              </c:spPr>
            </c:leaderLines>
            <c:extLst>
              <c:ext xmlns:c15="http://schemas.microsoft.com/office/drawing/2012/chart" uri="{CE6537A1-D6FC-4f65-9D91-7224C49458BB}"/>
            </c:extLst>
          </c:dLbls>
          <c:cat>
            <c:strRef>
              <c:f>[行业分析报告数据.xlsx]Sheet1!$L$32:$L$36</c:f>
              <c:strCache>
                <c:ptCount val="5"/>
                <c:pt idx="0">
                  <c:v>大型商业银行</c:v>
                </c:pt>
                <c:pt idx="1">
                  <c:v>股份制商业银行</c:v>
                </c:pt>
                <c:pt idx="2">
                  <c:v>城市商业银行</c:v>
                </c:pt>
                <c:pt idx="3">
                  <c:v>农村商业银行</c:v>
                </c:pt>
                <c:pt idx="4">
                  <c:v>其他金融机构</c:v>
                </c:pt>
              </c:strCache>
            </c:strRef>
          </c:cat>
          <c:val>
            <c:numRef>
              <c:f>[行业分析报告数据.xlsx]Sheet1!$M$32:$M$36</c:f>
              <c:numCache>
                <c:formatCode>0.00%</c:formatCode>
                <c:ptCount val="5"/>
                <c:pt idx="0">
                  <c:v>5.9700000000000003E-2</c:v>
                </c:pt>
                <c:pt idx="1">
                  <c:v>4.58E-2</c:v>
                </c:pt>
                <c:pt idx="2">
                  <c:v>8.2699999999999996E-2</c:v>
                </c:pt>
                <c:pt idx="3">
                  <c:v>5.3600000000000002E-2</c:v>
                </c:pt>
                <c:pt idx="4">
                  <c:v>7.6999999999999999E-2</c:v>
                </c:pt>
              </c:numCache>
            </c:numRef>
          </c:val>
          <c:extLst>
            <c:ext xmlns:c16="http://schemas.microsoft.com/office/drawing/2014/chart" uri="{C3380CC4-5D6E-409C-BE32-E72D297353CC}">
              <c16:uniqueId val="{0000000A-F382-4818-88D4-F144F3BA1150}"/>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[行业分析报告数据.xlsx]Sheet4!$Q$7</c:f>
              <c:strCache>
                <c:ptCount val="1"/>
                <c:pt idx="0">
                  <c:v>净息差</c:v>
                </c:pt>
              </c:strCache>
            </c:strRef>
          </c:tx>
          <c:spPr>
            <a:ln w="28575" cap="rnd">
              <a:solidFill>
                <a:schemeClr val="accent2"/>
              </a:solidFill>
              <a:round/>
            </a:ln>
            <a:effectLst/>
          </c:spPr>
          <c:marker>
            <c:symbol val="none"/>
          </c:marker>
          <c:cat>
            <c:strRef>
              <c:f>[行业分析报告数据.xlsx]Sheet4!$O$8:$O$15</c:f>
              <c:strCache>
                <c:ptCount val="8"/>
                <c:pt idx="0">
                  <c:v>2017.Q1</c:v>
                </c:pt>
                <c:pt idx="1">
                  <c:v>2017.Q2</c:v>
                </c:pt>
                <c:pt idx="2">
                  <c:v>2017.Q3</c:v>
                </c:pt>
                <c:pt idx="3">
                  <c:v>2017.Q4</c:v>
                </c:pt>
                <c:pt idx="4">
                  <c:v>2018.Q1</c:v>
                </c:pt>
                <c:pt idx="5">
                  <c:v>2018.Q2</c:v>
                </c:pt>
                <c:pt idx="6">
                  <c:v>2018.Q3</c:v>
                </c:pt>
                <c:pt idx="7">
                  <c:v>2018.Q4</c:v>
                </c:pt>
              </c:strCache>
            </c:strRef>
          </c:cat>
          <c:val>
            <c:numRef>
              <c:f>[行业分析报告数据.xlsx]Sheet4!$Q$8:$Q$15</c:f>
              <c:numCache>
                <c:formatCode>0.00%</c:formatCode>
                <c:ptCount val="8"/>
                <c:pt idx="0">
                  <c:v>2.0299999999999999E-2</c:v>
                </c:pt>
                <c:pt idx="1">
                  <c:v>2.0500000000000001E-2</c:v>
                </c:pt>
                <c:pt idx="2">
                  <c:v>2.07E-2</c:v>
                </c:pt>
                <c:pt idx="3">
                  <c:v>2.1000000000000001E-2</c:v>
                </c:pt>
                <c:pt idx="4" formatCode="0%">
                  <c:v>2.0799999999999999E-2</c:v>
                </c:pt>
                <c:pt idx="5">
                  <c:v>2.12E-2</c:v>
                </c:pt>
                <c:pt idx="6">
                  <c:v>2.1499999999999998E-2</c:v>
                </c:pt>
                <c:pt idx="7">
                  <c:v>2.18E-2</c:v>
                </c:pt>
              </c:numCache>
            </c:numRef>
          </c:val>
          <c:smooth val="0"/>
          <c:extLst>
            <c:ext xmlns:c16="http://schemas.microsoft.com/office/drawing/2014/chart" uri="{C3380CC4-5D6E-409C-BE32-E72D297353CC}">
              <c16:uniqueId val="{00000000-9C9B-4346-A6F2-3673B1DEDBC1}"/>
            </c:ext>
          </c:extLst>
        </c:ser>
        <c:dLbls>
          <c:showLegendKey val="0"/>
          <c:showVal val="0"/>
          <c:showCatName val="0"/>
          <c:showSerName val="0"/>
          <c:showPercent val="0"/>
          <c:showBubbleSize val="0"/>
        </c:dLbls>
        <c:smooth val="0"/>
        <c:axId val="359358086"/>
        <c:axId val="942830744"/>
      </c:lineChart>
      <c:catAx>
        <c:axId val="35935808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2830744"/>
        <c:crosses val="autoZero"/>
        <c:auto val="1"/>
        <c:lblAlgn val="ctr"/>
        <c:lblOffset val="100"/>
        <c:noMultiLvlLbl val="0"/>
      </c:catAx>
      <c:valAx>
        <c:axId val="942830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5935808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[行业分析报告数据.xlsx]Sheet4!$B$16</c:f>
              <c:strCache>
                <c:ptCount val="1"/>
                <c:pt idx="0">
                  <c:v>资产利润率</c:v>
                </c:pt>
              </c:strCache>
            </c:strRef>
          </c:tx>
          <c:spPr>
            <a:solidFill>
              <a:schemeClr val="accent1"/>
            </a:solidFill>
            <a:ln>
              <a:noFill/>
            </a:ln>
            <a:effectLst/>
          </c:spPr>
          <c:invertIfNegative val="0"/>
          <c:cat>
            <c:strRef>
              <c:f>[行业分析报告数据.xlsx]Sheet4!$A$17:$A$28</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[行业分析报告数据.xlsx]Sheet4!$B$17:$B$28</c:f>
              <c:numCache>
                <c:formatCode>0.00%</c:formatCode>
                <c:ptCount val="12"/>
                <c:pt idx="0">
                  <c:v>1.1900000000000001E-2</c:v>
                </c:pt>
                <c:pt idx="1">
                  <c:v>1.11E-2</c:v>
                </c:pt>
                <c:pt idx="2">
                  <c:v>1.0800000000000001E-2</c:v>
                </c:pt>
                <c:pt idx="3">
                  <c:v>9.7999999999999997E-3</c:v>
                </c:pt>
                <c:pt idx="4">
                  <c:v>1.0699999999999999E-2</c:v>
                </c:pt>
                <c:pt idx="5">
                  <c:v>1.04E-2</c:v>
                </c:pt>
                <c:pt idx="6">
                  <c:v>1.0200000000000001E-2</c:v>
                </c:pt>
                <c:pt idx="7">
                  <c:v>9.1999999999999998E-3</c:v>
                </c:pt>
                <c:pt idx="8">
                  <c:v>1.0500000000000001E-2</c:v>
                </c:pt>
                <c:pt idx="9">
                  <c:v>1.03E-2</c:v>
                </c:pt>
                <c:pt idx="10" formatCode="0%">
                  <c:v>0.01</c:v>
                </c:pt>
                <c:pt idx="11">
                  <c:v>8.9999999999999993E-3</c:v>
                </c:pt>
              </c:numCache>
            </c:numRef>
          </c:val>
          <c:extLst>
            <c:ext xmlns:c16="http://schemas.microsoft.com/office/drawing/2014/chart" uri="{C3380CC4-5D6E-409C-BE32-E72D297353CC}">
              <c16:uniqueId val="{00000000-AFA0-43EA-8AD0-85FAF22447C0}"/>
            </c:ext>
          </c:extLst>
        </c:ser>
        <c:dLbls>
          <c:showLegendKey val="0"/>
          <c:showVal val="0"/>
          <c:showCatName val="0"/>
          <c:showSerName val="0"/>
          <c:showPercent val="0"/>
          <c:showBubbleSize val="0"/>
        </c:dLbls>
        <c:gapWidth val="150"/>
        <c:axId val="636104032"/>
        <c:axId val="851695168"/>
      </c:barChart>
      <c:lineChart>
        <c:grouping val="standard"/>
        <c:varyColors val="0"/>
        <c:ser>
          <c:idx val="1"/>
          <c:order val="1"/>
          <c:tx>
            <c:strRef>
              <c:f>[行业分析报告数据.xlsx]Sheet4!$C$16</c:f>
              <c:strCache>
                <c:ptCount val="1"/>
                <c:pt idx="0">
                  <c:v>净利润（本年累计）</c:v>
                </c:pt>
              </c:strCache>
            </c:strRef>
          </c:tx>
          <c:spPr>
            <a:ln w="28575" cap="rnd">
              <a:solidFill>
                <a:schemeClr val="accent2"/>
              </a:solidFill>
              <a:round/>
            </a:ln>
            <a:effectLst/>
          </c:spPr>
          <c:marker>
            <c:symbol val="none"/>
          </c:marker>
          <c:cat>
            <c:strRef>
              <c:f>[行业分析报告数据.xlsx]Sheet4!$A$17:$A$28</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[行业分析报告数据.xlsx]Sheet4!$C$17:$C$28</c:f>
              <c:numCache>
                <c:formatCode>General</c:formatCode>
                <c:ptCount val="12"/>
                <c:pt idx="0">
                  <c:v>4716</c:v>
                </c:pt>
                <c:pt idx="1">
                  <c:v>8991</c:v>
                </c:pt>
                <c:pt idx="2">
                  <c:v>13290</c:v>
                </c:pt>
                <c:pt idx="3">
                  <c:v>16490</c:v>
                </c:pt>
                <c:pt idx="4">
                  <c:v>4933</c:v>
                </c:pt>
                <c:pt idx="5">
                  <c:v>9703</c:v>
                </c:pt>
                <c:pt idx="6">
                  <c:v>14274</c:v>
                </c:pt>
                <c:pt idx="7">
                  <c:v>17477</c:v>
                </c:pt>
                <c:pt idx="8">
                  <c:v>5222</c:v>
                </c:pt>
                <c:pt idx="9">
                  <c:v>10322</c:v>
                </c:pt>
                <c:pt idx="10">
                  <c:v>15118</c:v>
                </c:pt>
                <c:pt idx="11">
                  <c:v>18302</c:v>
                </c:pt>
              </c:numCache>
            </c:numRef>
          </c:val>
          <c:smooth val="0"/>
          <c:extLst>
            <c:ext xmlns:c16="http://schemas.microsoft.com/office/drawing/2014/chart" uri="{C3380CC4-5D6E-409C-BE32-E72D297353CC}">
              <c16:uniqueId val="{00000001-AFA0-43EA-8AD0-85FAF22447C0}"/>
            </c:ext>
          </c:extLst>
        </c:ser>
        <c:dLbls>
          <c:showLegendKey val="0"/>
          <c:showVal val="0"/>
          <c:showCatName val="0"/>
          <c:showSerName val="0"/>
          <c:showPercent val="0"/>
          <c:showBubbleSize val="0"/>
        </c:dLbls>
        <c:marker val="1"/>
        <c:smooth val="0"/>
        <c:axId val="718589367"/>
        <c:axId val="289368666"/>
      </c:lineChart>
      <c:catAx>
        <c:axId val="6361040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51695168"/>
        <c:crosses val="autoZero"/>
        <c:auto val="1"/>
        <c:lblAlgn val="ctr"/>
        <c:lblOffset val="100"/>
        <c:noMultiLvlLbl val="0"/>
      </c:catAx>
      <c:valAx>
        <c:axId val="8516951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6104032"/>
        <c:crosses val="autoZero"/>
        <c:crossBetween val="between"/>
      </c:valAx>
      <c:catAx>
        <c:axId val="718589367"/>
        <c:scaling>
          <c:orientation val="minMax"/>
        </c:scaling>
        <c:delete val="1"/>
        <c:axPos val="b"/>
        <c:numFmt formatCode="General" sourceLinked="1"/>
        <c:majorTickMark val="none"/>
        <c:minorTickMark val="none"/>
        <c:tickLblPos val="nextTo"/>
        <c:crossAx val="289368666"/>
        <c:crosses val="autoZero"/>
        <c:auto val="1"/>
        <c:lblAlgn val="ctr"/>
        <c:lblOffset val="100"/>
        <c:noMultiLvlLbl val="0"/>
      </c:catAx>
      <c:valAx>
        <c:axId val="289368666"/>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18589367"/>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[行业分析报告数据.xlsx]Sheet4!$B$32</c:f>
              <c:strCache>
                <c:ptCount val="1"/>
                <c:pt idx="0">
                  <c:v>资产利润率</c:v>
                </c:pt>
              </c:strCache>
            </c:strRef>
          </c:tx>
          <c:spPr>
            <a:solidFill>
              <a:schemeClr val="accent1"/>
            </a:solidFill>
            <a:ln>
              <a:noFill/>
            </a:ln>
            <a:effectLst/>
          </c:spPr>
          <c:invertIfNegative val="0"/>
          <c:cat>
            <c:numRef>
              <c:f>[行业分析报告数据.xlsx]Sheet4!$A$33:$A$35</c:f>
              <c:numCache>
                <c:formatCode>General</c:formatCode>
                <c:ptCount val="3"/>
                <c:pt idx="0">
                  <c:v>2016</c:v>
                </c:pt>
                <c:pt idx="1">
                  <c:v>2017</c:v>
                </c:pt>
                <c:pt idx="2">
                  <c:v>2018</c:v>
                </c:pt>
              </c:numCache>
            </c:numRef>
          </c:cat>
          <c:val>
            <c:numRef>
              <c:f>[行业分析报告数据.xlsx]Sheet4!$B$33:$B$35</c:f>
              <c:numCache>
                <c:formatCode>0.00%</c:formatCode>
                <c:ptCount val="3"/>
                <c:pt idx="0">
                  <c:v>9.7999999999999997E-3</c:v>
                </c:pt>
                <c:pt idx="1">
                  <c:v>9.1999999999999998E-3</c:v>
                </c:pt>
                <c:pt idx="2">
                  <c:v>8.9999999999999993E-3</c:v>
                </c:pt>
              </c:numCache>
            </c:numRef>
          </c:val>
          <c:extLst>
            <c:ext xmlns:c16="http://schemas.microsoft.com/office/drawing/2014/chart" uri="{C3380CC4-5D6E-409C-BE32-E72D297353CC}">
              <c16:uniqueId val="{00000000-A74B-46BC-A7B6-1B533702DC4C}"/>
            </c:ext>
          </c:extLst>
        </c:ser>
        <c:dLbls>
          <c:showLegendKey val="0"/>
          <c:showVal val="0"/>
          <c:showCatName val="0"/>
          <c:showSerName val="0"/>
          <c:showPercent val="0"/>
          <c:showBubbleSize val="0"/>
        </c:dLbls>
        <c:gapWidth val="150"/>
        <c:axId val="518924574"/>
        <c:axId val="388169626"/>
      </c:barChart>
      <c:lineChart>
        <c:grouping val="standard"/>
        <c:varyColors val="0"/>
        <c:ser>
          <c:idx val="1"/>
          <c:order val="1"/>
          <c:tx>
            <c:strRef>
              <c:f>[行业分析报告数据.xlsx]Sheet4!$C$32</c:f>
              <c:strCache>
                <c:ptCount val="1"/>
                <c:pt idx="0">
                  <c:v>净利润（本年累计）</c:v>
                </c:pt>
              </c:strCache>
            </c:strRef>
          </c:tx>
          <c:spPr>
            <a:ln w="28575" cap="rnd">
              <a:solidFill>
                <a:schemeClr val="accent2"/>
              </a:solidFill>
              <a:round/>
            </a:ln>
            <a:effectLst/>
          </c:spPr>
          <c:marker>
            <c:symbol val="none"/>
          </c:marker>
          <c:cat>
            <c:numRef>
              <c:f>[行业分析报告数据.xlsx]Sheet4!$A$33:$A$35</c:f>
              <c:numCache>
                <c:formatCode>General</c:formatCode>
                <c:ptCount val="3"/>
                <c:pt idx="0">
                  <c:v>2016</c:v>
                </c:pt>
                <c:pt idx="1">
                  <c:v>2017</c:v>
                </c:pt>
                <c:pt idx="2">
                  <c:v>2018</c:v>
                </c:pt>
              </c:numCache>
            </c:numRef>
          </c:cat>
          <c:val>
            <c:numRef>
              <c:f>[行业分析报告数据.xlsx]Sheet4!$C$33:$C$35</c:f>
              <c:numCache>
                <c:formatCode>General</c:formatCode>
                <c:ptCount val="3"/>
                <c:pt idx="0">
                  <c:v>16490</c:v>
                </c:pt>
                <c:pt idx="1">
                  <c:v>17477</c:v>
                </c:pt>
                <c:pt idx="2">
                  <c:v>18302</c:v>
                </c:pt>
              </c:numCache>
            </c:numRef>
          </c:val>
          <c:smooth val="0"/>
          <c:extLst>
            <c:ext xmlns:c16="http://schemas.microsoft.com/office/drawing/2014/chart" uri="{C3380CC4-5D6E-409C-BE32-E72D297353CC}">
              <c16:uniqueId val="{00000001-A74B-46BC-A7B6-1B533702DC4C}"/>
            </c:ext>
          </c:extLst>
        </c:ser>
        <c:dLbls>
          <c:showLegendKey val="0"/>
          <c:showVal val="0"/>
          <c:showCatName val="0"/>
          <c:showSerName val="0"/>
          <c:showPercent val="0"/>
          <c:showBubbleSize val="0"/>
        </c:dLbls>
        <c:marker val="1"/>
        <c:smooth val="0"/>
        <c:axId val="197365669"/>
        <c:axId val="475322286"/>
      </c:lineChart>
      <c:catAx>
        <c:axId val="51892457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8169626"/>
        <c:crosses val="autoZero"/>
        <c:auto val="1"/>
        <c:lblAlgn val="ctr"/>
        <c:lblOffset val="100"/>
        <c:noMultiLvlLbl val="0"/>
      </c:catAx>
      <c:valAx>
        <c:axId val="38816962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8924574"/>
        <c:crosses val="autoZero"/>
        <c:crossBetween val="between"/>
      </c:valAx>
      <c:catAx>
        <c:axId val="197365669"/>
        <c:scaling>
          <c:orientation val="minMax"/>
        </c:scaling>
        <c:delete val="1"/>
        <c:axPos val="b"/>
        <c:numFmt formatCode="General" sourceLinked="1"/>
        <c:majorTickMark val="out"/>
        <c:minorTickMark val="none"/>
        <c:tickLblPos val="nextTo"/>
        <c:crossAx val="475322286"/>
        <c:crosses val="autoZero"/>
        <c:auto val="1"/>
        <c:lblAlgn val="ctr"/>
        <c:lblOffset val="100"/>
        <c:noMultiLvlLbl val="0"/>
      </c:catAx>
      <c:valAx>
        <c:axId val="475322286"/>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97365669"/>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[行业分析报告数据.xlsx]Sheet4!$P$50</c:f>
              <c:strCache>
                <c:ptCount val="1"/>
                <c:pt idx="0">
                  <c:v>2016</c:v>
                </c:pt>
              </c:strCache>
            </c:strRef>
          </c:tx>
          <c:spPr>
            <a:solidFill>
              <a:schemeClr val="accent1"/>
            </a:solidFill>
            <a:ln>
              <a:noFill/>
            </a:ln>
            <a:effectLst/>
          </c:spPr>
          <c:invertIfNegative val="0"/>
          <c:cat>
            <c:strRef>
              <c:f>[行业分析报告数据.xlsx]Sheet4!$O$51:$O$55</c:f>
              <c:strCache>
                <c:ptCount val="5"/>
                <c:pt idx="0">
                  <c:v>大型商业银行</c:v>
                </c:pt>
                <c:pt idx="1">
                  <c:v>股份制商业银行</c:v>
                </c:pt>
                <c:pt idx="2">
                  <c:v>城市商业银行</c:v>
                </c:pt>
                <c:pt idx="3">
                  <c:v>农村商业银行</c:v>
                </c:pt>
                <c:pt idx="4">
                  <c:v>外资银行</c:v>
                </c:pt>
              </c:strCache>
            </c:strRef>
          </c:cat>
          <c:val>
            <c:numRef>
              <c:f>[行业分析报告数据.xlsx]Sheet4!$P$51:$P$55</c:f>
              <c:numCache>
                <c:formatCode>0.00%</c:formatCode>
                <c:ptCount val="5"/>
                <c:pt idx="0">
                  <c:v>1.0699999999999999E-2</c:v>
                </c:pt>
                <c:pt idx="1">
                  <c:v>8.8000000000000005E-3</c:v>
                </c:pt>
                <c:pt idx="2">
                  <c:v>8.8000000000000005E-3</c:v>
                </c:pt>
                <c:pt idx="3">
                  <c:v>1.01E-2</c:v>
                </c:pt>
                <c:pt idx="4">
                  <c:v>4.5999999999999999E-3</c:v>
                </c:pt>
              </c:numCache>
            </c:numRef>
          </c:val>
          <c:extLst>
            <c:ext xmlns:c16="http://schemas.microsoft.com/office/drawing/2014/chart" uri="{C3380CC4-5D6E-409C-BE32-E72D297353CC}">
              <c16:uniqueId val="{00000000-3B17-423C-870B-757128D6CF83}"/>
            </c:ext>
          </c:extLst>
        </c:ser>
        <c:ser>
          <c:idx val="1"/>
          <c:order val="1"/>
          <c:tx>
            <c:strRef>
              <c:f>[行业分析报告数据.xlsx]Sheet4!$Q$50</c:f>
              <c:strCache>
                <c:ptCount val="1"/>
                <c:pt idx="0">
                  <c:v>2017</c:v>
                </c:pt>
              </c:strCache>
            </c:strRef>
          </c:tx>
          <c:spPr>
            <a:solidFill>
              <a:schemeClr val="accent2"/>
            </a:solidFill>
            <a:ln>
              <a:noFill/>
            </a:ln>
            <a:effectLst/>
          </c:spPr>
          <c:invertIfNegative val="0"/>
          <c:cat>
            <c:strRef>
              <c:f>[行业分析报告数据.xlsx]Sheet4!$O$51:$O$55</c:f>
              <c:strCache>
                <c:ptCount val="5"/>
                <c:pt idx="0">
                  <c:v>大型商业银行</c:v>
                </c:pt>
                <c:pt idx="1">
                  <c:v>股份制商业银行</c:v>
                </c:pt>
                <c:pt idx="2">
                  <c:v>城市商业银行</c:v>
                </c:pt>
                <c:pt idx="3">
                  <c:v>农村商业银行</c:v>
                </c:pt>
                <c:pt idx="4">
                  <c:v>外资银行</c:v>
                </c:pt>
              </c:strCache>
            </c:strRef>
          </c:cat>
          <c:val>
            <c:numRef>
              <c:f>[行业分析报告数据.xlsx]Sheet4!$Q$51:$Q$55</c:f>
              <c:numCache>
                <c:formatCode>0.00%</c:formatCode>
                <c:ptCount val="5"/>
                <c:pt idx="0">
                  <c:v>1.0200000000000001E-2</c:v>
                </c:pt>
                <c:pt idx="1">
                  <c:v>8.3000000000000001E-3</c:v>
                </c:pt>
                <c:pt idx="2">
                  <c:v>8.3000000000000001E-3</c:v>
                </c:pt>
                <c:pt idx="3">
                  <c:v>8.9999999999999993E-3</c:v>
                </c:pt>
                <c:pt idx="4">
                  <c:v>4.7999999999999996E-3</c:v>
                </c:pt>
              </c:numCache>
            </c:numRef>
          </c:val>
          <c:extLst>
            <c:ext xmlns:c16="http://schemas.microsoft.com/office/drawing/2014/chart" uri="{C3380CC4-5D6E-409C-BE32-E72D297353CC}">
              <c16:uniqueId val="{00000001-3B17-423C-870B-757128D6CF83}"/>
            </c:ext>
          </c:extLst>
        </c:ser>
        <c:ser>
          <c:idx val="2"/>
          <c:order val="2"/>
          <c:tx>
            <c:strRef>
              <c:f>[行业分析报告数据.xlsx]Sheet4!$R$50</c:f>
              <c:strCache>
                <c:ptCount val="1"/>
                <c:pt idx="0">
                  <c:v>2018</c:v>
                </c:pt>
              </c:strCache>
            </c:strRef>
          </c:tx>
          <c:spPr>
            <a:solidFill>
              <a:schemeClr val="accent3"/>
            </a:solidFill>
            <a:ln>
              <a:noFill/>
            </a:ln>
            <a:effectLst/>
          </c:spPr>
          <c:invertIfNegative val="0"/>
          <c:cat>
            <c:strRef>
              <c:f>[行业分析报告数据.xlsx]Sheet4!$O$51:$O$55</c:f>
              <c:strCache>
                <c:ptCount val="5"/>
                <c:pt idx="0">
                  <c:v>大型商业银行</c:v>
                </c:pt>
                <c:pt idx="1">
                  <c:v>股份制商业银行</c:v>
                </c:pt>
                <c:pt idx="2">
                  <c:v>城市商业银行</c:v>
                </c:pt>
                <c:pt idx="3">
                  <c:v>农村商业银行</c:v>
                </c:pt>
                <c:pt idx="4">
                  <c:v>外资银行</c:v>
                </c:pt>
              </c:strCache>
            </c:strRef>
          </c:cat>
          <c:val>
            <c:numRef>
              <c:f>[行业分析报告数据.xlsx]Sheet4!$R$51:$R$55</c:f>
              <c:numCache>
                <c:formatCode>0.00%</c:formatCode>
                <c:ptCount val="5"/>
                <c:pt idx="0" formatCode="0%">
                  <c:v>0.01</c:v>
                </c:pt>
                <c:pt idx="1">
                  <c:v>8.3999999999999995E-3</c:v>
                </c:pt>
                <c:pt idx="2">
                  <c:v>7.4000000000000003E-3</c:v>
                </c:pt>
                <c:pt idx="3">
                  <c:v>8.3999999999999995E-3</c:v>
                </c:pt>
                <c:pt idx="4">
                  <c:v>7.4999999999999997E-3</c:v>
                </c:pt>
              </c:numCache>
            </c:numRef>
          </c:val>
          <c:extLst>
            <c:ext xmlns:c16="http://schemas.microsoft.com/office/drawing/2014/chart" uri="{C3380CC4-5D6E-409C-BE32-E72D297353CC}">
              <c16:uniqueId val="{00000002-3B17-423C-870B-757128D6CF83}"/>
            </c:ext>
          </c:extLst>
        </c:ser>
        <c:dLbls>
          <c:showLegendKey val="0"/>
          <c:showVal val="0"/>
          <c:showCatName val="0"/>
          <c:showSerName val="0"/>
          <c:showPercent val="0"/>
          <c:showBubbleSize val="0"/>
        </c:dLbls>
        <c:gapWidth val="219"/>
        <c:overlap val="-27"/>
        <c:axId val="887739935"/>
        <c:axId val="773660539"/>
      </c:barChart>
      <c:catAx>
        <c:axId val="88773993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3660539"/>
        <c:crosses val="autoZero"/>
        <c:auto val="1"/>
        <c:lblAlgn val="ctr"/>
        <c:lblOffset val="100"/>
        <c:noMultiLvlLbl val="0"/>
      </c:catAx>
      <c:valAx>
        <c:axId val="7736605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7739935"/>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[行业分析报告数据.xlsx]Sheet4!$P$59</c:f>
              <c:strCache>
                <c:ptCount val="1"/>
                <c:pt idx="0">
                  <c:v>大型商业银行</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[行业分析报告数据.xlsx]Sheet4!$O$60:$O$71</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[行业分析报告数据.xlsx]Sheet4!$P$60:$P$71</c:f>
              <c:numCache>
                <c:formatCode>0.00%</c:formatCode>
                <c:ptCount val="12"/>
                <c:pt idx="0">
                  <c:v>1.72E-2</c:v>
                </c:pt>
                <c:pt idx="1">
                  <c:v>1.6899999999999998E-2</c:v>
                </c:pt>
                <c:pt idx="2">
                  <c:v>1.67E-2</c:v>
                </c:pt>
                <c:pt idx="3">
                  <c:v>1.6799999999999999E-2</c:v>
                </c:pt>
                <c:pt idx="4">
                  <c:v>1.6400000000000001E-2</c:v>
                </c:pt>
                <c:pt idx="5">
                  <c:v>1.6E-2</c:v>
                </c:pt>
                <c:pt idx="6">
                  <c:v>1.54E-2</c:v>
                </c:pt>
                <c:pt idx="7">
                  <c:v>1.5299999999999999E-2</c:v>
                </c:pt>
                <c:pt idx="8">
                  <c:v>1.4999999999999999E-2</c:v>
                </c:pt>
                <c:pt idx="9">
                  <c:v>1.4800000000000001E-2</c:v>
                </c:pt>
                <c:pt idx="10">
                  <c:v>1.47E-2</c:v>
                </c:pt>
                <c:pt idx="11">
                  <c:v>1.41E-2</c:v>
                </c:pt>
              </c:numCache>
            </c:numRef>
          </c:val>
          <c:smooth val="0"/>
          <c:extLst>
            <c:ext xmlns:c16="http://schemas.microsoft.com/office/drawing/2014/chart" uri="{C3380CC4-5D6E-409C-BE32-E72D297353CC}">
              <c16:uniqueId val="{00000000-5CB4-4131-963B-70A6EC91DD09}"/>
            </c:ext>
          </c:extLst>
        </c:ser>
        <c:ser>
          <c:idx val="1"/>
          <c:order val="1"/>
          <c:tx>
            <c:strRef>
              <c:f>[行业分析报告数据.xlsx]Sheet4!$Q$59</c:f>
              <c:strCache>
                <c:ptCount val="1"/>
                <c:pt idx="0">
                  <c:v>股份制商业银行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[行业分析报告数据.xlsx]Sheet4!$O$60:$O$71</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[行业分析报告数据.xlsx]Sheet4!$Q$60:$Q$71</c:f>
              <c:numCache>
                <c:formatCode>0.00%</c:formatCode>
                <c:ptCount val="12"/>
                <c:pt idx="0">
                  <c:v>1.61E-2</c:v>
                </c:pt>
                <c:pt idx="1">
                  <c:v>1.6299999999999999E-2</c:v>
                </c:pt>
                <c:pt idx="2">
                  <c:v>1.67E-2</c:v>
                </c:pt>
                <c:pt idx="3">
                  <c:v>1.7399999999999999E-2</c:v>
                </c:pt>
                <c:pt idx="4">
                  <c:v>1.7399999999999999E-2</c:v>
                </c:pt>
                <c:pt idx="5">
                  <c:v>1.7299999999999999E-2</c:v>
                </c:pt>
                <c:pt idx="6">
                  <c:v>1.7600000000000001E-2</c:v>
                </c:pt>
                <c:pt idx="7">
                  <c:v>1.7100000000000001E-2</c:v>
                </c:pt>
                <c:pt idx="8">
                  <c:v>1.7000000000000001E-2</c:v>
                </c:pt>
                <c:pt idx="9">
                  <c:v>1.6899999999999998E-2</c:v>
                </c:pt>
                <c:pt idx="10">
                  <c:v>1.7000000000000001E-2</c:v>
                </c:pt>
                <c:pt idx="11">
                  <c:v>1.7100000000000001E-2</c:v>
                </c:pt>
              </c:numCache>
            </c:numRef>
          </c:val>
          <c:smooth val="0"/>
          <c:extLst>
            <c:ext xmlns:c16="http://schemas.microsoft.com/office/drawing/2014/chart" uri="{C3380CC4-5D6E-409C-BE32-E72D297353CC}">
              <c16:uniqueId val="{00000001-5CB4-4131-963B-70A6EC91DD09}"/>
            </c:ext>
          </c:extLst>
        </c:ser>
        <c:ser>
          <c:idx val="2"/>
          <c:order val="2"/>
          <c:tx>
            <c:strRef>
              <c:f>[行业分析报告数据.xlsx]Sheet4!$R$59</c:f>
              <c:strCache>
                <c:ptCount val="1"/>
                <c:pt idx="0">
                  <c:v>城市商业银行</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[行业分析报告数据.xlsx]Sheet4!$O$60:$O$71</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[行业分析报告数据.xlsx]Sheet4!$R$60:$R$71</c:f>
              <c:numCache>
                <c:formatCode>0.00%</c:formatCode>
                <c:ptCount val="12"/>
                <c:pt idx="0">
                  <c:v>1.46E-2</c:v>
                </c:pt>
                <c:pt idx="1">
                  <c:v>1.49E-2</c:v>
                </c:pt>
                <c:pt idx="2">
                  <c:v>1.5100000000000001E-2</c:v>
                </c:pt>
                <c:pt idx="3">
                  <c:v>1.4800000000000001E-2</c:v>
                </c:pt>
                <c:pt idx="4">
                  <c:v>1.4999999999999999E-2</c:v>
                </c:pt>
                <c:pt idx="5">
                  <c:v>1.5100000000000001E-2</c:v>
                </c:pt>
                <c:pt idx="6">
                  <c:v>1.5100000000000001E-2</c:v>
                </c:pt>
                <c:pt idx="7">
                  <c:v>1.5299999999999999E-2</c:v>
                </c:pt>
                <c:pt idx="8">
                  <c:v>1.5299999999999999E-2</c:v>
                </c:pt>
                <c:pt idx="9">
                  <c:v>1.5699999999999999E-2</c:v>
                </c:pt>
                <c:pt idx="10">
                  <c:v>1.67E-2</c:v>
                </c:pt>
                <c:pt idx="11">
                  <c:v>1.7899999999999999E-2</c:v>
                </c:pt>
              </c:numCache>
            </c:numRef>
          </c:val>
          <c:smooth val="0"/>
          <c:extLst>
            <c:ext xmlns:c16="http://schemas.microsoft.com/office/drawing/2014/chart" uri="{C3380CC4-5D6E-409C-BE32-E72D297353CC}">
              <c16:uniqueId val="{00000002-5CB4-4131-963B-70A6EC91DD09}"/>
            </c:ext>
          </c:extLst>
        </c:ser>
        <c:ser>
          <c:idx val="3"/>
          <c:order val="3"/>
          <c:tx>
            <c:strRef>
              <c:f>[行业分析报告数据.xlsx]Sheet4!$S$59</c:f>
              <c:strCache>
                <c:ptCount val="1"/>
                <c:pt idx="0">
                  <c:v>农村商业银行</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[行业分析报告数据.xlsx]Sheet4!$O$60:$O$71</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[行业分析报告数据.xlsx]Sheet4!$S$60:$S$71</c:f>
              <c:numCache>
                <c:formatCode>0.00%</c:formatCode>
                <c:ptCount val="12"/>
                <c:pt idx="0">
                  <c:v>2.5600000000000001E-2</c:v>
                </c:pt>
                <c:pt idx="1">
                  <c:v>2.6200000000000001E-2</c:v>
                </c:pt>
                <c:pt idx="2">
                  <c:v>2.7400000000000001E-2</c:v>
                </c:pt>
                <c:pt idx="3">
                  <c:v>2.4899999999999999E-2</c:v>
                </c:pt>
                <c:pt idx="4">
                  <c:v>2.5499999999999998E-2</c:v>
                </c:pt>
                <c:pt idx="5">
                  <c:v>2.81E-2</c:v>
                </c:pt>
                <c:pt idx="6">
                  <c:v>2.9499999999999998E-2</c:v>
                </c:pt>
                <c:pt idx="7">
                  <c:v>3.1600000000000003E-2</c:v>
                </c:pt>
                <c:pt idx="8">
                  <c:v>3.2599999999999997E-2</c:v>
                </c:pt>
                <c:pt idx="9">
                  <c:v>4.2900000000000001E-2</c:v>
                </c:pt>
                <c:pt idx="10">
                  <c:v>4.2299999999999997E-2</c:v>
                </c:pt>
                <c:pt idx="11">
                  <c:v>3.9600000000000003E-2</c:v>
                </c:pt>
              </c:numCache>
            </c:numRef>
          </c:val>
          <c:smooth val="0"/>
          <c:extLst>
            <c:ext xmlns:c16="http://schemas.microsoft.com/office/drawing/2014/chart" uri="{C3380CC4-5D6E-409C-BE32-E72D297353CC}">
              <c16:uniqueId val="{00000003-5CB4-4131-963B-70A6EC91DD09}"/>
            </c:ext>
          </c:extLst>
        </c:ser>
        <c:ser>
          <c:idx val="4"/>
          <c:order val="4"/>
          <c:tx>
            <c:strRef>
              <c:f>[行业分析报告数据.xlsx]Sheet4!$T$59</c:f>
              <c:strCache>
                <c:ptCount val="1"/>
                <c:pt idx="0">
                  <c:v>外资银行</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[行业分析报告数据.xlsx]Sheet4!$O$60:$O$71</c:f>
              <c:strCache>
                <c:ptCount val="12"/>
                <c:pt idx="0">
                  <c:v>2016.Q1</c:v>
                </c:pt>
                <c:pt idx="1">
                  <c:v>2016.Q2</c:v>
                </c:pt>
                <c:pt idx="2">
                  <c:v>2016.Q3</c:v>
                </c:pt>
                <c:pt idx="3">
                  <c:v>2016.Q4</c:v>
                </c:pt>
                <c:pt idx="4">
                  <c:v>2107.Q1</c:v>
                </c:pt>
                <c:pt idx="5">
                  <c:v>2107.Q2</c:v>
                </c:pt>
                <c:pt idx="6">
                  <c:v>2107.Q3</c:v>
                </c:pt>
                <c:pt idx="7">
                  <c:v>2107.Q4</c:v>
                </c:pt>
                <c:pt idx="8">
                  <c:v>2018.Q1</c:v>
                </c:pt>
                <c:pt idx="9">
                  <c:v>2018.Q2</c:v>
                </c:pt>
                <c:pt idx="10">
                  <c:v>2018.Q3</c:v>
                </c:pt>
                <c:pt idx="11">
                  <c:v>2018.Q4</c:v>
                </c:pt>
              </c:strCache>
            </c:strRef>
          </c:cat>
          <c:val>
            <c:numRef>
              <c:f>[行业分析报告数据.xlsx]Sheet4!$T$60:$T$71</c:f>
              <c:numCache>
                <c:formatCode>0.00%</c:formatCode>
                <c:ptCount val="12"/>
                <c:pt idx="0">
                  <c:v>1.2999999999999999E-2</c:v>
                </c:pt>
                <c:pt idx="1">
                  <c:v>1.41E-2</c:v>
                </c:pt>
                <c:pt idx="2">
                  <c:v>1.41E-2</c:v>
                </c:pt>
                <c:pt idx="3">
                  <c:v>9.2999999999999992E-3</c:v>
                </c:pt>
                <c:pt idx="4">
                  <c:v>8.8999999999999999E-3</c:v>
                </c:pt>
                <c:pt idx="5">
                  <c:v>8.5000000000000006E-3</c:v>
                </c:pt>
                <c:pt idx="6">
                  <c:v>7.6E-3</c:v>
                </c:pt>
                <c:pt idx="7">
                  <c:v>7.0000000000000001E-3</c:v>
                </c:pt>
                <c:pt idx="8">
                  <c:v>6.6E-3</c:v>
                </c:pt>
                <c:pt idx="9">
                  <c:v>6.3E-3</c:v>
                </c:pt>
                <c:pt idx="10">
                  <c:v>7.3000000000000001E-3</c:v>
                </c:pt>
                <c:pt idx="11">
                  <c:v>6.8999999999999999E-3</c:v>
                </c:pt>
              </c:numCache>
            </c:numRef>
          </c:val>
          <c:smooth val="0"/>
          <c:extLst>
            <c:ext xmlns:c16="http://schemas.microsoft.com/office/drawing/2014/chart" uri="{C3380CC4-5D6E-409C-BE32-E72D297353CC}">
              <c16:uniqueId val="{00000004-5CB4-4131-963B-70A6EC91DD09}"/>
            </c:ext>
          </c:extLst>
        </c:ser>
        <c:dLbls>
          <c:showLegendKey val="0"/>
          <c:showVal val="0"/>
          <c:showCatName val="0"/>
          <c:showSerName val="0"/>
          <c:showPercent val="0"/>
          <c:showBubbleSize val="0"/>
        </c:dLbls>
        <c:marker val="1"/>
        <c:smooth val="0"/>
        <c:axId val="70771487"/>
        <c:axId val="989875080"/>
      </c:lineChart>
      <c:catAx>
        <c:axId val="707714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9875080"/>
        <c:crosses val="autoZero"/>
        <c:auto val="1"/>
        <c:lblAlgn val="ctr"/>
        <c:lblOffset val="100"/>
        <c:noMultiLvlLbl val="0"/>
      </c:catAx>
      <c:valAx>
        <c:axId val="989875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771487"/>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[行业分析报告数据.xlsx]Sheet4!$O$79</c:f>
              <c:strCache>
                <c:ptCount val="1"/>
                <c:pt idx="0">
                  <c:v>不良贷款率</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C6-4059-8A13-8236B2F2A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C6-4059-8A13-8236B2F2A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C6-4059-8A13-8236B2F2A1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C6-4059-8A13-8236B2F2A15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C6-4059-8A13-8236B2F2A151}"/>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[行业分析报告数据.xlsx]Sheet4!$P$78:$T$78</c:f>
              <c:strCache>
                <c:ptCount val="5"/>
                <c:pt idx="0">
                  <c:v>大型商业银行</c:v>
                </c:pt>
                <c:pt idx="1">
                  <c:v>股份制商业银行</c:v>
                </c:pt>
                <c:pt idx="2">
                  <c:v>城市商业银行</c:v>
                </c:pt>
                <c:pt idx="3">
                  <c:v>农村商业银行</c:v>
                </c:pt>
                <c:pt idx="4">
                  <c:v>外资银行</c:v>
                </c:pt>
              </c:strCache>
            </c:strRef>
          </c:cat>
          <c:val>
            <c:numRef>
              <c:f>[行业分析报告数据.xlsx]Sheet4!$P$79:$T$79</c:f>
              <c:numCache>
                <c:formatCode>0.00%</c:formatCode>
                <c:ptCount val="5"/>
                <c:pt idx="0">
                  <c:v>1.41E-2</c:v>
                </c:pt>
                <c:pt idx="1">
                  <c:v>1.7100000000000001E-2</c:v>
                </c:pt>
                <c:pt idx="2">
                  <c:v>1.7899999999999999E-2</c:v>
                </c:pt>
                <c:pt idx="3">
                  <c:v>3.9600000000000003E-2</c:v>
                </c:pt>
                <c:pt idx="4">
                  <c:v>6.8999999999999999E-3</c:v>
                </c:pt>
              </c:numCache>
            </c:numRef>
          </c:val>
          <c:extLst>
            <c:ext xmlns:c16="http://schemas.microsoft.com/office/drawing/2014/chart" uri="{C3380CC4-5D6E-409C-BE32-E72D297353CC}">
              <c16:uniqueId val="{0000000A-6DC6-4059-8A13-8236B2F2A15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[行业分析报告数据.xlsx]Sheet4!$Q$17</c:f>
              <c:strCache>
                <c:ptCount val="1"/>
                <c:pt idx="0">
                  <c:v>存贷比</c:v>
                </c:pt>
              </c:strCache>
            </c:strRef>
          </c:tx>
          <c:spPr>
            <a:solidFill>
              <a:schemeClr val="accent1"/>
            </a:solidFill>
            <a:ln>
              <a:noFill/>
            </a:ln>
            <a:effectLst/>
          </c:spPr>
          <c:invertIfNegative val="0"/>
          <c:cat>
            <c:strRef>
              <c:f>[行业分析报告数据.xlsx]Sheet4!$P$18:$P$29</c:f>
              <c:strCache>
                <c:ptCount val="12"/>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strCache>
            </c:strRef>
          </c:cat>
          <c:val>
            <c:numRef>
              <c:f>[行业分析报告数据.xlsx]Sheet4!$Q$18:$Q$29</c:f>
              <c:numCache>
                <c:formatCode>0.00%</c:formatCode>
                <c:ptCount val="12"/>
                <c:pt idx="0">
                  <c:v>0.67269999999999996</c:v>
                </c:pt>
                <c:pt idx="1">
                  <c:v>0.67610000000000003</c:v>
                </c:pt>
                <c:pt idx="2">
                  <c:v>0.6774</c:v>
                </c:pt>
                <c:pt idx="3">
                  <c:v>0.69120000000000004</c:v>
                </c:pt>
                <c:pt idx="4">
                  <c:v>0.6774</c:v>
                </c:pt>
                <c:pt idx="5">
                  <c:v>0.69120000000000004</c:v>
                </c:pt>
                <c:pt idx="6">
                  <c:v>0.70009999999999994</c:v>
                </c:pt>
                <c:pt idx="7">
                  <c:v>0.70550000000000002</c:v>
                </c:pt>
                <c:pt idx="8">
                  <c:v>0.71179999999999999</c:v>
                </c:pt>
                <c:pt idx="9">
                  <c:v>0.72299999999999998</c:v>
                </c:pt>
                <c:pt idx="10">
                  <c:v>0.73550000000000004</c:v>
                </c:pt>
                <c:pt idx="11">
                  <c:v>0.74339999999999995</c:v>
                </c:pt>
              </c:numCache>
            </c:numRef>
          </c:val>
          <c:extLst>
            <c:ext xmlns:c16="http://schemas.microsoft.com/office/drawing/2014/chart" uri="{C3380CC4-5D6E-409C-BE32-E72D297353CC}">
              <c16:uniqueId val="{00000000-A469-4E8C-89B9-7CE350FBBE10}"/>
            </c:ext>
          </c:extLst>
        </c:ser>
        <c:dLbls>
          <c:showLegendKey val="0"/>
          <c:showVal val="0"/>
          <c:showCatName val="0"/>
          <c:showSerName val="0"/>
          <c:showPercent val="0"/>
          <c:showBubbleSize val="0"/>
        </c:dLbls>
        <c:gapWidth val="150"/>
        <c:axId val="780686934"/>
        <c:axId val="847959317"/>
      </c:barChart>
      <c:lineChart>
        <c:grouping val="standard"/>
        <c:varyColors val="0"/>
        <c:ser>
          <c:idx val="1"/>
          <c:order val="1"/>
          <c:tx>
            <c:strRef>
              <c:f>[行业分析报告数据.xlsx]Sheet4!$R$17</c:f>
              <c:strCache>
                <c:ptCount val="1"/>
                <c:pt idx="0">
                  <c:v>流动性比例</c:v>
                </c:pt>
              </c:strCache>
            </c:strRef>
          </c:tx>
          <c:spPr>
            <a:ln w="28575" cap="rnd">
              <a:solidFill>
                <a:schemeClr val="accent2"/>
              </a:solidFill>
              <a:round/>
            </a:ln>
            <a:effectLst/>
          </c:spPr>
          <c:marker>
            <c:symbol val="none"/>
          </c:marker>
          <c:cat>
            <c:strRef>
              <c:f>[行业分析报告数据.xlsx]Sheet4!$P$18:$P$29</c:f>
              <c:strCache>
                <c:ptCount val="12"/>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strCache>
            </c:strRef>
          </c:cat>
          <c:val>
            <c:numRef>
              <c:f>[行业分析报告数据.xlsx]Sheet4!$R$18:$R$29</c:f>
              <c:numCache>
                <c:formatCode>0.00%</c:formatCode>
                <c:ptCount val="12"/>
                <c:pt idx="0">
                  <c:v>0.48080000000000001</c:v>
                </c:pt>
                <c:pt idx="1">
                  <c:v>0.48139999999999999</c:v>
                </c:pt>
                <c:pt idx="2">
                  <c:v>0.46929999999999999</c:v>
                </c:pt>
                <c:pt idx="3">
                  <c:v>0.47549999999999998</c:v>
                </c:pt>
                <c:pt idx="4">
                  <c:v>0.4874</c:v>
                </c:pt>
                <c:pt idx="5">
                  <c:v>0.49519999999999997</c:v>
                </c:pt>
                <c:pt idx="6">
                  <c:v>0.49170000000000003</c:v>
                </c:pt>
                <c:pt idx="7">
                  <c:v>0.50029999999999997</c:v>
                </c:pt>
                <c:pt idx="8">
                  <c:v>0.51390000000000002</c:v>
                </c:pt>
                <c:pt idx="9">
                  <c:v>0.5242</c:v>
                </c:pt>
                <c:pt idx="10">
                  <c:v>0.52939999999999998</c:v>
                </c:pt>
                <c:pt idx="11">
                  <c:v>0.55310000000000004</c:v>
                </c:pt>
              </c:numCache>
            </c:numRef>
          </c:val>
          <c:smooth val="0"/>
          <c:extLst>
            <c:ext xmlns:c16="http://schemas.microsoft.com/office/drawing/2014/chart" uri="{C3380CC4-5D6E-409C-BE32-E72D297353CC}">
              <c16:uniqueId val="{00000001-A469-4E8C-89B9-7CE350FBBE10}"/>
            </c:ext>
          </c:extLst>
        </c:ser>
        <c:dLbls>
          <c:showLegendKey val="0"/>
          <c:showVal val="0"/>
          <c:showCatName val="0"/>
          <c:showSerName val="0"/>
          <c:showPercent val="0"/>
          <c:showBubbleSize val="0"/>
        </c:dLbls>
        <c:marker val="1"/>
        <c:smooth val="0"/>
        <c:axId val="586314587"/>
        <c:axId val="385397217"/>
      </c:lineChart>
      <c:catAx>
        <c:axId val="7806869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47959317"/>
        <c:crosses val="autoZero"/>
        <c:auto val="1"/>
        <c:lblAlgn val="ctr"/>
        <c:lblOffset val="100"/>
        <c:noMultiLvlLbl val="0"/>
      </c:catAx>
      <c:valAx>
        <c:axId val="84795931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80686934"/>
        <c:crosses val="autoZero"/>
        <c:crossBetween val="between"/>
      </c:valAx>
      <c:catAx>
        <c:axId val="586314587"/>
        <c:scaling>
          <c:orientation val="minMax"/>
        </c:scaling>
        <c:delete val="1"/>
        <c:axPos val="b"/>
        <c:numFmt formatCode="General" sourceLinked="1"/>
        <c:majorTickMark val="out"/>
        <c:minorTickMark val="none"/>
        <c:tickLblPos val="nextTo"/>
        <c:crossAx val="385397217"/>
        <c:crosses val="autoZero"/>
        <c:auto val="1"/>
        <c:lblAlgn val="ctr"/>
        <c:lblOffset val="100"/>
        <c:noMultiLvlLbl val="0"/>
      </c:catAx>
      <c:valAx>
        <c:axId val="385397217"/>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6314587"/>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14</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索菲娅</dc:creator>
  <cp:lastModifiedBy>李传振</cp:lastModifiedBy>
  <cp:revision>3</cp:revision>
  <dcterms:created xsi:type="dcterms:W3CDTF">2019-02-25T07:34:00Z</dcterms:created>
  <dcterms:modified xsi:type="dcterms:W3CDTF">2019-04-29T14:30:00Z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KSORubyTemplateID" linkTarget="0">
    <vt:lpwstr>6</vt:lpwstr>
  </property>
</Properties>
</file>