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line="360" w:lineRule="exact"/>
        <w:ind w:firstLine="640" w:firstLineChars="200"/>
        <w:jc w:val="center"/>
        <w:textAlignment w:val="auto"/>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《经济学研究方法》2</w:t>
      </w:r>
    </w:p>
    <w:p>
      <w:pPr>
        <w:keepNext w:val="0"/>
        <w:keepLines w:val="0"/>
        <w:widowControl/>
        <w:suppressLineNumbers w:val="0"/>
        <w:ind w:firstLine="422" w:firstLineChars="200"/>
        <w:jc w:val="both"/>
        <w:rPr>
          <w:rFonts w:hint="eastAsia"/>
          <w:lang w:val="en-US" w:eastAsia="zh-CN"/>
        </w:rPr>
      </w:pPr>
      <w:r>
        <w:rPr>
          <w:rFonts w:hint="eastAsia"/>
          <w:b/>
          <w:bCs/>
          <w:color w:val="auto"/>
          <w:lang w:val="en-US" w:eastAsia="zh-CN"/>
        </w:rPr>
        <w:t>授课内容：介绍多部门增长模型（方法论），以文献</w:t>
      </w:r>
      <w:r>
        <w:rPr>
          <w:rFonts w:hint="default" w:ascii="Times New Roman" w:hAnsi="Times New Roman" w:cs="Times New Roman"/>
          <w:b w:val="0"/>
          <w:bCs w:val="0"/>
          <w:color w:val="auto"/>
          <w:lang w:val="en-US" w:eastAsia="zh-CN"/>
        </w:rPr>
        <w:t>Nagi L.R.和Pissarides A.C..</w:t>
      </w:r>
      <w:r>
        <w:rPr>
          <w:rFonts w:hint="eastAsia" w:ascii="Times New Roman" w:hAnsi="Times New Roman" w:cs="Times New Roman"/>
          <w:b w:val="0"/>
          <w:bCs w:val="0"/>
          <w:color w:val="auto"/>
          <w:lang w:val="en-US" w:eastAsia="zh-CN"/>
        </w:rPr>
        <w:t>（伦敦大学）《</w:t>
      </w:r>
      <w:r>
        <w:rPr>
          <w:rFonts w:hint="default" w:ascii="Times New Roman" w:hAnsi="Times New Roman" w:cs="Times New Roman"/>
          <w:b w:val="0"/>
          <w:bCs w:val="0"/>
          <w:color w:val="auto"/>
          <w:lang w:val="en-US" w:eastAsia="zh-CN"/>
        </w:rPr>
        <w:t>Structural Change in a Multi-Sector Model ofGrowth</w:t>
      </w:r>
      <w:r>
        <w:rPr>
          <w:rFonts w:hint="eastAsia" w:ascii="Times New Roman" w:hAnsi="Times New Roman" w:cs="Times New Roman"/>
          <w:b w:val="0"/>
          <w:bCs w:val="0"/>
          <w:color w:val="auto"/>
          <w:lang w:val="en-US" w:eastAsia="zh-CN"/>
        </w:rPr>
        <w:t>》</w:t>
      </w:r>
      <w:r>
        <w:rPr>
          <w:rFonts w:hint="default" w:ascii="Times New Roman" w:hAnsi="Times New Roman" w:cs="Times New Roman"/>
          <w:b w:val="0"/>
          <w:bCs w:val="0"/>
          <w:color w:val="auto"/>
          <w:lang w:val="en-US" w:eastAsia="zh-CN"/>
        </w:rPr>
        <w:t>”,American Economic</w:t>
      </w:r>
      <w:r>
        <w:rPr>
          <w:rFonts w:hint="eastAsia" w:ascii="Times New Roman" w:hAnsi="Times New Roman" w:cs="Times New Roman"/>
          <w:b w:val="0"/>
          <w:bCs w:val="0"/>
          <w:color w:val="auto"/>
          <w:lang w:val="en-US" w:eastAsia="zh-CN"/>
        </w:rPr>
        <w:t xml:space="preserve"> </w:t>
      </w:r>
      <w:r>
        <w:rPr>
          <w:rFonts w:hint="default" w:ascii="Times New Roman" w:hAnsi="Times New Roman" w:cs="Times New Roman"/>
          <w:b w:val="0"/>
          <w:bCs w:val="0"/>
          <w:color w:val="auto"/>
          <w:lang w:val="en-US" w:eastAsia="zh-CN"/>
        </w:rPr>
        <w:t>Review, 2007,97,429-443</w:t>
      </w:r>
      <w:r>
        <w:rPr>
          <w:rFonts w:hint="eastAsia"/>
          <w:b/>
          <w:bCs/>
          <w:color w:val="auto"/>
          <w:lang w:val="en-US" w:eastAsia="zh-CN"/>
        </w:rPr>
        <w:t>为例。</w:t>
      </w:r>
    </w:p>
    <w:p>
      <w:pPr>
        <w:keepNext w:val="0"/>
        <w:keepLines w:val="0"/>
        <w:pageBreakBefore w:val="0"/>
        <w:widowControl w:val="0"/>
        <w:tabs>
          <w:tab w:val="left" w:pos="226"/>
        </w:tabs>
        <w:kinsoku/>
        <w:wordWrap/>
        <w:overflowPunct/>
        <w:topLinePunct w:val="0"/>
        <w:autoSpaceDE/>
        <w:autoSpaceDN/>
        <w:bidi w:val="0"/>
        <w:adjustRightInd/>
        <w:snapToGrid/>
        <w:spacing w:before="95" w:beforeLines="30" w:after="95" w:afterLines="30" w:line="360" w:lineRule="exact"/>
        <w:ind w:firstLine="480" w:firstLineChars="20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一、选此方法论的研究意义说明</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rPr>
          <w:rFonts w:hint="eastAsia"/>
        </w:rPr>
        <w:t>新古典增长理论认为，在完全竞争市场条件下，自由流动的生产要素获得了效率报酬，各部门之间不存在生产率差异，生产要素的跨部门转移并不会影响总量经济增长。因此，在分析和解释一国或一地区的经济增长过程中并不需要考虑结构变迁的影响。不论是强调物质资本积累作用的</w:t>
      </w:r>
      <w:r>
        <w:rPr>
          <w:rFonts w:hint="eastAsia"/>
          <w:b/>
          <w:bCs/>
        </w:rPr>
        <w:t>第一代外生经济增长理论</w:t>
      </w:r>
      <w:r>
        <w:rPr>
          <w:rFonts w:hint="eastAsia" w:ascii="宋体" w:hAnsi="宋体" w:eastAsia="宋体" w:cs="宋体"/>
          <w:b w:val="0"/>
          <w:bCs w:val="0"/>
          <w:lang w:val="en-US" w:eastAsia="zh-CN"/>
        </w:rPr>
        <w:t>(索洛为代表)</w:t>
      </w:r>
      <w:r>
        <w:rPr>
          <w:rFonts w:hint="eastAsia"/>
        </w:rPr>
        <w:t>，还是强调技术进步影响的</w:t>
      </w:r>
      <w:r>
        <w:rPr>
          <w:rFonts w:hint="eastAsia"/>
          <w:b/>
          <w:bCs/>
        </w:rPr>
        <w:t>第二代内生经济增长理论</w:t>
      </w:r>
      <w:r>
        <w:rPr>
          <w:rFonts w:hint="eastAsia"/>
          <w:b/>
          <w:bCs/>
          <w:lang w:eastAsia="zh-CN"/>
        </w:rPr>
        <w:t>（</w:t>
      </w:r>
      <w:r>
        <w:rPr>
          <w:rFonts w:hint="eastAsia"/>
          <w:b/>
          <w:bCs/>
          <w:lang w:val="en-US" w:eastAsia="zh-CN"/>
        </w:rPr>
        <w:t>罗默为代表</w:t>
      </w:r>
      <w:r>
        <w:rPr>
          <w:rFonts w:hint="eastAsia"/>
          <w:b/>
          <w:bCs/>
          <w:lang w:eastAsia="zh-CN"/>
        </w:rPr>
        <w:t>）</w:t>
      </w:r>
      <w:r>
        <w:rPr>
          <w:rFonts w:hint="eastAsia"/>
        </w:rPr>
        <w:t>，均没有考虑部门构成变化（结构变迁）对总量经济增长的影响</w:t>
      </w:r>
      <w:r>
        <w:rPr>
          <w:rFonts w:hint="eastAsia"/>
          <w:lang w:eastAsia="zh-CN"/>
        </w:rPr>
        <w:t>（</w:t>
      </w:r>
      <w:r>
        <w:rPr>
          <w:rFonts w:hint="eastAsia" w:ascii="仿宋" w:hAnsi="仿宋" w:eastAsia="仿宋" w:cs="仿宋"/>
          <w:color w:val="1F1AF4"/>
          <w:lang w:val="en-US" w:eastAsia="zh-CN"/>
        </w:rPr>
        <w:t>旨在寻求BGP平衡增长路径</w:t>
      </w:r>
      <w:r>
        <w:rPr>
          <w:rFonts w:hint="eastAsia"/>
          <w:lang w:eastAsia="zh-CN"/>
        </w:rPr>
        <w:t>）</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黑体" w:hAnsi="黑体" w:eastAsia="黑体" w:cs="黑体"/>
          <w:b w:val="0"/>
          <w:bCs w:val="0"/>
          <w:sz w:val="24"/>
          <w:szCs w:val="24"/>
          <w:lang w:val="en-US" w:eastAsia="zh-CN"/>
        </w:rPr>
      </w:pPr>
      <w:r>
        <w:rPr>
          <w:rFonts w:hint="eastAsia"/>
        </w:rPr>
        <w:t>近年来，随着能够兼容“卡尔多事实”和“库兹涅茨事实”的</w:t>
      </w:r>
      <w:r>
        <w:rPr>
          <w:rFonts w:hint="eastAsia"/>
          <w:b/>
          <w:bCs/>
          <w:color w:val="FF0000"/>
          <w:u w:val="single"/>
        </w:rPr>
        <w:t>多部门增长理论的兴起</w:t>
      </w:r>
      <w:r>
        <w:rPr>
          <w:rFonts w:hint="eastAsia"/>
        </w:rPr>
        <w:t>，学术界重新考察了结构变迁与经济增长之间的关系，但依然获得了结构变迁不影响总量经济增长的结论</w:t>
      </w:r>
      <w:r>
        <w:rPr>
          <w:rFonts w:hint="eastAsia"/>
          <w:lang w:eastAsia="zh-CN"/>
        </w:rPr>
        <w:t>（</w:t>
      </w:r>
      <w:r>
        <w:rPr>
          <w:rFonts w:hint="eastAsia" w:ascii="仿宋" w:hAnsi="仿宋" w:eastAsia="仿宋" w:cs="仿宋"/>
          <w:color w:val="1F1AF4"/>
          <w:lang w:val="en-US" w:eastAsia="zh-CN"/>
        </w:rPr>
        <w:t>提出ABGP的“总量平衡增长路径”，意思是</w:t>
      </w:r>
      <w:r>
        <w:rPr>
          <w:rFonts w:hint="eastAsia" w:ascii="仿宋" w:hAnsi="仿宋" w:eastAsia="仿宋" w:cs="仿宋"/>
          <w:color w:val="1F1AF4"/>
        </w:rPr>
        <w:t>在多部门增长模型内，部门层面的结构变迁过程与经济体层面的平衡增长可以并存。</w:t>
      </w:r>
      <w:r>
        <w:rPr>
          <w:rFonts w:hint="eastAsia"/>
          <w:lang w:eastAsia="zh-CN"/>
        </w:rPr>
        <w:t>）</w:t>
      </w:r>
      <w:r>
        <w:rPr>
          <w:rFonts w:hint="eastAsia"/>
        </w:rPr>
        <w:t>基于多部门增长框架结构变迁的相关研究尽管成果较为丰硕，但如何运用这些成果有效指导发展中国家特别是中国的经济转型仍面临较大的挑战。随着我国经济由高速增长向中低速增长的转变，经济服务化的趋势也不断加快。在此背景下，重新审视结构变迁及其经济效应问题是顺应现阶段寻求增长动能转换和高质量发展的重要议题，对于指导中国的产业结构合理转型、推进经济可持续发展具有重要的理论和现实意义。</w:t>
      </w:r>
    </w:p>
    <w:p>
      <w:pPr>
        <w:keepNext w:val="0"/>
        <w:keepLines w:val="0"/>
        <w:pageBreakBefore w:val="0"/>
        <w:widowControl w:val="0"/>
        <w:tabs>
          <w:tab w:val="left" w:pos="226"/>
        </w:tabs>
        <w:kinsoku/>
        <w:wordWrap/>
        <w:overflowPunct/>
        <w:topLinePunct w:val="0"/>
        <w:autoSpaceDE/>
        <w:autoSpaceDN/>
        <w:bidi w:val="0"/>
        <w:adjustRightInd/>
        <w:snapToGrid/>
        <w:spacing w:before="95" w:beforeLines="30" w:after="95" w:afterLines="30" w:line="360" w:lineRule="exact"/>
        <w:ind w:firstLine="480" w:firstLineChars="200"/>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二、任务清单</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lang w:val="en-US" w:eastAsia="zh-CN"/>
        </w:rPr>
      </w:pPr>
      <w:r>
        <w:rPr>
          <w:rFonts w:hint="eastAsia"/>
          <w:lang w:val="en-US" w:eastAsia="zh-CN"/>
        </w:rPr>
        <w:t>【预习文献】自己阅读并推导式（</w:t>
      </w:r>
      <w:r>
        <w:rPr>
          <w:rFonts w:hint="default" w:ascii="Times New Roman" w:hAnsi="Times New Roman" w:cs="Times New Roman"/>
          <w:lang w:val="en-US" w:eastAsia="zh-CN"/>
        </w:rPr>
        <w:t>1</w:t>
      </w:r>
      <w:r>
        <w:rPr>
          <w:rFonts w:hint="eastAsia"/>
          <w:lang w:val="en-US" w:eastAsia="zh-CN"/>
        </w:rPr>
        <w:t>）—式（</w:t>
      </w:r>
      <w:r>
        <w:rPr>
          <w:rFonts w:hint="default" w:ascii="Times New Roman" w:hAnsi="Times New Roman" w:cs="Times New Roman"/>
          <w:lang w:val="en-US" w:eastAsia="zh-CN"/>
        </w:rPr>
        <w:t>8</w:t>
      </w:r>
      <w:r>
        <w:rPr>
          <w:rFonts w:hint="eastAsia"/>
          <w:lang w:val="en-US" w:eastAsia="zh-CN"/>
        </w:rPr>
        <w:t>），了解模型的经济环境，可推得产业部门的生产函数、要素价格、产品价格、要素配置及各部门技术进步速率。</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lang w:val="en-US" w:eastAsia="zh-CN"/>
        </w:rPr>
      </w:pPr>
      <w:r>
        <w:rPr>
          <w:rFonts w:hint="eastAsia"/>
          <w:lang w:val="en-US" w:eastAsia="zh-CN"/>
        </w:rPr>
        <w:t>【讲解文献】</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ascii="宋体" w:hAnsi="宋体" w:eastAsia="宋体" w:cs="宋体"/>
          <w:lang w:val="en-US" w:eastAsia="zh-CN"/>
        </w:rPr>
      </w:pPr>
      <w:r>
        <w:rPr>
          <w:rFonts w:hint="default" w:ascii="Times New Roman" w:hAnsi="Times New Roman" w:eastAsia="宋体" w:cs="Times New Roman"/>
          <w:lang w:val="en-US" w:eastAsia="zh-CN"/>
        </w:rPr>
        <w:t>1</w:t>
      </w:r>
      <w:r>
        <w:rPr>
          <w:rFonts w:hint="eastAsia" w:ascii="宋体" w:hAnsi="宋体" w:eastAsia="宋体" w:cs="宋体"/>
          <w:lang w:val="en-US" w:eastAsia="zh-CN"/>
        </w:rPr>
        <w:t>.推导（</w:t>
      </w:r>
      <w:r>
        <w:rPr>
          <w:rFonts w:hint="default" w:ascii="Times New Roman" w:hAnsi="Times New Roman" w:eastAsia="宋体" w:cs="Times New Roman"/>
          <w:lang w:val="en-US" w:eastAsia="zh-CN"/>
        </w:rPr>
        <w:t>2</w:t>
      </w:r>
      <w:r>
        <w:rPr>
          <w:rFonts w:hint="eastAsia" w:ascii="宋体" w:hAnsi="宋体" w:eastAsia="宋体" w:cs="宋体"/>
          <w:lang w:val="en-US" w:eastAsia="zh-CN"/>
        </w:rPr>
        <w:t>）—式（</w:t>
      </w:r>
      <w:r>
        <w:rPr>
          <w:rFonts w:hint="default" w:ascii="Times New Roman" w:hAnsi="Times New Roman" w:eastAsia="宋体" w:cs="Times New Roman"/>
          <w:lang w:val="en-US" w:eastAsia="zh-CN"/>
        </w:rPr>
        <w:t>12</w:t>
      </w:r>
      <w:r>
        <w:rPr>
          <w:rFonts w:hint="eastAsia" w:ascii="宋体" w:hAnsi="宋体" w:eastAsia="宋体" w:cs="宋体"/>
          <w:lang w:val="en-US" w:eastAsia="zh-CN"/>
        </w:rPr>
        <w:t>），分析消费者效用函数（</w:t>
      </w:r>
      <w:r>
        <w:rPr>
          <w:rFonts w:hint="default" w:ascii="Times New Roman" w:hAnsi="Times New Roman" w:eastAsia="宋体" w:cs="Times New Roman"/>
          <w:lang w:val="en-US" w:eastAsia="zh-CN"/>
        </w:rPr>
        <w:t>Ramsey</w:t>
      </w:r>
      <w:r>
        <w:rPr>
          <w:rFonts w:hint="eastAsia" w:ascii="宋体" w:hAnsi="宋体" w:eastAsia="宋体" w:cs="宋体"/>
          <w:lang w:val="en-US" w:eastAsia="zh-CN"/>
        </w:rPr>
        <w:t>形式）、消费结构、总消费、总产出之间的关系及表达式（涉及“欧拉方程”的解法）。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textAlignment w:val="auto"/>
        <w:rPr>
          <w:rFonts w:hint="eastAsia" w:ascii="宋体" w:hAnsi="宋体" w:eastAsia="宋体" w:cs="宋体"/>
          <w:lang w:val="en-US" w:eastAsia="zh-CN"/>
        </w:rPr>
      </w:pPr>
      <w:r>
        <w:rPr>
          <w:rFonts w:hint="default" w:ascii="Times New Roman" w:hAnsi="Times New Roman" w:eastAsia="宋体" w:cs="Times New Roman"/>
          <w:lang w:val="en-US" w:eastAsia="zh-CN"/>
        </w:rPr>
        <w:t>2</w:t>
      </w:r>
      <w:r>
        <w:rPr>
          <w:rFonts w:hint="eastAsia" w:ascii="宋体" w:hAnsi="宋体" w:eastAsia="宋体" w:cs="宋体"/>
          <w:lang w:val="en-US" w:eastAsia="zh-CN"/>
        </w:rPr>
        <w:t>.推导（</w:t>
      </w:r>
      <w:r>
        <w:rPr>
          <w:rFonts w:hint="default" w:ascii="Times New Roman" w:hAnsi="Times New Roman" w:eastAsia="宋体" w:cs="Times New Roman"/>
          <w:lang w:val="en-US" w:eastAsia="zh-CN"/>
        </w:rPr>
        <w:t>13</w:t>
      </w:r>
      <w:r>
        <w:rPr>
          <w:rFonts w:hint="eastAsia" w:ascii="宋体" w:hAnsi="宋体" w:eastAsia="宋体" w:cs="宋体"/>
          <w:lang w:val="en-US" w:eastAsia="zh-CN"/>
        </w:rPr>
        <w:t>）—式（</w:t>
      </w:r>
      <w:r>
        <w:rPr>
          <w:rFonts w:hint="default" w:ascii="Times New Roman" w:hAnsi="Times New Roman" w:eastAsia="宋体" w:cs="Times New Roman"/>
          <w:lang w:val="en-US" w:eastAsia="zh-CN"/>
        </w:rPr>
        <w:t>21</w:t>
      </w:r>
      <w:r>
        <w:rPr>
          <w:rFonts w:hint="eastAsia" w:ascii="宋体" w:hAnsi="宋体" w:eastAsia="宋体" w:cs="宋体"/>
          <w:lang w:val="en-US" w:eastAsia="zh-CN"/>
        </w:rPr>
        <w:t>），分析多部门经济技术进步带来结构变化。(</w:t>
      </w:r>
      <w:r>
        <w:rPr>
          <w:rFonts w:hint="default" w:ascii="Times New Roman" w:hAnsi="Times New Roman" w:eastAsia="宋体" w:cs="Times New Roman"/>
          <w:lang w:val="en-US" w:eastAsia="zh-CN"/>
        </w:rPr>
        <w:t>1</w:t>
      </w:r>
      <w:r>
        <w:rPr>
          <w:rFonts w:hint="eastAsia" w:ascii="宋体" w:hAnsi="宋体" w:eastAsia="宋体" w:cs="宋体"/>
          <w:lang w:val="en-US" w:eastAsia="zh-CN"/>
        </w:rPr>
        <w:t>)静态多部门就业结构；(</w:t>
      </w:r>
      <w:r>
        <w:rPr>
          <w:rFonts w:hint="default" w:ascii="Times New Roman" w:hAnsi="Times New Roman" w:eastAsia="宋体" w:cs="Times New Roman"/>
          <w:lang w:val="en-US" w:eastAsia="zh-CN"/>
        </w:rPr>
        <w:t>2</w:t>
      </w:r>
      <w:r>
        <w:rPr>
          <w:rFonts w:hint="eastAsia" w:ascii="宋体" w:hAnsi="宋体" w:eastAsia="宋体" w:cs="宋体"/>
          <w:lang w:val="en-US" w:eastAsia="zh-CN"/>
        </w:rPr>
        <w:t>)动态的就业结构变化。提出文献命</w:t>
      </w:r>
      <w:r>
        <w:rPr>
          <w:rFonts w:hint="default" w:ascii="Times New Roman" w:hAnsi="Times New Roman" w:eastAsia="宋体" w:cs="Times New Roman"/>
          <w:lang w:val="en-US" w:eastAsia="zh-CN"/>
        </w:rPr>
        <w:t>题1和命题2</w:t>
      </w:r>
      <w:r>
        <w:rPr>
          <w:rFonts w:hint="eastAsia" w:ascii="宋体" w:hAnsi="宋体" w:eastAsia="宋体" w:cs="宋体"/>
          <w:lang w:val="en-US" w:eastAsia="zh-CN"/>
        </w:rPr>
        <w:t>，对经济意义进行解释。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textAlignment w:val="auto"/>
        <w:rPr>
          <w:rFonts w:hint="eastAsia" w:ascii="宋体" w:hAnsi="宋体" w:eastAsia="宋体" w:cs="宋体"/>
          <w:b/>
          <w:bCs/>
          <w:color w:val="auto"/>
          <w:lang w:val="en-US" w:eastAsia="zh-CN"/>
        </w:rPr>
      </w:pPr>
      <w:r>
        <w:rPr>
          <w:rFonts w:hint="default" w:ascii="Times New Roman" w:hAnsi="Times New Roman" w:eastAsia="宋体" w:cs="Times New Roman"/>
          <w:lang w:val="en-US" w:eastAsia="zh-CN"/>
        </w:rPr>
        <w:t>3</w:t>
      </w:r>
      <w:r>
        <w:rPr>
          <w:rFonts w:hint="eastAsia" w:ascii="宋体" w:hAnsi="宋体" w:eastAsia="宋体" w:cs="宋体"/>
          <w:lang w:val="en-US" w:eastAsia="zh-CN"/>
        </w:rPr>
        <w:t>.推导（</w:t>
      </w:r>
      <w:r>
        <w:rPr>
          <w:rFonts w:hint="default" w:ascii="Times New Roman" w:hAnsi="Times New Roman" w:eastAsia="宋体" w:cs="Times New Roman"/>
          <w:lang w:val="en-US" w:eastAsia="zh-CN"/>
        </w:rPr>
        <w:t>22</w:t>
      </w:r>
      <w:r>
        <w:rPr>
          <w:rFonts w:hint="eastAsia" w:ascii="宋体" w:hAnsi="宋体" w:eastAsia="宋体" w:cs="宋体"/>
          <w:lang w:val="en-US" w:eastAsia="zh-CN"/>
        </w:rPr>
        <w:t>）—式（</w:t>
      </w:r>
      <w:r>
        <w:rPr>
          <w:rFonts w:hint="default" w:ascii="Times New Roman" w:hAnsi="Times New Roman" w:eastAsia="宋体" w:cs="Times New Roman"/>
          <w:lang w:val="en-US" w:eastAsia="zh-CN"/>
        </w:rPr>
        <w:t>27</w:t>
      </w:r>
      <w:r>
        <w:rPr>
          <w:rFonts w:hint="eastAsia" w:ascii="宋体" w:hAnsi="宋体" w:eastAsia="宋体" w:cs="宋体"/>
          <w:lang w:val="en-US" w:eastAsia="zh-CN"/>
        </w:rPr>
        <w:t>），分析存</w:t>
      </w:r>
      <w:r>
        <w:rPr>
          <w:rFonts w:hint="default" w:ascii="Times New Roman" w:hAnsi="Times New Roman" w:eastAsia="宋体" w:cs="Times New Roman"/>
          <w:lang w:val="en-US" w:eastAsia="zh-CN"/>
        </w:rPr>
        <w:t>在ABGP</w:t>
      </w:r>
      <w:r>
        <w:rPr>
          <w:rFonts w:hint="eastAsia" w:ascii="宋体" w:hAnsi="宋体" w:eastAsia="宋体" w:cs="宋体"/>
          <w:lang w:val="en-US" w:eastAsia="zh-CN"/>
        </w:rPr>
        <w:t>增长路径存在的条件（如何使部门结构变迁与经济体层面的平衡增长可以并存）。</w:t>
      </w:r>
    </w:p>
    <w:p>
      <w:pPr>
        <w:keepNext w:val="0"/>
        <w:keepLines w:val="0"/>
        <w:pageBreakBefore w:val="0"/>
        <w:widowControl w:val="0"/>
        <w:tabs>
          <w:tab w:val="left" w:pos="226"/>
        </w:tabs>
        <w:kinsoku/>
        <w:wordWrap/>
        <w:overflowPunct/>
        <w:topLinePunct w:val="0"/>
        <w:autoSpaceDE/>
        <w:autoSpaceDN/>
        <w:bidi w:val="0"/>
        <w:adjustRightInd/>
        <w:snapToGrid/>
        <w:spacing w:before="95" w:beforeLines="30" w:after="95" w:afterLines="30" w:line="360" w:lineRule="exact"/>
        <w:ind w:firstLine="480" w:firstLineChars="20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三、学习目的及效果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2" w:firstLineChars="200"/>
        <w:textAlignment w:val="auto"/>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通过文献讲解，同学们以后读文献会分析经济结构、会推导静态的均衡条件、会求解动态的欧拉经济方程、会求解动态的汉密尔顿方程。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2" w:firstLineChars="200"/>
        <w:textAlignment w:val="auto"/>
        <w:rPr>
          <w:rFonts w:hint="default" w:ascii="宋体" w:hAnsi="宋体" w:eastAsia="宋体" w:cs="宋体"/>
          <w:b/>
          <w:bCs/>
          <w:color w:val="FF0000"/>
          <w:lang w:val="en-US" w:eastAsia="zh-CN"/>
        </w:rPr>
      </w:pPr>
      <w:r>
        <w:rPr>
          <w:rFonts w:hint="eastAsia" w:ascii="宋体" w:hAnsi="宋体" w:eastAsia="宋体" w:cs="宋体"/>
          <w:b/>
          <w:bCs/>
          <w:color w:val="FF0000"/>
          <w:lang w:val="en-US" w:eastAsia="zh-CN"/>
        </w:rPr>
        <w:t>注：上课时间  7月2日 星期五 下午6:40--9:30（10C419）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2" w:firstLineChars="200"/>
        <w:textAlignment w:val="auto"/>
        <w:rPr>
          <w:rFonts w:hint="eastAsia" w:ascii="宋体" w:hAnsi="宋体" w:eastAsia="宋体" w:cs="宋体"/>
          <w:b/>
          <w:bCs/>
          <w:color w:val="FF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2" w:firstLineChars="200"/>
        <w:textAlignment w:val="auto"/>
        <w:rPr>
          <w:rFonts w:hint="default" w:ascii="宋体" w:hAnsi="宋体" w:eastAsia="宋体" w:cs="宋体"/>
          <w:b w:val="0"/>
          <w:bCs w:val="0"/>
          <w:color w:val="auto"/>
          <w:lang w:val="en-US" w:eastAsia="zh-CN"/>
        </w:rPr>
      </w:pPr>
      <w:r>
        <w:rPr>
          <w:rFonts w:hint="eastAsia" w:ascii="宋体" w:hAnsi="宋体" w:eastAsia="宋体" w:cs="宋体"/>
          <w:b/>
          <w:bCs/>
          <w:color w:val="auto"/>
          <w:lang w:val="en-US" w:eastAsia="zh-CN"/>
        </w:rPr>
        <w:t xml:space="preserve">                                                     </w:t>
      </w:r>
      <w:r>
        <w:rPr>
          <w:rFonts w:hint="eastAsia" w:ascii="宋体" w:hAnsi="宋体" w:eastAsia="宋体" w:cs="宋体"/>
          <w:b w:val="0"/>
          <w:bCs w:val="0"/>
          <w:color w:val="auto"/>
          <w:lang w:val="en-US" w:eastAsia="zh-CN"/>
        </w:rPr>
        <w:t xml:space="preserve"> 卓玛草  2021.7.1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2251A"/>
    <w:rsid w:val="39B2251A"/>
    <w:rsid w:val="5750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2021-07-01T03:33:00Z</dcterms:created>
  <dc:creator>草草</dc:creator>
  <cp:lastModifiedBy>草草</cp:lastModifiedBy>
  <dcterms:modified xsi:type="dcterms:W3CDTF">2021-07-01T04:13:56Z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