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债券概述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债券的定义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债券是政府企业银行等债务人为筹集资金，按照法定程序发行并向债权人承诺于指定日期还本付息的有价证券。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债券的分类</w:t>
      </w:r>
    </w:p>
    <w:p>
      <w:pPr>
        <w:numPr>
          <w:ilvl w:val="0"/>
          <w:numId w:val="0"/>
        </w:numPr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经过30多年发展，中国已发展形成门类基本齐全、品种结构较为合理、信用层次不断拓展的债券市场。</w:t>
      </w:r>
    </w:p>
    <w:p>
      <w:pPr>
        <w:numPr>
          <w:ilvl w:val="0"/>
          <w:numId w:val="2"/>
        </w:numPr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按照发行主体划分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政府债券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国债。发行主体是中央政府，具有最高信用等级，由财政部具体进行发行操作，分为记账式国债和储蓄国债。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地方政府债券。发行主体是地方政府，分为一般债券和专项债券。通过中央结算公司招标或承销发行，在中央结算公司总托管。目前有1年、2年、3年、5年、7年、10年、15年、20年、30年等品种。自2019年起，地方政府债券可在商业银行柜台发行。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（二）中央银行票据</w:t>
      </w:r>
    </w:p>
    <w:p>
      <w:pPr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发行主体为中国人民银行，是为调节货币供应量面向商业银行（一级交易商）发行的债务凭证。期限一般不超过1年，但也有长至3年的品种。央行票据通过央行公开市场操作系统发行，在中央结算公司托管。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（三）政府支持机构债券</w:t>
      </w:r>
    </w:p>
    <w:p>
      <w:pPr>
        <w:numPr>
          <w:ilvl w:val="0"/>
          <w:numId w:val="0"/>
        </w:numPr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一般地，政府支持机构债券通过中央结算公司发行，主要在中央结算公司托管。</w:t>
      </w:r>
    </w:p>
    <w:p>
      <w:pPr>
        <w:numPr>
          <w:ilvl w:val="0"/>
          <w:numId w:val="5"/>
        </w:numPr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铁道债券。发行主体为中国国家铁路集团有限公司（前身为铁道部），由发展改革委核准发行。</w:t>
      </w:r>
    </w:p>
    <w:p>
      <w:pPr>
        <w:numPr>
          <w:ilvl w:val="0"/>
          <w:numId w:val="5"/>
        </w:numPr>
        <w:ind w:firstLine="960" w:firstLineChars="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中央汇金债券。发行主体为中央汇金投资有限责任公司，经央行批准发行。</w:t>
      </w:r>
    </w:p>
    <w:p>
      <w:pPr>
        <w:numPr>
          <w:ilvl w:val="0"/>
          <w:numId w:val="6"/>
        </w:num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金融债券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一般地，金融债券通过中央结算公司发行，在中央结算公司托管。</w:t>
      </w:r>
    </w:p>
    <w:p>
      <w:pPr>
        <w:numPr>
          <w:ilvl w:val="0"/>
          <w:numId w:val="7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政策性金融债券。发行主体为开发性金融机构（国家开发银行）和政策性银行（中国进出口银行、中国农业发展银行）。近年来，政策性金融债券加大创新力度，推出扶贫专项金融债、“债券通”绿色金融债等品种，试点弹性招标发行。政策性金融债券已在商业银行柜台交易，其中国开债在柜台已实现常规化发行。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商业银行债券。发行主体为境内设立的商业银行法人，分为一般金融债券、小微企业贷款专项债、“三农”专项金融债、次级债券、二级资本工具、无固定期限资本债券等品种。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非银行金融债券。发行主体为境内设立的非银行金融机构法人。包括银行业金融机构发行的财务公司债券、金融租赁公司债券、证券公司债券、保险公司金融债和保险公司次级债。</w:t>
      </w:r>
    </w:p>
    <w:p>
      <w:pPr>
        <w:numPr>
          <w:ilvl w:val="0"/>
          <w:numId w:val="6"/>
        </w:numPr>
        <w:ind w:left="0" w:leftChars="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企业信用债券</w:t>
      </w:r>
    </w:p>
    <w:p>
      <w:pPr>
        <w:numPr>
          <w:ilvl w:val="0"/>
          <w:numId w:val="8"/>
        </w:numPr>
        <w:ind w:left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企业债券。发行主体为企业，经发展改革委注册后发行。发展改革委指定相关机构负责企业债券的受理、审核，其中，中央结算公司为受理机构，中央结算公司、银行间市场交易商协会为审核机构。企业债券通过中央结算公司发行系统发行，在中央结算公司总登记托管。</w:t>
      </w:r>
    </w:p>
    <w:p>
      <w:pPr>
        <w:numPr>
          <w:ilvl w:val="0"/>
          <w:numId w:val="8"/>
        </w:numPr>
        <w:ind w:left="240" w:leftChars="10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非金融企业债务融资工具。在交易商协会注册发行，发行主体为具有法人资格的非金融企业，在上清所登记托管。</w:t>
      </w:r>
    </w:p>
    <w:p>
      <w:pPr>
        <w:numPr>
          <w:ilvl w:val="0"/>
          <w:numId w:val="8"/>
        </w:numPr>
        <w:ind w:left="240" w:leftChars="10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公司债券。发行主体为上市公司或非上市公众公司，在中证登登记托管。</w:t>
      </w:r>
    </w:p>
    <w:p>
      <w:pPr>
        <w:numPr>
          <w:ilvl w:val="0"/>
          <w:numId w:val="8"/>
        </w:numPr>
        <w:ind w:left="240" w:leftChars="10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可转换公司债券。发行主体为境内上市公司，在一定期间内依据约定条件可以转换成股份，在中证登登记托管。</w:t>
      </w:r>
    </w:p>
    <w:p>
      <w:pPr>
        <w:numPr>
          <w:ilvl w:val="0"/>
          <w:numId w:val="8"/>
        </w:numPr>
        <w:ind w:left="240" w:leftChars="10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中小企业私募债券。发行主体为境内中小微型企业，在中证登登记托管。</w:t>
      </w:r>
    </w:p>
    <w:p>
      <w:pPr>
        <w:numPr>
          <w:ilvl w:val="0"/>
          <w:numId w:val="6"/>
        </w:numPr>
        <w:ind w:left="0" w:leftChars="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资产支持证券</w:t>
      </w:r>
    </w:p>
    <w:p>
      <w:pPr>
        <w:numPr>
          <w:ilvl w:val="0"/>
          <w:numId w:val="9"/>
        </w:numPr>
        <w:ind w:left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信贷资产支持证券。发行主体为特定目的信托受托机构（信托公司），代表特定目的信托的信托受益权份额。受托机构以因承诺信托而取得的银行业金融机构的信贷资产（信托财产）为限，向投资机构支付资产支持证券收益。信贷资产支持证券在中央结算公司登记托管。</w:t>
      </w:r>
    </w:p>
    <w:p>
      <w:pPr>
        <w:numPr>
          <w:ilvl w:val="0"/>
          <w:numId w:val="9"/>
        </w:numPr>
        <w:ind w:left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企业资产支持证券。发行主体为券商，以券商集合理财计划形式出现，基础资产为信贷资产以外的其他资产、收费权等，在中证登登记托管。</w:t>
      </w:r>
    </w:p>
    <w:p>
      <w:pPr>
        <w:numPr>
          <w:ilvl w:val="0"/>
          <w:numId w:val="6"/>
        </w:numPr>
        <w:ind w:left="0" w:leftChars="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熊猫债券</w:t>
      </w:r>
    </w:p>
    <w:p>
      <w:pPr>
        <w:numPr>
          <w:ilvl w:val="0"/>
          <w:numId w:val="0"/>
        </w:numPr>
        <w:ind w:left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境外机构在中国境内发行的人民币债券，包括主权类机构、国际开发机构、金融机构和非金融企业等。</w:t>
      </w:r>
    </w:p>
    <w:p>
      <w:pPr>
        <w:numPr>
          <w:ilvl w:val="0"/>
          <w:numId w:val="6"/>
        </w:numPr>
        <w:ind w:left="0" w:leftChars="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同业存单</w:t>
      </w:r>
    </w:p>
    <w:p>
      <w:pPr>
        <w:numPr>
          <w:ilvl w:val="0"/>
          <w:numId w:val="0"/>
        </w:numPr>
        <w:ind w:left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存款类金融机构法人在银行间市场上发行的记账式定期存款凭证，是货币市场工具。同业存单采用电子化方式通过外汇交易中心公开或定向发行，投资和交易主体为同业拆借市场成员、基金管理公司及基金类产品，在上清所登记托管。固定利率存单期限包括1个月、3个月、6个月、9个月和1年；浮动利率存单期限包括1年、2年和3年。</w:t>
      </w:r>
    </w:p>
    <w:p>
      <w:pPr>
        <w:numPr>
          <w:ilvl w:val="0"/>
          <w:numId w:val="2"/>
        </w:numPr>
        <w:ind w:left="0" w:leftChars="0"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按照付息方式划分</w:t>
      </w:r>
    </w:p>
    <w:p>
      <w:pPr>
        <w:numPr>
          <w:ilvl w:val="0"/>
          <w:numId w:val="10"/>
        </w:numPr>
        <w:ind w:left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零息债券。低于面值折价发行，到期按面值一次性偿还，期限在1年以上。</w:t>
      </w:r>
    </w:p>
    <w:p>
      <w:pPr>
        <w:numPr>
          <w:ilvl w:val="0"/>
          <w:numId w:val="10"/>
        </w:numPr>
        <w:ind w:leftChars="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贴现债券。低于面值折价发行，到期按面值一次性偿还，期限在1年以内。</w:t>
      </w:r>
    </w:p>
    <w:p>
      <w:pPr>
        <w:numPr>
          <w:ilvl w:val="0"/>
          <w:numId w:val="10"/>
        </w:numPr>
        <w:ind w:leftChars="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固定利率附息债券。发行时标明票面利率、付息频率、付息日期等要素，按照约定利率定期支付利息，到期日偿还最后一次利息和本金。</w:t>
      </w:r>
    </w:p>
    <w:p>
      <w:pPr>
        <w:numPr>
          <w:ilvl w:val="0"/>
          <w:numId w:val="10"/>
        </w:numPr>
        <w:ind w:leftChars="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浮动利率附息债券。以某一短期货币市场参考指标为债券基准利率并加上利差（发行主体可通过招标或簿记建档确定）作为票面利率，基准利率在待偿期内可能变化，但基本利差不变。</w:t>
      </w:r>
    </w:p>
    <w:p>
      <w:pPr>
        <w:numPr>
          <w:ilvl w:val="0"/>
          <w:numId w:val="10"/>
        </w:numPr>
        <w:ind w:leftChars="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利随本清债券。发行时标明票面利率，到期兑付日前不支付利息，全部利息累计至到期兑付日和本金一同偿付。</w:t>
      </w:r>
    </w:p>
    <w:p>
      <w:pPr>
        <w:numPr>
          <w:ilvl w:val="0"/>
          <w:numId w:val="2"/>
        </w:numPr>
        <w:ind w:left="0" w:leftChars="0"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按照币种划分</w:t>
      </w:r>
    </w:p>
    <w:p>
      <w:pPr>
        <w:numPr>
          <w:ilvl w:val="0"/>
          <w:numId w:val="11"/>
        </w:numPr>
        <w:ind w:left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人民币债券。以人民币计价的债券，包括境内机构发行的人民币债券和境外机构发行的熊猫债券，占中国债券市场的绝大部分。</w:t>
      </w:r>
    </w:p>
    <w:p>
      <w:pPr>
        <w:numPr>
          <w:ilvl w:val="0"/>
          <w:numId w:val="11"/>
        </w:numPr>
        <w:ind w:leftChars="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外币债券。境内机构在境内发行的以外币计价的债券，经人民银行批准发行。目前仅有零星的境内美元债券，大部分在中央结算公司托管。</w:t>
      </w:r>
    </w:p>
    <w:p>
      <w:pPr>
        <w:numPr>
          <w:ilvl w:val="0"/>
          <w:numId w:val="11"/>
        </w:numPr>
        <w:ind w:leftChars="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SDR债券。以特别提款权（SDR）计价的债券。2016年8月世界银行在中国银行间市场发行5亿以人民币结算的SDR债券，后续预计有更多中资机构和国际组织参与发行。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1.3.债券市场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目前，中国债券市场形成了统一分层的市场体系，主要包括 银行间市场、交易所、商业银行柜台三个子市场。 </w:t>
      </w:r>
    </w:p>
    <w:p>
      <w:pPr>
        <w:numPr>
          <w:ilvl w:val="0"/>
          <w:numId w:val="1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银行间债券市场。银行间市场是中国债券市场的主体，债 券存量接近全市场的 90％。该市场属于大宗交易市场（批发市 场），参与者是各类机构投资者，实行双边谈判成交，主要实行 “实时、全额、逐笔”的结算方式。中央结算公司为投资者开立债 券账户，实行一级托管，并提供交易结算服务。 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 交易所。由各类社会投资者参与，属于集中撮合交易的零 售市场，典型的结算方式是净额结算。交易所债券实行两级托管 体制，其中中央结算公司为总托管人，负责为交易所开立代理总 户，中证登为债券分托管人，记录交易所投资者明细账户，中央 结算公司与交易所投资者没有直接的权责关系。交易所债券交易 结算由中证登负责。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商业银行柜台。是银行间市场的延伸，也属于零售市场。 柜台市场实行两级托管体制，其中中央结算公司为一级托管机构， 负责为开办银行开立债券自营账户和代理总账户，开办银行为二 级托管机构，负责为投资者开立二级托管账户，中央结算公司与 柜台投资者没有直接的权责关系。与交易所不同的是，开办银行 每日需将柜台投资者账户余额变动数据传给中央结算公司，同时 中央结算公司为柜台投资人提供债券复核查询服务，成为保护投 资者权益的重要途径。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 国内宏观经济情况</w:t>
      </w:r>
    </w:p>
    <w:p>
      <w:pPr>
        <w:numPr>
          <w:ilvl w:val="0"/>
          <w:numId w:val="13"/>
        </w:numPr>
        <w:ind w:left="60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CPI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变化情况</w:t>
      </w:r>
    </w:p>
    <w:p>
      <w:pPr>
        <w:numPr>
          <w:ilvl w:val="0"/>
          <w:numId w:val="0"/>
        </w:numPr>
        <w:ind w:left="60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2020年</w:t>
      </w:r>
      <w:r>
        <w:rPr>
          <w:rFonts w:ascii="宋体" w:hAnsi="宋体" w:eastAsia="宋体" w:cs="宋体"/>
          <w:sz w:val="24"/>
          <w:szCs w:val="24"/>
        </w:rPr>
        <w:t>CPI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的数值为686.5，</w:t>
      </w:r>
      <w:r>
        <w:rPr>
          <w:rFonts w:ascii="宋体" w:hAnsi="宋体" w:eastAsia="宋体" w:cs="宋体"/>
          <w:sz w:val="24"/>
          <w:szCs w:val="24"/>
        </w:rPr>
        <w:t>同比上涨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2.49</w:t>
      </w:r>
      <w:r>
        <w:rPr>
          <w:rFonts w:ascii="宋体" w:hAnsi="宋体" w:eastAsia="宋体" w:cs="宋体"/>
          <w:sz w:val="24"/>
          <w:szCs w:val="24"/>
        </w:rPr>
        <w:t>%。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2020年因为疫情的原因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只有1月7月和12月的CPI同比是在上涨的，其余月份的CPI同比都是在下降的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截止到2021年4月，我国的CPI同比变化情况有所改变，逐渐呈现了上涨的趋势，2021年4月我国的CPI数值为99.7，同比上涨0.61%，环比上涨0.20%。</w:t>
      </w:r>
    </w:p>
    <w:p>
      <w:pPr>
        <w:numPr>
          <w:ilvl w:val="0"/>
          <w:numId w:val="13"/>
        </w:numPr>
        <w:ind w:left="60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PPI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变化情况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2020年</w:t>
      </w:r>
      <w:r>
        <w:rPr>
          <w:rFonts w:ascii="宋体" w:hAnsi="宋体" w:eastAsia="宋体" w:cs="宋体"/>
          <w:sz w:val="24"/>
          <w:szCs w:val="24"/>
        </w:rPr>
        <w:t>PPI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的数值为98.2，与2019年的99.7，</w:t>
      </w:r>
      <w:r>
        <w:rPr>
          <w:rFonts w:ascii="宋体" w:hAnsi="宋体" w:eastAsia="宋体" w:cs="宋体"/>
          <w:sz w:val="24"/>
          <w:szCs w:val="24"/>
        </w:rPr>
        <w:t>同比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下降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1.5</w:t>
      </w:r>
      <w:r>
        <w:rPr>
          <w:rFonts w:ascii="宋体" w:hAnsi="宋体" w:eastAsia="宋体" w:cs="宋体"/>
          <w:sz w:val="24"/>
          <w:szCs w:val="24"/>
        </w:rPr>
        <w:t>%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即使2020年经历了全球性的疫情，但是月度PPI同比变化仍然有超过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一半的月份是在上涨的。2021年前4个月的PPI数值同比变化情况都较好，都是呈现上涨的趋势，但是环比变化情况就有所偏差了，只有3月份的PPI环比是上涨的，其余月份都是下降的。</w:t>
      </w:r>
    </w:p>
    <w:p>
      <w:pPr>
        <w:numPr>
          <w:ilvl w:val="0"/>
          <w:numId w:val="13"/>
        </w:numPr>
        <w:ind w:left="60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国内经济情况</w:t>
      </w:r>
    </w:p>
    <w:tbl>
      <w:tblPr>
        <w:tblStyle w:val="5"/>
        <w:tblW w:w="715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556"/>
        <w:gridCol w:w="1672"/>
        <w:gridCol w:w="16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2019年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同比变化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国民总收入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983751.2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1008782.5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2.54%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国内生产总值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986515.2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1015986.2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2.99%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第一产业增加值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70473.6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77754.1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10.33%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第二产业增加值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380670.6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384255.3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0.94%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第三产业增加值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535371.0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553976.8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3.48%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第四产业增加值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72000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2.38%</w:t>
            </w:r>
          </w:p>
        </w:tc>
      </w:tr>
    </w:tbl>
    <w:p>
      <w:pPr>
        <w:numPr>
          <w:ilvl w:val="0"/>
          <w:numId w:val="0"/>
        </w:numPr>
        <w:ind w:left="600" w:leftChars="0" w:firstLine="480" w:firstLineChars="20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2020年我国的国民总收入是1008782.5，同比增加2.54%;国内生产总值为1015986.2，同比增加2.99%.各个产业的增加值较为可观，都是呈现上涨的趋势，其中增加最为明显的是第一产业的增加值，2020年第一产业增加值为77754.1，同比增加10.33%，远远多于其它产业增加值的同比变化。</w:t>
      </w:r>
    </w:p>
    <w:p>
      <w:pPr>
        <w:numPr>
          <w:ilvl w:val="0"/>
          <w:numId w:val="0"/>
        </w:numPr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国内生产总值环比增速情况</w:t>
      </w:r>
    </w:p>
    <w:tbl>
      <w:tblPr>
        <w:tblStyle w:val="5"/>
        <w:tblW w:w="7135" w:type="dxa"/>
        <w:tblInd w:w="96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1860"/>
        <w:gridCol w:w="1560"/>
        <w:gridCol w:w="1752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2019年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第一季度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1.80%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-9.30%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0.60%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第二季度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10.10%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第三季度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3.10%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第四季度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1.60%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3.20%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="600" w:leftChars="0" w:firstLine="480" w:firstLineChars="20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从2019年至2021年第一季度来看，除了2020年第一季度国内生产总值环比增速是下降的，其它的各个季度国内生产总值环比增速都是上涨的。2020年第一季度下降是因为爆发了全国性的新冠疫情，致使全国的大部分行业停产，经济下滑，国内生产总值下降。国内生产总值环比增速幅度最大的是2020年第二季度，环比增加了10.10%，很大的原因因为国内的疫情得到有效的控制，全国开始复工复产，经济开始慢慢回升，国内生产总值开始慢慢的增加。</w:t>
      </w:r>
    </w:p>
    <w:p>
      <w:pPr>
        <w:numPr>
          <w:ilvl w:val="0"/>
          <w:numId w:val="0"/>
        </w:numPr>
        <w:ind w:left="600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货币信贷市场情况</w:t>
      </w:r>
    </w:p>
    <w:p>
      <w:pPr>
        <w:numPr>
          <w:ilvl w:val="0"/>
          <w:numId w:val="0"/>
        </w:numPr>
        <w:ind w:left="600" w:left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债券市场整体分析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债券市场价格走势分析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中债指数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收益率曲线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2020年债券市场第一季度的平均收益率为3.3619%，同比2019年第四季度，第二季度的平均收益率为3.6986%，第三季度的平均收益率为3.9583%，第四季度的平均收益率为3.7733%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债券市场发行量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2020年，债券市场共发行各类债券</w:t>
      </w:r>
      <w:r>
        <w:rPr>
          <w:rFonts w:hint="eastAsia" w:ascii="宋体" w:hAnsi="宋体" w:cs="宋体"/>
          <w:sz w:val="24"/>
          <w:szCs w:val="24"/>
          <w:lang w:val="en-US" w:eastAsia="zh-CN"/>
        </w:rPr>
        <w:t>56</w:t>
      </w:r>
      <w:r>
        <w:rPr>
          <w:rFonts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94</w:t>
      </w:r>
      <w:r>
        <w:rPr>
          <w:rFonts w:ascii="宋体" w:hAnsi="宋体" w:eastAsia="宋体" w:cs="宋体"/>
          <w:sz w:val="24"/>
          <w:szCs w:val="24"/>
        </w:rPr>
        <w:t>万亿元，同比增长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20</w:t>
      </w:r>
      <w:r>
        <w:rPr>
          <w:rFonts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60</w:t>
      </w:r>
      <w:r>
        <w:rPr>
          <w:rFonts w:ascii="宋体" w:hAnsi="宋体" w:eastAsia="宋体" w:cs="宋体"/>
          <w:sz w:val="24"/>
          <w:szCs w:val="24"/>
        </w:rPr>
        <w:t>%。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相比而言2019年</w:t>
      </w:r>
      <w:r>
        <w:rPr>
          <w:rFonts w:ascii="宋体" w:hAnsi="宋体" w:eastAsia="宋体" w:cs="宋体"/>
          <w:sz w:val="24"/>
          <w:szCs w:val="24"/>
        </w:rPr>
        <w:t>债券市场共发行各类债券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45.21</w:t>
      </w:r>
      <w:r>
        <w:rPr>
          <w:rFonts w:ascii="宋体" w:hAnsi="宋体" w:eastAsia="宋体" w:cs="宋体"/>
          <w:sz w:val="24"/>
          <w:szCs w:val="24"/>
        </w:rPr>
        <w:t>万亿元，同比增长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4.67</w:t>
      </w:r>
      <w:r>
        <w:rPr>
          <w:rFonts w:ascii="宋体" w:hAnsi="宋体" w:eastAsia="宋体" w:cs="宋体"/>
          <w:sz w:val="24"/>
          <w:szCs w:val="24"/>
        </w:rPr>
        <w:t>%。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2020年的债券市场发行总量和债券发行总量的同比情况都有较大的增加。</w:t>
      </w:r>
    </w:p>
    <w:p>
      <w:pPr>
        <w:numPr>
          <w:ilvl w:val="0"/>
          <w:numId w:val="0"/>
        </w:numPr>
        <w:spacing w:line="24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其中，中央结算公司登记发行债券21.87万亿元，占比57.94%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同比变化42.91%</w:t>
      </w:r>
      <w:r>
        <w:rPr>
          <w:rFonts w:ascii="宋体" w:hAnsi="宋体" w:eastAsia="宋体" w:cs="宋体"/>
          <w:sz w:val="24"/>
          <w:szCs w:val="24"/>
        </w:rPr>
        <w:t>；上海清算所登记发行债券9.69万亿元，占比25.66%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同比变化34.30%</w:t>
      </w:r>
      <w:r>
        <w:rPr>
          <w:rFonts w:ascii="宋体" w:hAnsi="宋体" w:eastAsia="宋体" w:cs="宋体"/>
          <w:sz w:val="24"/>
          <w:szCs w:val="24"/>
        </w:rPr>
        <w:t>；交易所新发债券6.19万亿元，占比16.40%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同比变化36.93%</w:t>
      </w:r>
      <w:r>
        <w:rPr>
          <w:rFonts w:ascii="宋体" w:hAnsi="宋体" w:eastAsia="宋体" w:cs="宋体"/>
          <w:sz w:val="24"/>
          <w:szCs w:val="24"/>
        </w:rPr>
        <w:t>。中央结算公司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仍然占债券市场发行的主要份额。这里的</w:t>
      </w:r>
      <w:r>
        <w:rPr>
          <w:rFonts w:ascii="宋体" w:hAnsi="宋体" w:eastAsia="宋体" w:cs="宋体"/>
          <w:sz w:val="24"/>
          <w:szCs w:val="24"/>
        </w:rPr>
        <w:t>发行量的统计不包括同业存单，其全年发行量为18.97万亿元，年末余额为11.15万亿元。</w:t>
      </w:r>
    </w:p>
    <w:p>
      <w:pPr>
        <w:numPr>
          <w:ilvl w:val="0"/>
          <w:numId w:val="0"/>
        </w:numPr>
        <w:spacing w:line="24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tbl>
      <w:tblPr>
        <w:tblStyle w:val="5"/>
        <w:tblW w:w="11027" w:type="dxa"/>
        <w:jc w:val="center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1536"/>
        <w:gridCol w:w="2666"/>
        <w:gridCol w:w="2245"/>
        <w:gridCol w:w="24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地区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发行只数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发行只数占比(%)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发行金额(亿元)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发行金额占比(%)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安徽(信用债)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1,080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5,466.61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1.44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江苏(信用债)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4,568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8.90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26,678.07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7.02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贵州(信用债)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1,509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2.94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4,629.19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山东(信用债)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2,873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5.60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13,147.49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3.46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山西(信用债)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1,085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2.11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4,598.07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天津(信用债)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2,616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5.10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11,593.65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3.05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北京(信用债)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5,165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10.06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108,897.63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28.65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上海(信用债)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3,397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6.62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48,150.23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12.67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广东(信用债)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5,468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10.65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44,772.20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浙江(信用债)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4,521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8.81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23,984.89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湖南(信用债)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1,107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6,212.91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四川(信用债)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1,807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3.52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8,129.26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云南(信用债)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1,722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3.35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3,199.65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陕西(信用债)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414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3,934.35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福建(信用债)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2,097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4.08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19,449.72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5.12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辽宁(信用债)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1,615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3.15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6,464.54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河南(信用债)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1,835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3.57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6,118.18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广西(信用债)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1,283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2.50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4,166.05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内蒙古(信用债)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315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1,511.01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河北(信用债)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1,270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2.47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3,965.74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1,485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2.89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8,097.18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甘肃(信用债)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252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1,095.32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江西(信用债)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801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1.56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3,987.83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1.05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湖北(信用债)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748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1.46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5,085.52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1.34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新疆(信用债)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648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2,103.99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黑龙江(信用债)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666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1,723.88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青海(信用债)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172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445.35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宁夏(信用债)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311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569.40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吉林(信用债)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382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1,290.28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海南(信用债)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310.70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西藏(信用债)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231.85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中国香港(信用债)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112.00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51,339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380,122.75</w:t>
            </w:r>
          </w:p>
        </w:tc>
        <w:tc>
          <w:tcPr>
            <w:tcW w:w="24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</w:t>
            </w:r>
          </w:p>
        </w:tc>
      </w:tr>
    </w:tbl>
    <w:p>
      <w:pPr>
        <w:numPr>
          <w:ilvl w:val="0"/>
          <w:numId w:val="0"/>
        </w:numPr>
        <w:spacing w:line="240" w:lineRule="auto"/>
        <w:ind w:firstLine="480" w:firstLineChars="20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从2020年各地方发行的信用债来看，就发行只数而言，排名前三的是广东省北京市和江苏省，其发行只数分别为5468 5165和4568，分别占比为10.65% 10.06%和8.90%;从发行金额来看，排在前三位的是北京市上海市和广东省，其发行金额分别为108897.63亿元48150.23亿元和44772.20亿元，发行金额占比分别为28.65% 12.67%和11.78%。从2020年各地区发行债券（信用债）的情况来看，经济越发达的地方，债券市场也更加的发达，发行只数和发行金额也会相对于其他地区占比更多。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债券市场托管量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债券市场交易结算量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2020年，债券市场交易结算量共计1540.11万亿元，同比增长17.81%，比2019年提高3.13个百分点。其中，中央结算公司结算量为943.23万亿元，占全市场的61.24%；上海清算所结算量为302.26万亿元，占全市场的19.63%；交易所结算量为294.61万亿元，占全市场的19.13%。从交易类型看，现券结算量241.02万亿元，同比增长12.93%；回购结算量1291.97万亿元，同比增长18.56%；债券借贷结算量7.11万亿元，同比增长69.98%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债券市场存量情况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W w:w="10285" w:type="dxa"/>
        <w:jc w:val="center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530"/>
        <w:gridCol w:w="2370"/>
        <w:gridCol w:w="2250"/>
        <w:gridCol w:w="23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7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省(直辖市)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债券数量(只)</w:t>
            </w:r>
          </w:p>
        </w:tc>
        <w:tc>
          <w:tcPr>
            <w:tcW w:w="23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债券数量比重(%)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债券余额(亿元)</w:t>
            </w:r>
          </w:p>
        </w:tc>
        <w:tc>
          <w:tcPr>
            <w:tcW w:w="23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余额比重(%)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吉林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7,230.68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辽宁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13,951.95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1.22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黑龙江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6,814.80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0.60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青海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3,136.69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0.27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甘肃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5,681.44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0.50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陕西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13,919.34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1.22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海南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3,553.56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广东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5,405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65,807.29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5.76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湖南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1,682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22,244.60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湖北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1,558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19,310.48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河南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1,625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17,674.86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山西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1,172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11,775.52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1.03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河北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1,261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16,753.86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1.47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云南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14,105.63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贵州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1,509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17,163.75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1.50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四川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2,393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24,281.54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2.12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福建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2,131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28,219.09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2.47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江西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1,103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13,255.94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1.16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浙江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4,428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41,416.20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安徽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1,143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17,696.05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1.55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江苏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5,338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54,350.75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山东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3,308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35,721.11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3.12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3,672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6.43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55,415.70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1,906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18,789.46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1.64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天津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2,410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19,817.42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1.73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北京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6,966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351,251.92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30.73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宁夏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2,356.30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新疆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9,223.72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0.81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内蒙古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9,559.68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西藏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772.13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广西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1,224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12,012.00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1.05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香港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1,137.48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208,767.50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18.26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数据来源：Wind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货币市场利率情况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债券市场违约情况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2020年，债券市场新增违约规模1253.75亿元，同比微增1.68%，低于2019年4.99个百分点。从违约只数看，2020年新增违约债券113只，同比下降30.25%；从违约主体看，违约发行人共36家，同比减少26家，其中首次违约发行人21家，同比减少23家。2020年新增违约或展期债券以中高等级债券为主，评级在AAA级、AA+级的违约或展期债券规模分别为731.16亿元和457.94亿元，合计占比超83%，较2019年上升29个百分点。违约或展期债券评级上移主要由于国有企业违约增多，2020年国有企业债券违约规模达828.35亿元，同比上升473%，其中92%为AA+级以上债券。此外，协议展期事件有所增多。全年新增协议展期债券35只，规模271.46亿元，同比分别增长52.17%和31.76%。展期债券中，仅1只完成兑付，规模2.5亿元；有3只展期后仍发生违约，规模15亿元。协议展期债券发行人共23家，同比增加8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债券市场运行特点</w:t>
      </w:r>
    </w:p>
    <w:p>
      <w:pPr>
        <w:numPr>
          <w:ilvl w:val="0"/>
          <w:numId w:val="15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提升国债基准职能，完善国债税收安排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一是推动国债收益率曲线作为存贷款利率定价基准。国债收益率曲线作为市场化的利率，具有结构完整、连续性强等优点，建议以试点方式逐步推动国债收益率曲线作为存贷款市场定价基准。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二是扩大国债收益率曲线宏观政策中的应用。建议将国债收益率曲线作为货币政策调控的中介目标，国债收益率与潜在经济增长率之间的关系较为稳定，在潜在经济增长率稳定的前提下，可将国债收益率作为货币政策适度性的均衡指标。其中，国债期限利差反映市场预期，可为宏观经济政策提供参考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三是完善国债税收制度。目前，国债持有期间利息收入免税，而国债买卖价差形成的资本利得征税，税收扭曲抑制国债二级市场交易的活跃度。进一步完善国债税收制度，有利于提升国债的金融属性和提高国债市场流动性。</w:t>
      </w:r>
    </w:p>
    <w:p>
      <w:pPr>
        <w:numPr>
          <w:ilvl w:val="0"/>
          <w:numId w:val="15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优化地方政府债信用评级，提升市场流动性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是探索优化地方政府债评级制度安排。地方政府债虽建立了信用评级机制，但在运行过程中仍存在信用评级差异不大等问题。应完善信用评级工作机制，引导评级机构提高地方政府或项目的信用区分度，使信用评级真正反映财务状况的差异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二是健全地方政府债市场运行机制，提升地方政府债流动性。近年地方政府债流动性逐步提升，但仍存在流动性整体不高、区域差异大等问题。为提升地方政府债流动性，一方面应着力拓展地方政府债品种，扩展付息兑付方式，丰富浮动利率债券品种，适时研究推出地方政府债指数期权、期货等对冲产品；另一方面应不断推动地方政府债ETF等创新产品发展，吸引资管产品积极投资地方政府债。</w:t>
      </w:r>
    </w:p>
    <w:p>
      <w:pPr>
        <w:numPr>
          <w:ilvl w:val="0"/>
          <w:numId w:val="15"/>
        </w:numPr>
        <w:ind w:left="0"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推动信用体系建设，强化中介机构职责约束</w:t>
      </w:r>
    </w:p>
    <w:p>
      <w:pPr>
        <w:numPr>
          <w:ilvl w:val="0"/>
          <w:numId w:val="0"/>
        </w:numPr>
        <w:ind w:left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是推动信用体系建设。健全信用债主承销商信用评价工作，有效强化企业债券事中事后监管和信用约束。持续完善监管规则，建立公开、透明、高效的企业债券发行注册管理体系，加强金融科技和监管科技研究与应用，深入开展大数据技术应用创新。</w:t>
      </w:r>
    </w:p>
    <w:p>
      <w:pPr>
        <w:numPr>
          <w:ilvl w:val="0"/>
          <w:numId w:val="0"/>
        </w:numPr>
        <w:ind w:left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二是深化债券信息披露服务。加强对企业债的信用风险监测和防范，推动《公司信用类债券信息披露管理办法》落地实施。推动信息披露标准化，研究支持ESG债券信息披露模式，探索建立绿色债券数据库及环境效益信息披露平台。</w:t>
      </w:r>
    </w:p>
    <w:p>
      <w:pPr>
        <w:numPr>
          <w:ilvl w:val="0"/>
          <w:numId w:val="15"/>
        </w:numPr>
        <w:ind w:left="0"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做实资产支持证券底层穿透，加强市场标准化建设</w:t>
      </w:r>
    </w:p>
    <w:p>
      <w:pPr>
        <w:numPr>
          <w:ilvl w:val="0"/>
          <w:numId w:val="0"/>
        </w:numPr>
        <w:ind w:left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是推动资产支持证券基础资产穿透登记。建议推动资产证券化品信息披露表格模板的标准化工作，实现规范化、电子化披露和机器可读，提高国内资产证券化品的信息披露透明度，更好地保护投资者利益，及时监测防范市场风险。</w:t>
      </w:r>
    </w:p>
    <w:p>
      <w:pPr>
        <w:numPr>
          <w:ilvl w:val="0"/>
          <w:numId w:val="0"/>
        </w:numPr>
        <w:ind w:left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二是加强市场标准化建设。资产证券化与信贷资产流转是互为补充的信贷资产盘活渠道，建议促进流转和证券化协同发展，充分发挥两类业务的比较优势形成合理分工，提高信贷资产盘活效率和专业水平。加强资产流转平台建设，探索统一不良贷款登记转让处置。建议加强标准化建设，依据《关于规范金融机构资产管理业务的指导意见》《标准化债权类资产认定规则》等监管文件的要求，创设标准化信贷资产流转产品，进一步拓宽投者范围，完善信息披露和公允定价机制建设，提高市场流动性。</w:t>
      </w:r>
    </w:p>
    <w:p>
      <w:pPr>
        <w:numPr>
          <w:ilvl w:val="0"/>
          <w:numId w:val="15"/>
        </w:numPr>
        <w:ind w:left="0"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扩大人民币债券跨境使用，深化人民币国际化发展建议扩大人民币资产的跨境使用，重构更加多元、均衡的全球担保品体系。当前国际投资者争相竞逐安全资产，国际主流担保品池的集中度风险有所上升，应加快拓展人民币担保品跨境使用，打造人民币担保品跨境合作生态，持续推动人民币债券纳入国际市场合格押品池，探索建立担保品国际服务联盟，满足国际投资者对多元化担保品资产的需求。</w:t>
      </w:r>
    </w:p>
    <w:p>
      <w:pPr>
        <w:numPr>
          <w:ilvl w:val="0"/>
          <w:numId w:val="15"/>
        </w:numPr>
        <w:ind w:left="0"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贯彻安全发展要求，夯实金融市场基础党的十九届五中全会提出“把安全发展贯穿国家发展各领域和全过程”，金融基础设施作为债券市场安全发展的重要抓手，要落实中央深改委会议提出的“布局合理、治理有效、先进可靠、富有弹性”的金融基础设施体系建设指导方针。布局合理必然要求理顺职能定位和促进互联互通相统一，形成良好有序的生态体系，可参考中央结算公司研发的“中央确权、穿透监管、多级服务、合作共赢”的中债方案。治理有效必然要求实现穿透监管和明确功能监管相统一，形成统筹协调的监管体系，应构建覆盖全债券市场的中央登记托管体系，并向其他金融资产推广，为市场安全发展打下坚实基础。先进可靠必然要求发挥后发优势和遵循国际标准相统一，形成创新引领的业务体系，不搞叠床架屋的拼接，避免短板效应。富有弹性必然要求坚持底线思维和提高制度包容性相统一，形成兼容并蓄的解决方案，应以统一后台对接境外前台，延伸制度触角，满足安全发展需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 未来发展趋势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EE65A"/>
    <w:multiLevelType w:val="singleLevel"/>
    <w:tmpl w:val="83CEE6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4A47451"/>
    <w:multiLevelType w:val="singleLevel"/>
    <w:tmpl w:val="84A4745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2FA5B66"/>
    <w:multiLevelType w:val="singleLevel"/>
    <w:tmpl w:val="92FA5B6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B4B1958"/>
    <w:multiLevelType w:val="singleLevel"/>
    <w:tmpl w:val="9B4B195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9FDCC98A"/>
    <w:multiLevelType w:val="singleLevel"/>
    <w:tmpl w:val="9FDCC98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43CA83F"/>
    <w:multiLevelType w:val="singleLevel"/>
    <w:tmpl w:val="A43CA83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FE26728"/>
    <w:multiLevelType w:val="singleLevel"/>
    <w:tmpl w:val="DFE267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F46C6B72"/>
    <w:multiLevelType w:val="singleLevel"/>
    <w:tmpl w:val="F46C6B7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C00CDB9"/>
    <w:multiLevelType w:val="singleLevel"/>
    <w:tmpl w:val="FC00CDB9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9">
    <w:nsid w:val="116D5D53"/>
    <w:multiLevelType w:val="singleLevel"/>
    <w:tmpl w:val="116D5D5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0">
    <w:nsid w:val="3060D3FF"/>
    <w:multiLevelType w:val="singleLevel"/>
    <w:tmpl w:val="3060D3F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C983DFB"/>
    <w:multiLevelType w:val="singleLevel"/>
    <w:tmpl w:val="3C983DFB"/>
    <w:lvl w:ilvl="0" w:tentative="0">
      <w:start w:val="1"/>
      <w:numFmt w:val="decimal"/>
      <w:suff w:val="space"/>
      <w:lvlText w:val="%1."/>
      <w:lvlJc w:val="left"/>
      <w:pPr>
        <w:ind w:left="600" w:leftChars="0" w:firstLine="0" w:firstLineChars="0"/>
      </w:pPr>
    </w:lvl>
  </w:abstractNum>
  <w:abstractNum w:abstractNumId="12">
    <w:nsid w:val="5A175936"/>
    <w:multiLevelType w:val="singleLevel"/>
    <w:tmpl w:val="5A1759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C78BAA3"/>
    <w:multiLevelType w:val="singleLevel"/>
    <w:tmpl w:val="6C78BAA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1B88A3F"/>
    <w:multiLevelType w:val="singleLevel"/>
    <w:tmpl w:val="71B88A3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4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13"/>
  </w:num>
  <w:num w:numId="10">
    <w:abstractNumId w:val="5"/>
  </w:num>
  <w:num w:numId="11">
    <w:abstractNumId w:val="10"/>
  </w:num>
  <w:num w:numId="12">
    <w:abstractNumId w:val="7"/>
  </w:num>
  <w:num w:numId="13">
    <w:abstractNumId w:val="11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25C30"/>
    <w:rsid w:val="03D57BEC"/>
    <w:rsid w:val="05340442"/>
    <w:rsid w:val="09B519CB"/>
    <w:rsid w:val="0D4D641B"/>
    <w:rsid w:val="0E2D119A"/>
    <w:rsid w:val="10BE0ED0"/>
    <w:rsid w:val="11C82D3A"/>
    <w:rsid w:val="13400836"/>
    <w:rsid w:val="1A5D067C"/>
    <w:rsid w:val="1DD166F5"/>
    <w:rsid w:val="1F021CAB"/>
    <w:rsid w:val="217D2922"/>
    <w:rsid w:val="21DF713E"/>
    <w:rsid w:val="24427076"/>
    <w:rsid w:val="245F534B"/>
    <w:rsid w:val="25D60C15"/>
    <w:rsid w:val="2975598D"/>
    <w:rsid w:val="2E7E58C7"/>
    <w:rsid w:val="2EA767F6"/>
    <w:rsid w:val="2FC73EDD"/>
    <w:rsid w:val="339460D3"/>
    <w:rsid w:val="34AC2C76"/>
    <w:rsid w:val="354E01BD"/>
    <w:rsid w:val="3A007B76"/>
    <w:rsid w:val="3D1C2102"/>
    <w:rsid w:val="3D610E17"/>
    <w:rsid w:val="3DBE1259"/>
    <w:rsid w:val="43026318"/>
    <w:rsid w:val="45B10935"/>
    <w:rsid w:val="46182D46"/>
    <w:rsid w:val="46502B1B"/>
    <w:rsid w:val="471D5595"/>
    <w:rsid w:val="474C4C29"/>
    <w:rsid w:val="488F49AF"/>
    <w:rsid w:val="4CB17A11"/>
    <w:rsid w:val="50481C27"/>
    <w:rsid w:val="52011034"/>
    <w:rsid w:val="522C72A3"/>
    <w:rsid w:val="525B7CE1"/>
    <w:rsid w:val="55156755"/>
    <w:rsid w:val="5868795A"/>
    <w:rsid w:val="5AD24537"/>
    <w:rsid w:val="603D03F9"/>
    <w:rsid w:val="63557EA2"/>
    <w:rsid w:val="649A554A"/>
    <w:rsid w:val="65F32D09"/>
    <w:rsid w:val="74EF3870"/>
    <w:rsid w:val="77EA35A6"/>
    <w:rsid w:val="78DF113B"/>
    <w:rsid w:val="791D56D2"/>
    <w:rsid w:val="79854551"/>
    <w:rsid w:val="7B2F54BE"/>
    <w:rsid w:val="7CDD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64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beforeLines="0" w:beforeAutospacing="0" w:after="360" w:afterLines="0" w:afterAutospacing="0" w:line="240" w:lineRule="auto"/>
      <w:ind w:firstLine="0" w:firstLineChars="0"/>
      <w:jc w:val="center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120" w:afterLines="0" w:afterAutospacing="0" w:line="400" w:lineRule="exact"/>
      <w:ind w:firstLine="0" w:firstLineChars="0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240" w:beforeLines="0" w:beforeAutospacing="0" w:after="120" w:afterLines="0" w:afterAutospacing="0" w:line="480" w:lineRule="exact"/>
      <w:ind w:firstLine="0" w:firstLineChars="0"/>
      <w:jc w:val="left"/>
      <w:outlineLvl w:val="2"/>
    </w:pPr>
    <w:rPr>
      <w:rFonts w:eastAsia="黑体" w:asciiTheme="minorAscii" w:hAnsiTheme="minorAscii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0"/>
    <w:rPr>
      <w:rFonts w:eastAsia="黑体" w:asciiTheme="minorAscii" w:hAnsiTheme="minorAsci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2020-12-29T12:00:00Z</dcterms:created>
  <dc:creator>钟勇</dc:creator>
  <cp:lastModifiedBy>Four_leaf clover</cp:lastModifiedBy>
  <dcterms:modified xsi:type="dcterms:W3CDTF">2021-06-13T08:37:33Z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EC8D62FF7447467B87E6DD338274AD76</vt:lpwstr>
  </property>
</Properties>
</file>