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eastAsia="zh-CN"/>
        </w:rPr>
      </w:pPr>
      <w:r>
        <w:rPr>
          <w:rFonts w:hint="eastAsia" w:ascii="黑体" w:hAnsi="黑体" w:eastAsia="黑体" w:cs="黑体"/>
          <w:sz w:val="32"/>
          <w:szCs w:val="32"/>
          <w:lang w:val="en-US" w:eastAsia="zh-CN"/>
        </w:rPr>
        <w:t>私募</w:t>
      </w:r>
      <w:r>
        <w:rPr>
          <w:rFonts w:hint="eastAsia" w:ascii="黑体" w:hAnsi="黑体" w:eastAsia="黑体" w:cs="黑体"/>
          <w:sz w:val="32"/>
          <w:szCs w:val="32"/>
          <w:lang w:eastAsia="zh-CN"/>
        </w:rPr>
        <w:t>基金行业分析报告</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年新冠疫情成为扰动市场的核心因素，上半年货币政策宽松对冲疫情影响；而下半年随着经济逐步企稳恢复，货币政策扩张力度边际趋缓。2020年成为私募基金的“爆发年”，在资产新规发布后，私募基金历经几年的平稳发展，无论是私募基金管理规模还是基金产品收益都发展的比较好。本文主要分析2020年私募市场变化以及私募基金不同投资策略的收益、风险，从而来判断私募基金未来发展趋势。</w:t>
      </w:r>
    </w:p>
    <w:p>
      <w:pPr>
        <w:pStyle w:val="2"/>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宋体" w:hAnsi="宋体" w:eastAsia="宋体" w:cs="宋体"/>
          <w:sz w:val="28"/>
          <w:szCs w:val="28"/>
        </w:rPr>
      </w:pPr>
      <w:bookmarkStart w:id="0" w:name="_TOC_250016"/>
      <w:r>
        <w:rPr>
          <w:rFonts w:hint="eastAsia" w:ascii="宋体" w:hAnsi="宋体" w:eastAsia="宋体" w:cs="宋体"/>
          <w:sz w:val="28"/>
          <w:szCs w:val="28"/>
        </w:rPr>
        <w:t>1</w:t>
      </w:r>
      <w:bookmarkEnd w:id="0"/>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 xml:space="preserve">私募市场概述 </w:t>
      </w:r>
    </w:p>
    <w:p>
      <w:pPr>
        <w:numPr>
          <w:ilvl w:val="0"/>
          <w:numId w:val="0"/>
        </w:numPr>
        <w:ind w:firstLine="480" w:firstLineChars="200"/>
        <w:jc w:val="both"/>
        <w:rPr>
          <w:rFonts w:ascii="宋体" w:hAnsi="宋体" w:eastAsia="宋体" w:cs="宋体"/>
          <w:sz w:val="24"/>
          <w:szCs w:val="24"/>
        </w:rPr>
      </w:pPr>
      <w:r>
        <w:rPr>
          <w:rFonts w:ascii="宋体" w:hAnsi="宋体" w:eastAsia="宋体" w:cs="宋体"/>
          <w:sz w:val="24"/>
          <w:szCs w:val="24"/>
        </w:rPr>
        <w:t>2020年我国私募证券投资基金管理人数量保持平缓。截至2020年12月末，存续私募基金管理人24561家，较</w:t>
      </w:r>
      <w:r>
        <w:rPr>
          <w:rFonts w:hint="eastAsia" w:ascii="宋体" w:hAnsi="宋体" w:eastAsia="宋体" w:cs="宋体"/>
          <w:sz w:val="24"/>
          <w:szCs w:val="24"/>
          <w:lang w:eastAsia="zh-CN"/>
        </w:rPr>
        <w:t>上年增加</w:t>
      </w:r>
      <w:r>
        <w:rPr>
          <w:rFonts w:hint="eastAsia" w:ascii="宋体" w:hAnsi="宋体" w:eastAsia="宋体" w:cs="宋体"/>
          <w:sz w:val="24"/>
          <w:szCs w:val="24"/>
          <w:lang w:val="en-US" w:eastAsia="zh-CN"/>
        </w:rPr>
        <w:t>9</w:t>
      </w:r>
      <w:r>
        <w:rPr>
          <w:rFonts w:ascii="宋体" w:hAnsi="宋体" w:eastAsia="宋体" w:cs="宋体"/>
          <w:sz w:val="24"/>
          <w:szCs w:val="24"/>
        </w:rPr>
        <w:t>0 家，</w:t>
      </w:r>
      <w:r>
        <w:rPr>
          <w:rFonts w:hint="eastAsia" w:ascii="宋体" w:hAnsi="宋体" w:eastAsia="宋体" w:cs="宋体"/>
          <w:sz w:val="24"/>
          <w:szCs w:val="24"/>
          <w:lang w:eastAsia="zh-CN"/>
        </w:rPr>
        <w:t>同比上涨</w:t>
      </w:r>
      <w:r>
        <w:rPr>
          <w:rFonts w:hint="eastAsia" w:ascii="宋体" w:hAnsi="宋体" w:eastAsia="宋体" w:cs="宋体"/>
          <w:sz w:val="24"/>
          <w:szCs w:val="24"/>
          <w:lang w:val="en-US" w:eastAsia="zh-CN"/>
        </w:rPr>
        <w:t>0.37</w:t>
      </w:r>
      <w:r>
        <w:rPr>
          <w:rFonts w:ascii="宋体" w:hAnsi="宋体" w:eastAsia="宋体" w:cs="宋体"/>
          <w:sz w:val="24"/>
          <w:szCs w:val="24"/>
        </w:rPr>
        <w:t>%；其中，私募证券投资基金管理人8908家，</w:t>
      </w:r>
      <w:r>
        <w:rPr>
          <w:rFonts w:hint="eastAsia" w:ascii="宋体" w:hAnsi="宋体" w:eastAsia="宋体" w:cs="宋体"/>
          <w:sz w:val="24"/>
          <w:szCs w:val="24"/>
          <w:lang w:eastAsia="zh-CN"/>
        </w:rPr>
        <w:t>较上年增加</w:t>
      </w:r>
      <w:r>
        <w:rPr>
          <w:rFonts w:hint="eastAsia" w:ascii="宋体" w:hAnsi="宋体" w:eastAsia="宋体" w:cs="宋体"/>
          <w:sz w:val="24"/>
          <w:szCs w:val="24"/>
          <w:lang w:val="en-US" w:eastAsia="zh-CN"/>
        </w:rPr>
        <w:t>51家</w:t>
      </w:r>
      <w:r>
        <w:rPr>
          <w:rFonts w:ascii="宋体" w:hAnsi="宋体" w:eastAsia="宋体" w:cs="宋体"/>
          <w:sz w:val="24"/>
          <w:szCs w:val="24"/>
        </w:rPr>
        <w:t>；私募股权、创业投资 基金管理人14986</w:t>
      </w:r>
      <w:bookmarkStart w:id="1" w:name="_GoBack"/>
      <w:bookmarkEnd w:id="1"/>
      <w:r>
        <w:rPr>
          <w:rFonts w:ascii="宋体" w:hAnsi="宋体" w:eastAsia="宋体" w:cs="宋体"/>
          <w:sz w:val="24"/>
          <w:szCs w:val="24"/>
        </w:rPr>
        <w:t>家，较上</w:t>
      </w:r>
      <w:r>
        <w:rPr>
          <w:rFonts w:hint="eastAsia" w:ascii="宋体" w:hAnsi="宋体" w:eastAsia="宋体" w:cs="宋体"/>
          <w:sz w:val="24"/>
          <w:szCs w:val="24"/>
          <w:lang w:eastAsia="zh-CN"/>
        </w:rPr>
        <w:t>年增加</w:t>
      </w:r>
      <w:r>
        <w:rPr>
          <w:rFonts w:hint="eastAsia" w:ascii="宋体" w:hAnsi="宋体" w:eastAsia="宋体" w:cs="宋体"/>
          <w:sz w:val="24"/>
          <w:szCs w:val="24"/>
          <w:lang w:val="en-US" w:eastAsia="zh-CN"/>
        </w:rPr>
        <w:t>104</w:t>
      </w:r>
      <w:r>
        <w:rPr>
          <w:rFonts w:ascii="宋体" w:hAnsi="宋体" w:eastAsia="宋体" w:cs="宋体"/>
          <w:sz w:val="24"/>
          <w:szCs w:val="24"/>
        </w:rPr>
        <w:t xml:space="preserve"> 家，</w:t>
      </w:r>
      <w:r>
        <w:rPr>
          <w:rFonts w:hint="eastAsia" w:ascii="宋体" w:hAnsi="宋体" w:eastAsia="宋体" w:cs="宋体"/>
          <w:sz w:val="24"/>
          <w:szCs w:val="24"/>
          <w:lang w:eastAsia="zh-CN"/>
        </w:rPr>
        <w:t>同比上涨</w:t>
      </w:r>
      <w:r>
        <w:rPr>
          <w:rFonts w:hint="eastAsia" w:ascii="宋体" w:hAnsi="宋体" w:eastAsia="宋体" w:cs="宋体"/>
          <w:sz w:val="24"/>
          <w:szCs w:val="24"/>
          <w:lang w:val="en-US" w:eastAsia="zh-CN"/>
        </w:rPr>
        <w:t>0.69</w:t>
      </w:r>
      <w:r>
        <w:rPr>
          <w:rFonts w:ascii="宋体" w:hAnsi="宋体" w:eastAsia="宋体" w:cs="宋体"/>
          <w:sz w:val="24"/>
          <w:szCs w:val="24"/>
        </w:rPr>
        <w:t>%；私募资产配置类基金管理人</w:t>
      </w:r>
      <w:r>
        <w:rPr>
          <w:rFonts w:hint="eastAsia" w:ascii="宋体" w:hAnsi="宋体" w:eastAsia="宋体" w:cs="宋体"/>
          <w:sz w:val="24"/>
          <w:szCs w:val="24"/>
          <w:lang w:val="en-US" w:eastAsia="zh-CN"/>
        </w:rPr>
        <w:t>9</w:t>
      </w:r>
      <w:r>
        <w:rPr>
          <w:rFonts w:ascii="宋体" w:hAnsi="宋体" w:eastAsia="宋体" w:cs="宋体"/>
          <w:sz w:val="24"/>
          <w:szCs w:val="24"/>
        </w:rPr>
        <w:t>家，</w:t>
      </w:r>
      <w:r>
        <w:rPr>
          <w:rFonts w:hint="eastAsia" w:ascii="宋体" w:hAnsi="宋体" w:eastAsia="宋体" w:cs="宋体"/>
          <w:sz w:val="24"/>
          <w:szCs w:val="24"/>
          <w:lang w:eastAsia="zh-CN"/>
        </w:rPr>
        <w:t>较上年增加</w:t>
      </w:r>
      <w:r>
        <w:rPr>
          <w:rFonts w:hint="eastAsia" w:ascii="宋体" w:hAnsi="宋体" w:eastAsia="宋体" w:cs="宋体"/>
          <w:sz w:val="24"/>
          <w:szCs w:val="24"/>
          <w:lang w:val="en-US" w:eastAsia="zh-CN"/>
        </w:rPr>
        <w:t>4家，同比上涨44.44%</w:t>
      </w:r>
      <w:r>
        <w:rPr>
          <w:rFonts w:ascii="宋体" w:hAnsi="宋体" w:eastAsia="宋体" w:cs="宋体"/>
          <w:sz w:val="24"/>
          <w:szCs w:val="24"/>
        </w:rPr>
        <w:t>；其他私募投资基金管理人658家，较上</w:t>
      </w:r>
      <w:r>
        <w:rPr>
          <w:rFonts w:hint="eastAsia" w:ascii="宋体" w:hAnsi="宋体" w:eastAsia="宋体" w:cs="宋体"/>
          <w:sz w:val="24"/>
          <w:szCs w:val="24"/>
          <w:lang w:eastAsia="zh-CN"/>
        </w:rPr>
        <w:t>年</w:t>
      </w:r>
      <w:r>
        <w:rPr>
          <w:rFonts w:ascii="宋体" w:hAnsi="宋体" w:eastAsia="宋体" w:cs="宋体"/>
          <w:sz w:val="24"/>
          <w:szCs w:val="24"/>
        </w:rPr>
        <w:t>减少</w:t>
      </w:r>
      <w:r>
        <w:rPr>
          <w:rFonts w:hint="eastAsia" w:ascii="宋体" w:hAnsi="宋体" w:eastAsia="宋体" w:cs="宋体"/>
          <w:sz w:val="24"/>
          <w:szCs w:val="24"/>
          <w:lang w:val="en-US" w:eastAsia="zh-CN"/>
        </w:rPr>
        <w:t>69</w:t>
      </w:r>
      <w:r>
        <w:rPr>
          <w:rFonts w:ascii="宋体" w:hAnsi="宋体" w:eastAsia="宋体" w:cs="宋体"/>
          <w:sz w:val="24"/>
          <w:szCs w:val="24"/>
        </w:rPr>
        <w:t>家，环比下降</w:t>
      </w:r>
      <w:r>
        <w:rPr>
          <w:rFonts w:hint="eastAsia" w:ascii="宋体" w:hAnsi="宋体" w:eastAsia="宋体" w:cs="宋体"/>
          <w:sz w:val="24"/>
          <w:szCs w:val="24"/>
          <w:lang w:val="en-US" w:eastAsia="zh-CN"/>
        </w:rPr>
        <w:t>10.49</w:t>
      </w:r>
      <w:r>
        <w:rPr>
          <w:rFonts w:ascii="宋体" w:hAnsi="宋体" w:eastAsia="宋体" w:cs="宋体"/>
          <w:sz w:val="24"/>
          <w:szCs w:val="24"/>
        </w:rPr>
        <w:t>%。</w:t>
      </w:r>
      <w:r>
        <w:rPr>
          <w:rFonts w:hint="eastAsia" w:ascii="宋体" w:hAnsi="宋体" w:eastAsia="宋体" w:cs="宋体"/>
          <w:sz w:val="24"/>
          <w:szCs w:val="24"/>
        </w:rPr>
        <w:t>自2017年12月15日，中国证券投资者基金业协会发布《私募基金管理人登记须知》以来，私募基金管理人备案趋严，近两年私募基金管理人数量增速保持平缓。</w:t>
      </w:r>
    </w:p>
    <w:p>
      <w:pPr>
        <w:numPr>
          <w:ilvl w:val="0"/>
          <w:numId w:val="0"/>
        </w:numPr>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1770" cy="3496945"/>
            <wp:effectExtent l="0" t="0" r="5080" b="8255"/>
            <wp:docPr id="2" name="图片 2" descr="9bce446888d97f833017e9acbcfa4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bce446888d97f833017e9acbcfa49c"/>
                    <pic:cNvPicPr>
                      <a:picLocks noChangeAspect="1"/>
                    </pic:cNvPicPr>
                  </pic:nvPicPr>
                  <pic:blipFill>
                    <a:blip r:embed="rId5"/>
                    <a:stretch>
                      <a:fillRect/>
                    </a:stretch>
                  </pic:blipFill>
                  <pic:spPr>
                    <a:xfrm>
                      <a:off x="0" y="0"/>
                      <a:ext cx="5271770" cy="3496945"/>
                    </a:xfrm>
                    <a:prstGeom prst="rect">
                      <a:avLst/>
                    </a:prstGeom>
                  </pic:spPr>
                </pic:pic>
              </a:graphicData>
            </a:graphic>
          </wp:inline>
        </w:drawing>
      </w:r>
    </w:p>
    <w:p>
      <w:pPr>
        <w:numPr>
          <w:ilvl w:val="0"/>
          <w:numId w:val="0"/>
        </w:numPr>
        <w:ind w:firstLine="480" w:firstLineChars="200"/>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 xml:space="preserve">1-1 </w:t>
      </w:r>
      <w:r>
        <w:rPr>
          <w:rFonts w:hint="eastAsia" w:ascii="宋体" w:hAnsi="宋体" w:eastAsia="宋体" w:cs="宋体"/>
          <w:sz w:val="24"/>
          <w:szCs w:val="24"/>
          <w:lang w:eastAsia="zh-CN"/>
        </w:rPr>
        <w:t>各类型私募基金管理情况（单位：家）</w:t>
      </w:r>
    </w:p>
    <w:p>
      <w:pPr>
        <w:numPr>
          <w:ilvl w:val="0"/>
          <w:numId w:val="0"/>
        </w:numPr>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数据来源：基金业协会</w:t>
      </w:r>
    </w:p>
    <w:p>
      <w:pPr>
        <w:numPr>
          <w:ilvl w:val="0"/>
          <w:numId w:val="0"/>
        </w:numPr>
        <w:ind w:firstLine="480" w:firstLineChars="200"/>
        <w:jc w:val="both"/>
        <w:rPr>
          <w:rFonts w:ascii="宋体" w:hAnsi="宋体" w:eastAsia="宋体" w:cs="宋体"/>
          <w:sz w:val="24"/>
          <w:szCs w:val="24"/>
        </w:rPr>
      </w:pPr>
      <w:r>
        <w:rPr>
          <w:rFonts w:hint="eastAsia" w:ascii="宋体" w:hAnsi="宋体" w:eastAsia="宋体" w:cs="宋体"/>
          <w:sz w:val="24"/>
          <w:szCs w:val="24"/>
        </w:rPr>
        <w:t>自2017年11月资管新规发布初期，私募基金通过银行理财募资受限，使得管理规模出现大幅下滑。但后续随着资产管理需求爆发以及近年来各主要市场涨幅较大等原因，私募机构平均管理规模稳步提升。</w:t>
      </w:r>
      <w:r>
        <w:rPr>
          <w:rFonts w:ascii="宋体" w:hAnsi="宋体" w:eastAsia="宋体" w:cs="宋体"/>
          <w:sz w:val="24"/>
          <w:szCs w:val="24"/>
        </w:rPr>
        <w:t>截至2020年12月末</w:t>
      </w:r>
      <w:r>
        <w:rPr>
          <w:rFonts w:hint="eastAsia" w:ascii="宋体" w:hAnsi="宋体" w:eastAsia="宋体" w:cs="宋体"/>
          <w:sz w:val="24"/>
          <w:szCs w:val="24"/>
          <w:lang w:eastAsia="zh-CN"/>
        </w:rPr>
        <w:t>，不同机构</w:t>
      </w:r>
      <w:r>
        <w:rPr>
          <w:rFonts w:ascii="宋体" w:hAnsi="宋体" w:eastAsia="宋体" w:cs="宋体"/>
          <w:sz w:val="24"/>
          <w:szCs w:val="24"/>
        </w:rPr>
        <w:t>管理基金数量96852只，较上</w:t>
      </w:r>
      <w:r>
        <w:rPr>
          <w:rFonts w:hint="eastAsia" w:ascii="宋体" w:hAnsi="宋体" w:eastAsia="宋体" w:cs="宋体"/>
          <w:sz w:val="24"/>
          <w:szCs w:val="24"/>
          <w:lang w:eastAsia="zh-CN"/>
        </w:rPr>
        <w:t>年</w:t>
      </w:r>
      <w:r>
        <w:rPr>
          <w:rFonts w:ascii="宋体" w:hAnsi="宋体" w:eastAsia="宋体" w:cs="宋体"/>
          <w:sz w:val="24"/>
          <w:szCs w:val="24"/>
        </w:rPr>
        <w:t xml:space="preserve">增加 </w:t>
      </w:r>
      <w:r>
        <w:rPr>
          <w:rFonts w:hint="eastAsia" w:ascii="宋体" w:hAnsi="宋体" w:eastAsia="宋体" w:cs="宋体"/>
          <w:sz w:val="24"/>
          <w:szCs w:val="24"/>
          <w:lang w:val="en-US" w:eastAsia="zh-CN"/>
        </w:rPr>
        <w:t>15113</w:t>
      </w:r>
      <w:r>
        <w:rPr>
          <w:rFonts w:ascii="宋体" w:hAnsi="宋体" w:eastAsia="宋体" w:cs="宋体"/>
          <w:sz w:val="24"/>
          <w:szCs w:val="24"/>
        </w:rPr>
        <w:t xml:space="preserve"> 只</w:t>
      </w:r>
      <w:r>
        <w:rPr>
          <w:rFonts w:hint="eastAsia" w:ascii="宋体" w:hAnsi="宋体" w:eastAsia="宋体" w:cs="宋体"/>
          <w:sz w:val="24"/>
          <w:szCs w:val="24"/>
          <w:lang w:eastAsia="zh-CN"/>
        </w:rPr>
        <w:t>，同</w:t>
      </w:r>
      <w:r>
        <w:rPr>
          <w:rFonts w:ascii="宋体" w:hAnsi="宋体" w:eastAsia="宋体" w:cs="宋体"/>
          <w:sz w:val="24"/>
          <w:szCs w:val="24"/>
        </w:rPr>
        <w:t>比增长</w:t>
      </w:r>
      <w:r>
        <w:rPr>
          <w:rFonts w:hint="eastAsia" w:ascii="宋体" w:hAnsi="宋体" w:eastAsia="宋体" w:cs="宋体"/>
          <w:sz w:val="24"/>
          <w:szCs w:val="24"/>
          <w:lang w:val="en-US" w:eastAsia="zh-CN"/>
        </w:rPr>
        <w:t>15.60</w:t>
      </w:r>
      <w:r>
        <w:rPr>
          <w:rFonts w:ascii="宋体" w:hAnsi="宋体" w:eastAsia="宋体" w:cs="宋体"/>
          <w:sz w:val="24"/>
          <w:szCs w:val="24"/>
        </w:rPr>
        <w:t>%；管理基金规模15.97万亿元，较上</w:t>
      </w:r>
      <w:r>
        <w:rPr>
          <w:rFonts w:hint="eastAsia" w:ascii="宋体" w:hAnsi="宋体" w:eastAsia="宋体" w:cs="宋体"/>
          <w:sz w:val="24"/>
          <w:szCs w:val="24"/>
          <w:lang w:eastAsia="zh-CN"/>
        </w:rPr>
        <w:t>年</w:t>
      </w:r>
      <w:r>
        <w:rPr>
          <w:rFonts w:ascii="宋体" w:hAnsi="宋体" w:eastAsia="宋体" w:cs="宋体"/>
          <w:sz w:val="24"/>
          <w:szCs w:val="24"/>
        </w:rPr>
        <w:t>增加</w:t>
      </w:r>
      <w:r>
        <w:rPr>
          <w:rFonts w:hint="eastAsia" w:ascii="宋体" w:hAnsi="宋体" w:eastAsia="宋体" w:cs="宋体"/>
          <w:sz w:val="24"/>
          <w:szCs w:val="24"/>
          <w:lang w:val="en-US" w:eastAsia="zh-CN"/>
        </w:rPr>
        <w:t>22314</w:t>
      </w:r>
      <w:r>
        <w:rPr>
          <w:rFonts w:ascii="宋体" w:hAnsi="宋体" w:eastAsia="宋体" w:cs="宋体"/>
          <w:sz w:val="24"/>
          <w:szCs w:val="24"/>
        </w:rPr>
        <w:t>亿元，</w:t>
      </w:r>
      <w:r>
        <w:rPr>
          <w:rFonts w:hint="eastAsia" w:ascii="宋体" w:hAnsi="宋体" w:eastAsia="宋体" w:cs="宋体"/>
          <w:sz w:val="24"/>
          <w:szCs w:val="24"/>
          <w:lang w:eastAsia="zh-CN"/>
        </w:rPr>
        <w:t>同</w:t>
      </w:r>
      <w:r>
        <w:rPr>
          <w:rFonts w:ascii="宋体" w:hAnsi="宋体" w:eastAsia="宋体" w:cs="宋体"/>
          <w:sz w:val="24"/>
          <w:szCs w:val="24"/>
        </w:rPr>
        <w:t>比增长</w:t>
      </w:r>
      <w:r>
        <w:rPr>
          <w:rFonts w:hint="eastAsia" w:ascii="宋体" w:hAnsi="宋体" w:eastAsia="宋体" w:cs="宋体"/>
          <w:sz w:val="24"/>
          <w:szCs w:val="24"/>
          <w:lang w:val="en-US" w:eastAsia="zh-CN"/>
        </w:rPr>
        <w:t>13.97</w:t>
      </w:r>
      <w:r>
        <w:rPr>
          <w:rFonts w:ascii="宋体" w:hAnsi="宋体" w:eastAsia="宋体" w:cs="宋体"/>
          <w:sz w:val="24"/>
          <w:szCs w:val="24"/>
        </w:rPr>
        <w:t>%。</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9865" cy="2687320"/>
            <wp:effectExtent l="0" t="0" r="6985" b="17780"/>
            <wp:docPr id="3" name="图片 3" descr="be53648b5c7d10aaf87fb15e4438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e53648b5c7d10aaf87fb15e443868a"/>
                    <pic:cNvPicPr>
                      <a:picLocks noChangeAspect="1"/>
                    </pic:cNvPicPr>
                  </pic:nvPicPr>
                  <pic:blipFill>
                    <a:blip r:embed="rId6"/>
                    <a:stretch>
                      <a:fillRect/>
                    </a:stretch>
                  </pic:blipFill>
                  <pic:spPr>
                    <a:xfrm>
                      <a:off x="0" y="0"/>
                      <a:ext cx="5269865" cy="2687320"/>
                    </a:xfrm>
                    <a:prstGeom prst="rect">
                      <a:avLst/>
                    </a:prstGeom>
                  </pic:spPr>
                </pic:pic>
              </a:graphicData>
            </a:graphic>
          </wp:inline>
        </w:drawing>
      </w:r>
    </w:p>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图1-2：私募基金管理人存续情况趋势</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数据来源：基金业协会</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343400" cy="2419350"/>
            <wp:effectExtent l="0" t="0" r="0" b="0"/>
            <wp:docPr id="8" name="图片 8" descr="1620874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0874153(1)"/>
                    <pic:cNvPicPr>
                      <a:picLocks noChangeAspect="1"/>
                    </pic:cNvPicPr>
                  </pic:nvPicPr>
                  <pic:blipFill>
                    <a:blip r:embed="rId7"/>
                    <a:stretch>
                      <a:fillRect/>
                    </a:stretch>
                  </pic:blipFill>
                  <pic:spPr>
                    <a:xfrm>
                      <a:off x="0" y="0"/>
                      <a:ext cx="4343400" cy="2419350"/>
                    </a:xfrm>
                    <a:prstGeom prst="rect">
                      <a:avLst/>
                    </a:prstGeom>
                  </pic:spPr>
                </pic:pic>
              </a:graphicData>
            </a:graphic>
          </wp:inline>
        </w:drawing>
      </w:r>
    </w:p>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图1-3：私募基金规模占比 </w:t>
      </w:r>
    </w:p>
    <w:p>
      <w:pPr>
        <w:numPr>
          <w:ilvl w:val="0"/>
          <w:numId w:val="0"/>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数据来源:wind数据库</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新基金发行数量与规模齐上升。据基金业协会统计，2020年共备案 20073 只私募基金产品，备案规模达 4290.37 亿元，较去年全年增长 183.72%。从月度数据看，多个月份的新发基金数量创近五年新高。尤其在 2020 年下半年，新</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发私募基金产品数量远超 2017-2019 年同期水平。从图1-3可以看出，50亿规模以上的基金已经将近三分之一，私募基金规模增长到现在的这个规模，主要得益于股权投资基金的快速发展，尤其是一些上市股权投资基金。另外私募基金对股权分置改革和各种并购重组也进行了广泛而深度的参与。私募基金也积极介入了很多上市公司的股权交易，通过协议转让的方式获取非流通的上市公司股权，在全流通后通过在二级市场抛售或者再次转让的方式获利。</w:t>
      </w:r>
    </w:p>
    <w:p>
      <w:pPr>
        <w:pStyle w:val="2"/>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私募市场基金产品业绩表现</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私募基金业绩分析</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受今年疫情影响，股票市场反复震荡。1634 只具有连续一年以上净值数据的非结构化私募产品当月平均收益率为3.6%，年平均收益率为 30.11%。其中，2020 年度实现正收益的产品数量为1446只，占比为87.69%，整体表现强于上证综指与深圳成指。</w:t>
      </w:r>
    </w:p>
    <w:p>
      <w:pPr>
        <w:numPr>
          <w:ilvl w:val="0"/>
          <w:numId w:val="0"/>
        </w:num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表2-1:2020年各主要市场指数表现</w:t>
      </w:r>
    </w:p>
    <w:p>
      <w:pPr>
        <w:numPr>
          <w:ilvl w:val="0"/>
          <w:numId w:val="0"/>
        </w:numPr>
        <w:pBdr>
          <w:top w:val="single" w:color="auto" w:sz="4" w:space="0"/>
          <w:bottom w:val="none" w:color="auto" w:sz="0" w:space="0"/>
        </w:pBd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指数名称</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全年涨跌幅</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一季度涨跌幅</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二季度涨跌幅</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三季度涨跌幅</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四季度涨跌幅</w:t>
      </w:r>
    </w:p>
    <w:p>
      <w:pPr>
        <w:numPr>
          <w:ilvl w:val="0"/>
          <w:numId w:val="0"/>
        </w:numPr>
        <w:pBdr>
          <w:top w:val="single" w:color="auto" w:sz="4" w:space="0"/>
          <w:bottom w:val="single" w:color="auto" w:sz="4" w:space="0"/>
        </w:pBd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13.87%</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-9.83%</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8.52%</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7.82%</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7.92%</w:t>
      </w:r>
    </w:p>
    <w:p>
      <w:pPr>
        <w:numPr>
          <w:ilvl w:val="0"/>
          <w:numId w:val="0"/>
        </w:numPr>
        <w:pBdr>
          <w:top w:val="single" w:color="auto" w:sz="4" w:space="0"/>
          <w:bottom w:val="single" w:color="auto" w:sz="4" w:space="0"/>
        </w:pBd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沪深300</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27.21%</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-10.02%</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12.96%</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10.17%</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13.60%</w:t>
      </w:r>
    </w:p>
    <w:p>
      <w:pPr>
        <w:numPr>
          <w:ilvl w:val="0"/>
          <w:numId w:val="0"/>
        </w:numPr>
        <w:pBdr>
          <w:top w:val="single" w:color="auto" w:sz="4" w:space="0"/>
          <w:bottom w:val="single" w:color="auto" w:sz="4" w:space="0"/>
        </w:pBd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深证成指</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38.73%</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-4.49%</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20.38%</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7.63%</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12.11%</w:t>
      </w:r>
    </w:p>
    <w:p>
      <w:pPr>
        <w:numPr>
          <w:ilvl w:val="0"/>
          <w:numId w:val="0"/>
        </w:numPr>
        <w:pBdr>
          <w:top w:val="single" w:color="auto" w:sz="4" w:space="0"/>
          <w:bottom w:val="single" w:color="auto" w:sz="4" w:space="0"/>
        </w:pBd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中小板指</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43.91%</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-1.94%</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23.24%</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8.19%</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10.07%</w:t>
      </w:r>
    </w:p>
    <w:p>
      <w:pPr>
        <w:numPr>
          <w:ilvl w:val="0"/>
          <w:numId w:val="0"/>
        </w:numPr>
        <w:pBdr>
          <w:top w:val="single" w:color="auto" w:sz="4" w:space="0"/>
          <w:bottom w:val="single" w:color="auto" w:sz="4" w:space="0"/>
        </w:pBd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创业板指</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64.96%</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4.10%</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30.25%</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5.60%</w:t>
      </w:r>
      <w:r>
        <w:rPr>
          <w:rFonts w:hint="default"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15.21%</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数据来源:wind数据库</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策略来看，2020年管理期货表现靠前，管理期货收益率最高，达到了40.94%，其次是宏观策略。所有策略产品平均收益均得正值。其中，管理期货、宏观策略涨幅靠前。业绩垫底的为股票市场中性与债券基金，2020年收益率分别为 18.42%和10.68%。从波动的角度来看，2020年股票策略、管理期货和宏观策略产品波动较大，波动率都超过了20%，而其中股票策略产品收益率波动区间也是最大的，在2020年收益率最小值有-75.72%，最大值为237.41%。所以从风险-收益性价比的角度看,套利策略、组合基金与宏观策略表现靠前。</w:t>
      </w:r>
    </w:p>
    <w:p>
      <w:pPr>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表2-2:2020年各类私募基金收益率表现</w:t>
      </w:r>
    </w:p>
    <w:p>
      <w:pPr>
        <w:numPr>
          <w:ilvl w:val="0"/>
          <w:numId w:val="0"/>
        </w:numPr>
        <w:pBdr>
          <w:top w:val="single" w:color="767070" w:sz="4" w:space="0"/>
          <w:bottom w:val="single" w:color="767070" w:sz="4" w:space="0"/>
        </w:pBdr>
        <w:ind w:left="6480" w:hanging="6480" w:hangingChars="27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产品类型 2020年收益率 2020年波动率 全年正收益比例  2020年收益率区间最小值</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最大值</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股票策略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32.37%</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23.02%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86.22%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-75.72%  237.41%</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股票市场中性</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18.42%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6.63%</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89.66%</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-12.01%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45.81%</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套利策略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20.71%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9.44%</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89.29%</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-3.62%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109.14%</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管理期货</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40.94%</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22.44%</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92.05%</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-5.37%</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357.01%</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宏观策略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36.85%</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21.48%</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87.88%</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-27.63%</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91.39%</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债券基金</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10.68%</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10.42%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95.70%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-4.40%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217.66%</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多策略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22.92%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19.02%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85.07%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-25.86%</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190.80%</w:t>
      </w:r>
    </w:p>
    <w:p>
      <w:pPr>
        <w:numPr>
          <w:ilvl w:val="0"/>
          <w:numId w:val="0"/>
        </w:numPr>
        <w:pBdr>
          <w:bottom w:val="single" w:color="auto" w:sz="4" w:space="0"/>
        </w:pBd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组合基金</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27.93%</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11.36%</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98.41%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-7.11%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156.78%</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数据来源：wind数据库</w:t>
      </w:r>
    </w:p>
    <w:p>
      <w:pPr>
        <w:pStyle w:val="2"/>
        <w:keepNext/>
        <w:keepLines/>
        <w:pageBreakBefore w:val="0"/>
        <w:widowControl w:val="0"/>
        <w:kinsoku/>
        <w:wordWrap/>
        <w:overflowPunct/>
        <w:topLinePunct w:val="0"/>
        <w:autoSpaceDE/>
        <w:autoSpaceDN/>
        <w:bidi w:val="0"/>
        <w:adjustRightInd/>
        <w:snapToGrid/>
        <w:spacing w:before="0" w:after="0" w:line="360" w:lineRule="auto"/>
        <w:jc w:val="center"/>
        <w:textAlignment w:val="auto"/>
      </w:pPr>
      <w:r>
        <w:drawing>
          <wp:inline distT="0" distB="0" distL="114300" distR="114300">
            <wp:extent cx="2943225" cy="2076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943225" cy="2076450"/>
                    </a:xfrm>
                    <a:prstGeom prst="rect">
                      <a:avLst/>
                    </a:prstGeom>
                    <a:noFill/>
                    <a:ln>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图2-1：2020年不同投资策略的基金比重</w:t>
      </w:r>
      <w:r>
        <w:rPr>
          <w:rFonts w:hint="eastAsia" w:ascii="宋体" w:hAnsi="宋体" w:eastAsia="宋体" w:cs="宋体"/>
          <w:sz w:val="24"/>
          <w:szCs w:val="24"/>
          <w:lang w:val="en-US" w:eastAsia="zh-CN"/>
        </w:rPr>
        <w:drawing>
          <wp:inline distT="0" distB="0" distL="114300" distR="114300">
            <wp:extent cx="5269865" cy="2973705"/>
            <wp:effectExtent l="0" t="0" r="6985" b="17145"/>
            <wp:docPr id="5" name="图片 5" descr="1620870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0870806(1)"/>
                    <pic:cNvPicPr>
                      <a:picLocks noChangeAspect="1"/>
                    </pic:cNvPicPr>
                  </pic:nvPicPr>
                  <pic:blipFill>
                    <a:blip r:embed="rId9"/>
                    <a:stretch>
                      <a:fillRect/>
                    </a:stretch>
                  </pic:blipFill>
                  <pic:spPr>
                    <a:xfrm>
                      <a:off x="0" y="0"/>
                      <a:ext cx="5269865" cy="2973705"/>
                    </a:xfrm>
                    <a:prstGeom prst="rect">
                      <a:avLst/>
                    </a:prstGeom>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图2-2：近几年不同投资策略基金数量变化</w:t>
      </w:r>
    </w:p>
    <w:p>
      <w:pPr>
        <w:numPr>
          <w:ilvl w:val="0"/>
          <w:numId w:val="0"/>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数据来源：wind数据库</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图2-1可以看出在私募基金中，按投资策略分类，股票策略基金所占比重最大，占比整个私募基金行业的78%，而表2-2中股票多头策略产品表现较好，在所有分类中涨幅排名为第四位，2020年收益率为30.92%，而股票多空表现一般，甚至股票市场中性业绩垫底。从这个数据分析来看，2020年虽然疫情爆发，但由于我国很快就控制住疫情情况，大多数投资者对于股票市场还是看好的。</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2015年-2020年期间，股票策略基金数量变化最大，逐年递减，从4872只减少到3910只，基金数量减少了962只。而其他的策略基金都有不同幅度的增长，其中多策略基金和债券基金增加的最多，从2015年的几只基金增长到2020年的200多只。金融市场的不断成熟促进了私募基金的发展，上面分析到现在的私募基金的规模已经快达到公募基金的规模了，而基金的种类，数量也在不断增加，2015年仅有股票投资策略基金，其他寥寥无几，发展到现在虽然股票策略基金数量有所下降，但其他的都已经初具规模，给我国合格投资者更多的投资选择，也更符合我国资本市场发展。</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从风险分类角度</w:t>
      </w:r>
    </w:p>
    <w:p>
      <w:pPr>
        <w:numPr>
          <w:ilvl w:val="0"/>
          <w:numId w:val="0"/>
        </w:num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根据私募产品在</w:t>
      </w:r>
      <w:r>
        <w:rPr>
          <w:rFonts w:hint="eastAsia" w:ascii="宋体" w:hAnsi="宋体" w:eastAsia="宋体" w:cs="宋体"/>
          <w:sz w:val="24"/>
          <w:szCs w:val="24"/>
          <w:lang w:val="en-US" w:eastAsia="zh-CN"/>
        </w:rPr>
        <w:t>2020年这一</w:t>
      </w:r>
      <w:r>
        <w:rPr>
          <w:rFonts w:hint="default" w:ascii="宋体" w:hAnsi="宋体" w:eastAsia="宋体" w:cs="宋体"/>
          <w:sz w:val="24"/>
          <w:szCs w:val="24"/>
          <w:lang w:val="en-US" w:eastAsia="zh-CN"/>
        </w:rPr>
        <w:t>区间内的年化波动率将其分为高波动、较高波动、中等波动、较低波动和低波动五大类，然后在不同的波动类别中对该类别内的产品进行比较。</w:t>
      </w:r>
    </w:p>
    <w:p>
      <w:pPr>
        <w:numPr>
          <w:ilvl w:val="0"/>
          <w:numId w:val="0"/>
        </w:num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以运作满 3 年 1 个月且具有连续一年以上净值数据的非结构化对冲基金为样本。从 2020 年的累积收益率来看，高波动产品表现最佳，平均收益率为 36.29%。低波动产品表现最差，最近一年的平均累计收益率为9.85%。</w:t>
      </w:r>
      <w:r>
        <w:rPr>
          <w:rFonts w:hint="eastAsia" w:ascii="宋体" w:hAnsi="宋体" w:eastAsia="宋体" w:cs="宋体"/>
          <w:sz w:val="24"/>
          <w:szCs w:val="24"/>
          <w:lang w:val="en-US" w:eastAsia="zh-CN"/>
        </w:rPr>
        <w:t>从正收益比例来看，较低波动产品表现较好，高波动产品表现最差，从这方面看较高波动产品最佳，不仅基金表现稳定而且收益率也较高。高波动产品意味着基金收益变动较大，</w:t>
      </w:r>
      <w:r>
        <w:rPr>
          <w:rFonts w:hint="default" w:ascii="宋体" w:hAnsi="宋体" w:eastAsia="宋体" w:cs="宋体"/>
          <w:sz w:val="24"/>
          <w:szCs w:val="24"/>
          <w:lang w:val="en-US" w:eastAsia="zh-CN"/>
        </w:rPr>
        <w:t>在上行市场中，高波动产品给投资者带来了超额补偿，而低波动产品收益表现较弱</w:t>
      </w:r>
      <w:r>
        <w:rPr>
          <w:rFonts w:hint="eastAsia" w:ascii="宋体" w:hAnsi="宋体" w:eastAsia="宋体" w:cs="宋体"/>
          <w:sz w:val="24"/>
          <w:szCs w:val="24"/>
          <w:lang w:val="en-US" w:eastAsia="zh-CN"/>
        </w:rPr>
        <w:t>；在下行市场中，高波动产品收益表现会较弱，甚至可能就会给投资者带来损失，而低波动产品收益表现可能会超过指数收益，给投资者带来超预期的收益。</w:t>
      </w:r>
    </w:p>
    <w:p>
      <w:pPr>
        <w:numPr>
          <w:ilvl w:val="0"/>
          <w:numId w:val="0"/>
        </w:numPr>
        <w:ind w:firstLine="480" w:firstLineChars="20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表2-3：不同波动类别基金对比</w:t>
      </w:r>
    </w:p>
    <w:tbl>
      <w:tblPr>
        <w:tblStyle w:val="8"/>
        <w:tblW w:w="4997" w:type="pct"/>
        <w:tblInd w:w="0"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Layout w:type="autofit"/>
        <w:tblCellMar>
          <w:top w:w="0" w:type="dxa"/>
          <w:left w:w="108" w:type="dxa"/>
          <w:bottom w:w="0" w:type="dxa"/>
          <w:right w:w="108" w:type="dxa"/>
        </w:tblCellMar>
      </w:tblPr>
      <w:tblGrid>
        <w:gridCol w:w="1083"/>
        <w:gridCol w:w="1624"/>
        <w:gridCol w:w="1624"/>
        <w:gridCol w:w="1733"/>
        <w:gridCol w:w="1200"/>
        <w:gridCol w:w="1258"/>
      </w:tblGrid>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312" w:hRule="atLeast"/>
        </w:trPr>
        <w:tc>
          <w:tcPr>
            <w:tcW w:w="633" w:type="pct"/>
            <w:vMerge w:val="restart"/>
            <w:tcBorders>
              <w:left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产品类型</w:t>
            </w:r>
          </w:p>
        </w:tc>
        <w:tc>
          <w:tcPr>
            <w:tcW w:w="954" w:type="pct"/>
            <w:vMerge w:val="restart"/>
            <w:tcBorders>
              <w:left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 年收益率</w:t>
            </w:r>
          </w:p>
        </w:tc>
        <w:tc>
          <w:tcPr>
            <w:tcW w:w="954" w:type="pct"/>
            <w:vMerge w:val="restart"/>
            <w:tcBorders>
              <w:left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 年波动率</w:t>
            </w:r>
          </w:p>
        </w:tc>
        <w:tc>
          <w:tcPr>
            <w:tcW w:w="1013" w:type="pct"/>
            <w:vMerge w:val="restart"/>
            <w:tcBorders>
              <w:left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全年正收益比例</w:t>
            </w:r>
          </w:p>
        </w:tc>
        <w:tc>
          <w:tcPr>
            <w:tcW w:w="1443" w:type="pct"/>
            <w:gridSpan w:val="2"/>
            <w:tcBorders>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2020年收益率分布区间</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12" w:hRule="atLeast"/>
        </w:trPr>
        <w:tc>
          <w:tcPr>
            <w:tcW w:w="633" w:type="pct"/>
            <w:vMerge w:val="continue"/>
            <w:tcBorders>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sz w:val="24"/>
                <w:szCs w:val="24"/>
              </w:rPr>
            </w:pPr>
          </w:p>
        </w:tc>
        <w:tc>
          <w:tcPr>
            <w:tcW w:w="954" w:type="pct"/>
            <w:vMerge w:val="continue"/>
            <w:tcBorders>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sz w:val="24"/>
                <w:szCs w:val="24"/>
              </w:rPr>
            </w:pPr>
          </w:p>
        </w:tc>
        <w:tc>
          <w:tcPr>
            <w:tcW w:w="954" w:type="pct"/>
            <w:vMerge w:val="continue"/>
            <w:tcBorders>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sz w:val="24"/>
                <w:szCs w:val="24"/>
              </w:rPr>
            </w:pPr>
          </w:p>
        </w:tc>
        <w:tc>
          <w:tcPr>
            <w:tcW w:w="1013" w:type="pct"/>
            <w:vMerge w:val="continue"/>
            <w:tcBorders>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sz w:val="24"/>
                <w:szCs w:val="24"/>
              </w:rPr>
            </w:pPr>
          </w:p>
        </w:tc>
        <w:tc>
          <w:tcPr>
            <w:tcW w:w="704" w:type="pct"/>
            <w:tcBorders>
              <w:top w:val="single" w:color="auto" w:sz="4" w:space="0"/>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最小值</w:t>
            </w:r>
          </w:p>
        </w:tc>
        <w:tc>
          <w:tcPr>
            <w:tcW w:w="738" w:type="pct"/>
            <w:tcBorders>
              <w:top w:val="single" w:color="auto" w:sz="4" w:space="0"/>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最大值</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15" w:hRule="atLeast"/>
        </w:trPr>
        <w:tc>
          <w:tcPr>
            <w:tcW w:w="633" w:type="pct"/>
            <w:tcBorders>
              <w:top w:val="single" w:color="auto" w:sz="4" w:space="0"/>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低波动</w:t>
            </w:r>
          </w:p>
        </w:tc>
        <w:tc>
          <w:tcPr>
            <w:tcW w:w="954" w:type="pct"/>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10.04%</w:t>
            </w:r>
          </w:p>
        </w:tc>
        <w:tc>
          <w:tcPr>
            <w:tcW w:w="954" w:type="pct"/>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5.90%</w:t>
            </w:r>
          </w:p>
        </w:tc>
        <w:tc>
          <w:tcPr>
            <w:tcW w:w="1013" w:type="pct"/>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82.22%</w:t>
            </w:r>
          </w:p>
        </w:tc>
        <w:tc>
          <w:tcPr>
            <w:tcW w:w="704" w:type="pct"/>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-5.45%</w:t>
            </w:r>
          </w:p>
        </w:tc>
        <w:tc>
          <w:tcPr>
            <w:tcW w:w="738" w:type="pct"/>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48.52%</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15" w:hRule="atLeast"/>
        </w:trPr>
        <w:tc>
          <w:tcPr>
            <w:tcW w:w="633"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较低波动</w:t>
            </w:r>
          </w:p>
        </w:tc>
        <w:tc>
          <w:tcPr>
            <w:tcW w:w="954"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29.38%</w:t>
            </w:r>
          </w:p>
        </w:tc>
        <w:tc>
          <w:tcPr>
            <w:tcW w:w="954"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17.44%</w:t>
            </w:r>
          </w:p>
        </w:tc>
        <w:tc>
          <w:tcPr>
            <w:tcW w:w="1013"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97.47%</w:t>
            </w:r>
          </w:p>
        </w:tc>
        <w:tc>
          <w:tcPr>
            <w:tcW w:w="704"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-9.51%</w:t>
            </w:r>
          </w:p>
        </w:tc>
        <w:tc>
          <w:tcPr>
            <w:tcW w:w="738"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104.93%</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15" w:hRule="atLeast"/>
        </w:trPr>
        <w:tc>
          <w:tcPr>
            <w:tcW w:w="633"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中等波动</w:t>
            </w:r>
          </w:p>
        </w:tc>
        <w:tc>
          <w:tcPr>
            <w:tcW w:w="954"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33.94%</w:t>
            </w:r>
          </w:p>
        </w:tc>
        <w:tc>
          <w:tcPr>
            <w:tcW w:w="954"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23.40%</w:t>
            </w:r>
          </w:p>
        </w:tc>
        <w:tc>
          <w:tcPr>
            <w:tcW w:w="1013"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88.61%</w:t>
            </w:r>
          </w:p>
        </w:tc>
        <w:tc>
          <w:tcPr>
            <w:tcW w:w="704"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-50.63%</w:t>
            </w:r>
          </w:p>
        </w:tc>
        <w:tc>
          <w:tcPr>
            <w:tcW w:w="738"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190.80%</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15" w:hRule="atLeast"/>
        </w:trPr>
        <w:tc>
          <w:tcPr>
            <w:tcW w:w="633" w:type="pct"/>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较高波动</w:t>
            </w:r>
          </w:p>
        </w:tc>
        <w:tc>
          <w:tcPr>
            <w:tcW w:w="954"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35.59%</w:t>
            </w:r>
          </w:p>
        </w:tc>
        <w:tc>
          <w:tcPr>
            <w:tcW w:w="954"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30.67%</w:t>
            </w:r>
          </w:p>
        </w:tc>
        <w:tc>
          <w:tcPr>
            <w:tcW w:w="1013"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89.06%</w:t>
            </w:r>
          </w:p>
        </w:tc>
        <w:tc>
          <w:tcPr>
            <w:tcW w:w="704"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-45.52%</w:t>
            </w:r>
          </w:p>
        </w:tc>
        <w:tc>
          <w:tcPr>
            <w:tcW w:w="738" w:type="pct"/>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357.01%</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15" w:hRule="atLeast"/>
        </w:trPr>
        <w:tc>
          <w:tcPr>
            <w:tcW w:w="633" w:type="pct"/>
            <w:tcBorders>
              <w:top w:val="nil"/>
              <w:left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高波动</w:t>
            </w:r>
          </w:p>
        </w:tc>
        <w:tc>
          <w:tcPr>
            <w:tcW w:w="954" w:type="pct"/>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37.56%</w:t>
            </w:r>
          </w:p>
        </w:tc>
        <w:tc>
          <w:tcPr>
            <w:tcW w:w="954" w:type="pct"/>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35.80%</w:t>
            </w:r>
          </w:p>
        </w:tc>
        <w:tc>
          <w:tcPr>
            <w:tcW w:w="1013" w:type="pct"/>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63.89%</w:t>
            </w:r>
          </w:p>
        </w:tc>
        <w:tc>
          <w:tcPr>
            <w:tcW w:w="704" w:type="pct"/>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-33.23%</w:t>
            </w:r>
          </w:p>
        </w:tc>
        <w:tc>
          <w:tcPr>
            <w:tcW w:w="738" w:type="pct"/>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301.01%</w:t>
            </w:r>
          </w:p>
        </w:tc>
      </w:tr>
    </w:tbl>
    <w:p>
      <w:pPr>
        <w:numPr>
          <w:ilvl w:val="0"/>
          <w:numId w:val="0"/>
        </w:numPr>
        <w:jc w:val="both"/>
        <w:rPr>
          <w:rFonts w:hint="default"/>
          <w:sz w:val="24"/>
          <w:szCs w:val="24"/>
          <w:lang w:val="en-US" w:eastAsia="zh-CN"/>
        </w:rPr>
      </w:pPr>
      <w:r>
        <w:rPr>
          <w:rFonts w:hint="eastAsia"/>
          <w:sz w:val="24"/>
          <w:szCs w:val="24"/>
          <w:lang w:val="en-US" w:eastAsia="zh-CN"/>
        </w:rPr>
        <w:t>数据来源：wind数据库</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策略基金和管理期货基金在2020年最大回撤值最大，而多策略基金和债券基金2020年最大回撤值比较低，股票策略基金和管理期货基金相对于其他产品类型基金风险比较高，他们的收益都是和股票市场、期货市场收益挂钩。</w:t>
      </w:r>
    </w:p>
    <w:p>
      <w:pPr>
        <w:numPr>
          <w:ilvl w:val="0"/>
          <w:numId w:val="0"/>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2020年，所有产品类型的私募基金的夏普比例都是正值，代表着基金报酬率都高于波动风险，而在这几种类型中，套利策略基金的夏普比率是最高的，债券策略其次。从这它来看，投资者2020年不管是投资什么类型的基金，应该都是有个不错的收益。索提诺比率是一种衡量投资组合相对表现的方法，与夏普比率有相似之处，但索提诺比率运用的下偏标准差而不是总标准差，以区别不力和有利的波动。从表2-4可以看出，仍然是债券策略基金和套利策略基金的索提诺比率较高，管理期货也较高，其他都相差不大。</w:t>
      </w:r>
    </w:p>
    <w:p>
      <w:pPr>
        <w:numPr>
          <w:ilvl w:val="0"/>
          <w:numId w:val="0"/>
        </w:numPr>
        <w:ind w:firstLine="480" w:firstLineChars="200"/>
        <w:jc w:val="both"/>
        <w:rPr>
          <w:rFonts w:hint="default"/>
          <w:lang w:val="en-US" w:eastAsia="zh-CN"/>
        </w:rPr>
      </w:pPr>
      <w:r>
        <w:rPr>
          <w:rFonts w:hint="eastAsia" w:ascii="宋体" w:hAnsi="宋体" w:eastAsia="宋体" w:cs="宋体"/>
          <w:sz w:val="24"/>
          <w:szCs w:val="24"/>
          <w:lang w:val="en-US" w:eastAsia="zh-CN"/>
        </w:rPr>
        <w:t>Calmar比率描述的是收益和最大回撤之间的关系。Calmar比率数值越大，基金的业绩表现越好。从2020年不同产品类型基金的Calmar比率来看，债券策略和套利策略表现最好，而较低的是多策略。而比较不同产品类型基金的下行风险中可以看出，股票策略和宏观策略的下行风险还是比较高的，其次是多策略，最低的是债券策略，这个结论和最大回撤分析差不多。从这几个风险指标综合分析来看，相对比较下债券基金在2020年表现更加稳定。</w:t>
      </w:r>
    </w:p>
    <w:p>
      <w:pPr>
        <w:numPr>
          <w:ilvl w:val="0"/>
          <w:numId w:val="0"/>
        </w:numPr>
        <w:jc w:val="center"/>
        <w:rPr>
          <w:rFonts w:hint="default"/>
          <w:sz w:val="24"/>
          <w:szCs w:val="24"/>
          <w:lang w:val="en-US" w:eastAsia="zh-CN"/>
        </w:rPr>
      </w:pPr>
      <w:r>
        <w:rPr>
          <w:rFonts w:hint="eastAsia"/>
          <w:sz w:val="24"/>
          <w:szCs w:val="24"/>
          <w:lang w:val="en-US" w:eastAsia="zh-CN"/>
        </w:rPr>
        <w:t>表2-4：不同策略基金风险指标比较</w:t>
      </w:r>
    </w:p>
    <w:tbl>
      <w:tblPr>
        <w:tblStyle w:val="8"/>
        <w:tblW w:w="8456" w:type="dxa"/>
        <w:tblInd w:w="93"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
      <w:tblGrid>
        <w:gridCol w:w="1746"/>
        <w:gridCol w:w="1644"/>
        <w:gridCol w:w="1131"/>
        <w:gridCol w:w="1155"/>
        <w:gridCol w:w="1026"/>
        <w:gridCol w:w="1754"/>
      </w:tblGrid>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30" w:hRule="atLeast"/>
        </w:trPr>
        <w:tc>
          <w:tcPr>
            <w:tcW w:w="1746" w:type="dxa"/>
            <w:tcBorders>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产品类型</w:t>
            </w:r>
          </w:p>
        </w:tc>
        <w:tc>
          <w:tcPr>
            <w:tcW w:w="1644" w:type="dxa"/>
            <w:tcBorders>
              <w:left w:val="nil"/>
              <w:bottom w:val="single" w:color="auto" w:sz="4" w:space="0"/>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最大回撤（%）</w:t>
            </w:r>
          </w:p>
        </w:tc>
        <w:tc>
          <w:tcPr>
            <w:tcW w:w="1131" w:type="dxa"/>
            <w:tcBorders>
              <w:left w:val="nil"/>
              <w:bottom w:val="single" w:color="auto" w:sz="4" w:space="0"/>
              <w:right w:val="nil"/>
            </w:tcBorders>
            <w:shd w:val="clear" w:color="auto" w:fill="auto"/>
            <w:noWrap/>
            <w:vAlign w:val="center"/>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Sharpe</w:t>
            </w:r>
          </w:p>
        </w:tc>
        <w:tc>
          <w:tcPr>
            <w:tcW w:w="1155" w:type="dxa"/>
            <w:tcBorders>
              <w:left w:val="nil"/>
              <w:bottom w:val="single" w:color="auto" w:sz="4" w:space="0"/>
              <w:right w:val="nil"/>
            </w:tcBorders>
            <w:shd w:val="clear" w:color="auto" w:fill="auto"/>
            <w:noWrap/>
            <w:vAlign w:val="center"/>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Sortino</w:t>
            </w:r>
          </w:p>
        </w:tc>
        <w:tc>
          <w:tcPr>
            <w:tcW w:w="1026" w:type="dxa"/>
            <w:tcBorders>
              <w:left w:val="nil"/>
              <w:bottom w:val="single" w:color="auto" w:sz="4" w:space="0"/>
              <w:right w:val="nil"/>
            </w:tcBorders>
            <w:shd w:val="clear" w:color="auto" w:fill="auto"/>
            <w:noWrap/>
            <w:vAlign w:val="center"/>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Calmar</w:t>
            </w:r>
          </w:p>
        </w:tc>
        <w:tc>
          <w:tcPr>
            <w:tcW w:w="1754" w:type="dxa"/>
            <w:tcBorders>
              <w:left w:val="nil"/>
              <w:bottom w:val="single" w:color="auto" w:sz="4" w:space="0"/>
              <w:right w:val="nil"/>
            </w:tcBorders>
            <w:shd w:val="clear" w:color="auto" w:fill="auto"/>
            <w:noWrap/>
            <w:vAlign w:val="center"/>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下行风险（%）</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30" w:hRule="atLeast"/>
        </w:trPr>
        <w:tc>
          <w:tcPr>
            <w:tcW w:w="1746" w:type="dxa"/>
            <w:tcBorders>
              <w:top w:val="single" w:color="auto" w:sz="4" w:space="0"/>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多策略</w:t>
            </w:r>
          </w:p>
        </w:tc>
        <w:tc>
          <w:tcPr>
            <w:tcW w:w="1644" w:type="dxa"/>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-96.92</w:t>
            </w:r>
          </w:p>
        </w:tc>
        <w:tc>
          <w:tcPr>
            <w:tcW w:w="1131" w:type="dxa"/>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0.20</w:t>
            </w:r>
          </w:p>
        </w:tc>
        <w:tc>
          <w:tcPr>
            <w:tcW w:w="1155" w:type="dxa"/>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5.81</w:t>
            </w:r>
          </w:p>
        </w:tc>
        <w:tc>
          <w:tcPr>
            <w:tcW w:w="1026" w:type="dxa"/>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4.34</w:t>
            </w:r>
          </w:p>
        </w:tc>
        <w:tc>
          <w:tcPr>
            <w:tcW w:w="1754" w:type="dxa"/>
            <w:tcBorders>
              <w:top w:val="single" w:color="auto" w:sz="4" w:space="0"/>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8.49</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30" w:hRule="atLeast"/>
        </w:trPr>
        <w:tc>
          <w:tcPr>
            <w:tcW w:w="1746"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股票策略</w:t>
            </w:r>
          </w:p>
        </w:tc>
        <w:tc>
          <w:tcPr>
            <w:tcW w:w="164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-95.61</w:t>
            </w:r>
          </w:p>
        </w:tc>
        <w:tc>
          <w:tcPr>
            <w:tcW w:w="113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 xml:space="preserve">0.20 </w:t>
            </w:r>
          </w:p>
        </w:tc>
        <w:tc>
          <w:tcPr>
            <w:tcW w:w="115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 xml:space="preserve">5.93 </w:t>
            </w:r>
          </w:p>
        </w:tc>
        <w:tc>
          <w:tcPr>
            <w:tcW w:w="1026"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 xml:space="preserve">7.64 </w:t>
            </w:r>
          </w:p>
        </w:tc>
        <w:tc>
          <w:tcPr>
            <w:tcW w:w="175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2"/>
                <w:sz w:val="24"/>
                <w:szCs w:val="24"/>
                <w:u w:val="none"/>
                <w:lang w:val="en-US" w:eastAsia="zh-CN" w:bidi="ar-SA"/>
              </w:rPr>
              <w:t>9.16</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746"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股票市场中性</w:t>
            </w:r>
          </w:p>
        </w:tc>
        <w:tc>
          <w:tcPr>
            <w:tcW w:w="164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-39.61</w:t>
            </w:r>
          </w:p>
        </w:tc>
        <w:tc>
          <w:tcPr>
            <w:tcW w:w="113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0.21 </w:t>
            </w:r>
          </w:p>
        </w:tc>
        <w:tc>
          <w:tcPr>
            <w:tcW w:w="115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4.62 </w:t>
            </w:r>
          </w:p>
        </w:tc>
        <w:tc>
          <w:tcPr>
            <w:tcW w:w="1026"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5.12 </w:t>
            </w:r>
          </w:p>
        </w:tc>
        <w:tc>
          <w:tcPr>
            <w:tcW w:w="175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5.96 </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30" w:hRule="atLeast"/>
        </w:trPr>
        <w:tc>
          <w:tcPr>
            <w:tcW w:w="1746"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管理期货</w:t>
            </w:r>
          </w:p>
        </w:tc>
        <w:tc>
          <w:tcPr>
            <w:tcW w:w="164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-85.05</w:t>
            </w:r>
          </w:p>
        </w:tc>
        <w:tc>
          <w:tcPr>
            <w:tcW w:w="113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0.23 </w:t>
            </w:r>
          </w:p>
        </w:tc>
        <w:tc>
          <w:tcPr>
            <w:tcW w:w="115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8.44 </w:t>
            </w:r>
          </w:p>
        </w:tc>
        <w:tc>
          <w:tcPr>
            <w:tcW w:w="1026"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6.70 </w:t>
            </w:r>
          </w:p>
        </w:tc>
        <w:tc>
          <w:tcPr>
            <w:tcW w:w="175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6.63 </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30" w:hRule="atLeast"/>
        </w:trPr>
        <w:tc>
          <w:tcPr>
            <w:tcW w:w="1746"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宏观策略</w:t>
            </w:r>
          </w:p>
        </w:tc>
        <w:tc>
          <w:tcPr>
            <w:tcW w:w="164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-78.31</w:t>
            </w:r>
          </w:p>
        </w:tc>
        <w:tc>
          <w:tcPr>
            <w:tcW w:w="113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0.20 </w:t>
            </w:r>
          </w:p>
        </w:tc>
        <w:tc>
          <w:tcPr>
            <w:tcW w:w="115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4.19 </w:t>
            </w:r>
          </w:p>
        </w:tc>
        <w:tc>
          <w:tcPr>
            <w:tcW w:w="1026"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6.69 </w:t>
            </w:r>
          </w:p>
        </w:tc>
        <w:tc>
          <w:tcPr>
            <w:tcW w:w="175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10.83 </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30" w:hRule="atLeast"/>
        </w:trPr>
        <w:tc>
          <w:tcPr>
            <w:tcW w:w="1746"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套利策略</w:t>
            </w:r>
          </w:p>
        </w:tc>
        <w:tc>
          <w:tcPr>
            <w:tcW w:w="164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-40.08</w:t>
            </w:r>
          </w:p>
        </w:tc>
        <w:tc>
          <w:tcPr>
            <w:tcW w:w="113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0.27 </w:t>
            </w:r>
          </w:p>
        </w:tc>
        <w:tc>
          <w:tcPr>
            <w:tcW w:w="115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9.16 </w:t>
            </w:r>
          </w:p>
        </w:tc>
        <w:tc>
          <w:tcPr>
            <w:tcW w:w="1026"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9.31 </w:t>
            </w:r>
          </w:p>
        </w:tc>
        <w:tc>
          <w:tcPr>
            <w:tcW w:w="175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4.96 </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30" w:hRule="atLeast"/>
        </w:trPr>
        <w:tc>
          <w:tcPr>
            <w:tcW w:w="1746"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组合基金策略</w:t>
            </w:r>
          </w:p>
        </w:tc>
        <w:tc>
          <w:tcPr>
            <w:tcW w:w="164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-36.68</w:t>
            </w:r>
          </w:p>
        </w:tc>
        <w:tc>
          <w:tcPr>
            <w:tcW w:w="113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0.25 </w:t>
            </w:r>
          </w:p>
        </w:tc>
        <w:tc>
          <w:tcPr>
            <w:tcW w:w="1155"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3.99 </w:t>
            </w:r>
          </w:p>
        </w:tc>
        <w:tc>
          <w:tcPr>
            <w:tcW w:w="1026"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5.51 </w:t>
            </w:r>
          </w:p>
        </w:tc>
        <w:tc>
          <w:tcPr>
            <w:tcW w:w="175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5.97 </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330" w:hRule="atLeast"/>
        </w:trPr>
        <w:tc>
          <w:tcPr>
            <w:tcW w:w="1746" w:type="dxa"/>
            <w:tcBorders>
              <w:top w:val="nil"/>
              <w:left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债券策略</w:t>
            </w:r>
          </w:p>
        </w:tc>
        <w:tc>
          <w:tcPr>
            <w:tcW w:w="1644" w:type="dxa"/>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-6.06</w:t>
            </w:r>
          </w:p>
        </w:tc>
        <w:tc>
          <w:tcPr>
            <w:tcW w:w="1131" w:type="dxa"/>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0.26 </w:t>
            </w:r>
          </w:p>
        </w:tc>
        <w:tc>
          <w:tcPr>
            <w:tcW w:w="1155" w:type="dxa"/>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12.55 </w:t>
            </w:r>
          </w:p>
        </w:tc>
        <w:tc>
          <w:tcPr>
            <w:tcW w:w="1026" w:type="dxa"/>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 xml:space="preserve">13.48 </w:t>
            </w:r>
          </w:p>
        </w:tc>
        <w:tc>
          <w:tcPr>
            <w:tcW w:w="1754" w:type="dxa"/>
            <w:tcBorders>
              <w:top w:val="nil"/>
              <w:left w:val="nil"/>
              <w:right w:val="nil"/>
            </w:tcBorders>
            <w:shd w:val="clear" w:color="auto" w:fill="auto"/>
            <w:noWrap/>
            <w:vAlign w:val="bottom"/>
          </w:tcPr>
          <w:p>
            <w:pPr>
              <w:keepNext w:val="0"/>
              <w:keepLines w:val="0"/>
              <w:widowControl/>
              <w:suppressLineNumbers w:val="0"/>
              <w:jc w:val="right"/>
              <w:textAlignment w:val="bottom"/>
              <w:rPr>
                <w:rFonts w:hint="eastAsia" w:ascii="宋体" w:hAnsi="宋体" w:eastAsia="宋体" w:cs="宋体"/>
                <w:i w:val="0"/>
                <w:iCs w:val="0"/>
                <w:color w:val="000000"/>
                <w:kern w:val="0"/>
                <w:sz w:val="24"/>
                <w:szCs w:val="24"/>
                <w:u w:val="none"/>
                <w:lang w:val="en-US" w:eastAsia="zh-CN" w:bidi="ar"/>
              </w:rPr>
            </w:pPr>
            <w:r>
              <w:rPr>
                <w:rFonts w:hint="default" w:ascii="宋体" w:hAnsi="宋体" w:eastAsia="宋体" w:cs="宋体"/>
                <w:i w:val="0"/>
                <w:iCs w:val="0"/>
                <w:color w:val="000000"/>
                <w:kern w:val="0"/>
                <w:sz w:val="24"/>
                <w:szCs w:val="24"/>
                <w:u w:val="none"/>
                <w:lang w:val="en-US" w:eastAsia="zh-CN" w:bidi="ar"/>
              </w:rPr>
              <w:t>3.</w:t>
            </w:r>
            <w:r>
              <w:rPr>
                <w:rFonts w:hint="eastAsia" w:ascii="宋体" w:hAnsi="宋体" w:eastAsia="宋体" w:cs="宋体"/>
                <w:i w:val="0"/>
                <w:iCs w:val="0"/>
                <w:color w:val="000000"/>
                <w:kern w:val="0"/>
                <w:sz w:val="24"/>
                <w:szCs w:val="24"/>
                <w:u w:val="none"/>
                <w:lang w:val="en-US" w:eastAsia="zh-CN" w:bidi="ar"/>
              </w:rPr>
              <w:t>75</w:t>
            </w:r>
            <w:r>
              <w:rPr>
                <w:rFonts w:hint="default" w:ascii="宋体" w:hAnsi="宋体" w:eastAsia="宋体" w:cs="宋体"/>
                <w:i w:val="0"/>
                <w:iCs w:val="0"/>
                <w:color w:val="000000"/>
                <w:kern w:val="0"/>
                <w:sz w:val="24"/>
                <w:szCs w:val="24"/>
                <w:u w:val="none"/>
                <w:lang w:val="en-US" w:eastAsia="zh-CN" w:bidi="ar"/>
              </w:rPr>
              <w:t xml:space="preserve"> </w:t>
            </w:r>
          </w:p>
        </w:tc>
      </w:tr>
    </w:tbl>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数据来源:</w:t>
      </w:r>
      <w:r>
        <w:rPr>
          <w:rFonts w:hint="eastAsia"/>
          <w:sz w:val="24"/>
          <w:szCs w:val="24"/>
          <w:lang w:val="en-US" w:eastAsia="zh-CN"/>
        </w:rPr>
        <w:t>wind数据库</w:t>
      </w:r>
    </w:p>
    <w:p>
      <w:pPr>
        <w:pStyle w:val="2"/>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宋体" w:hAnsi="宋体" w:eastAsia="宋体" w:cs="宋体"/>
          <w:b/>
          <w:sz w:val="28"/>
          <w:szCs w:val="28"/>
          <w:lang w:val="en-US" w:eastAsia="zh-CN"/>
        </w:rPr>
      </w:pPr>
      <w:r>
        <w:rPr>
          <w:rFonts w:hint="eastAsia" w:ascii="宋体" w:hAnsi="宋体" w:eastAsia="宋体" w:cs="宋体"/>
          <w:b/>
          <w:sz w:val="28"/>
          <w:szCs w:val="28"/>
          <w:lang w:val="en-US" w:eastAsia="zh-CN"/>
        </w:rPr>
        <w:t>3 私募行业动态</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3.1 基金业协会私募基金信息披露备份系统投资者定向披露功能上线</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证券投资基金法》《私募投资基金监督管理暂行办法》《私募投资基金管理人登记和基金备案办法（试行）》等法律法规及自律规则的规定，中国证券投资基金业协会（以下简称“协会”）于2016年2月4日发布实施《私募投资基金信息披露管理办法》（以下简称《信披管理办法》），并于2016年10月10日正式上线私募基金信息披露备份系统（https://pfid.amac.org.cn，以下简称“信披备份系统”），实现了私募基金信息披露报告在协会信披备份系统进行备份的功能。按照《信披管理办法》第六条“投资者可以登录中国基金业协会指定的私募基金信息披露备份平台进行信息查询”要求，2020年2月14日，信披备份系统投资者定向披露功能正式上线，增加了投资者登录查询端口，私募基金投资者可以通过协会信披备份系统查看其购买私募基金的信息披露报告。</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披备份系统投资者定向披露功能的上线，创新地为保护我国私募基金投资者知情权提供行业公共品，压实私募基金管理人信义义务，有效减少信息不对称，提高私募基金信息披露透明度和专业度，促进私募基金行业市场化信用化制衡机制建立，有效保护投资者合法权益。投资者登录信披备份系统可查看并评价所购买私募基金的信息披露报告，将督促私募基金管理人主动加强信息披露备份的及时性、真实性、准确性和完整性，有助提升私募基金运作的信息披露备份效率和质量；私募基金管理人通过信披备份系统查看投资者对私募基金信息披露报告的评价情况，并及时就相关内容与投资者进行核实和沟通，将提高私募基金信息披露工作效能。在新冠肺炎疫情防控的关键时期，信披备份系统定向披露功能如期上线，是协会向私募基金管理人和私募基金投资者提供的无接触线上查询私募基金信息披露情况的重要工具。协会鼓励各私募基金投资者积极洽询私募基金管理人，以便尽快使用信披备份系统定向披露功能。</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3.2 监管加强，违规机构数量减少 </w:t>
      </w:r>
    </w:p>
    <w:p>
      <w:pPr>
        <w:numPr>
          <w:ilvl w:val="0"/>
          <w:numId w:val="0"/>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随着这几年监管系统不断完善，监管法律法规不断出台，监管措施多样，私募机构基本上都是合规合法经营，受处分机构数量相对较少。2020年受处分机构为11家，2019年受处分机构为14家，2018年受处分机构为15家，相较而下受处分机构是在不断减少。基金业协会自律管理公告中，在2020年证监局暂停了十几家基金销售机构。在这些机构中，违规原因中都存在着向投资者承诺收益。然后，有个别受处分机构存在一些关联交易、自己的基金产品未进行备案，伪造文件签字等。向投资者承诺收益这个问题一直是监管中最不好解决的，前几年私募基金的发展存在监管空白，而且私募基金不如公募基金那样方便监管，如此以来很多私募基金为了自己基金业绩，向投资者承诺收益、夸大收益等违规操作就层出不穷了。虽然现在监管逐渐成熟，但仍有不少机构私下违规操作，承诺收益。证监局对这些违规机构的处分大多数都是取消会员资格、撤销管理人登记，并没有什么金钱处罚。</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 2020 年私募行业重要政策与事件梳理</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3.3.1 《关于加强私募投资基金监管的若干规定》标志着针对私募的监管逐步加强</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在私募行业的发展过程中，逐步暴露出一些问题，如公开或者变相公开募集资金、规避合格投资者要求、不履行等级备案义务等。针对此类问题，证监会于2020年9月11日发布了《关于加强私募投资基金监管的若干规定（征求意见稿）》，并于2021 年1月8日正式出台了《关于加强私募投资基金监管的若干规定》（以下简称《规定》）。《规定》内容涉及私募基金名称、经营和业务范围；私募基金管理人； 募集方式；资金投向；私募基金管理人等方面。该规定旨在引导私募行业朝着健康与可持续的方向发展，针对一些不合规、不正规的产品未来将逐步清盘，并鼓励私募机构回归证券投资、股权投资的本源。</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从海外的经验来看，我国的私募行业未来将承载更多资金规模，监管进一步加强对私募行业的管理将为未来私募行业稳健发展打下坚实的基础。</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3.3.2 新《证券法》出台，投资者保护要求逐渐趋严</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我国于1997年7月1日发布并开始实施《中华人民共和国证券法》，期间曾于2004年进行了第一次全面修订，并于2006年1月1日启用，使用时间已超 10年。此次新《证券法》的修订工作从2015年开始，历时4年半，于2019 年12月28日由全国人大审议通过，并于2020年3月1日起施行。</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投资者保护方面，新《证券法》新增了第六章“投资者保护”专章，总计八条。从法律意义上明确了投资者适当性的要求，加大了投资者保护的力度，拓展了投资者维权途径，建立了投资者纠纷调解制度。这一规定也对私募机构提出的更高的要求：第一、短期内由于制度的规定，各家金融机构需要重新建立与评估现有客户，并对所代销产品进行进一步分级与梳理，从而增加私募证券投资基金的募资难度； 第二、从长期看，投资者保护制度的完善，对私募投资机构与相关从业人员提出了更高的要求，从而迫使私募机构加 快“优胜劣汰”的步伐。“制度完善、合规严格、产品过硬”的私募机构将更受到广大投资者的喜爱。</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3.3.3 行业自律体系逐步完善</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2019年12月23日中基协发布了新版《私募投资基金备案须知》，并于 2020 年3月31日发布《关于配套 AMBERS 系统功能上线的通知》，至此中基协完成了从私募备案制度到配套系统的全面升级，为私募基金备案以及持续的合规运 作提供了良好的平台。此外，在2020年年初疫情爆发时，中基协接连发布优化备案流程的政策性文件为私募机构备案打开绿色通道。总体来看，中基协在2020年的各项动作都在逐步提升私募基金管理人与私募产品的上报速度，提高私募机构的透明度，优化各项信息填报质量。</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年5月以来，在深圳证监局统筹指导下，深圳14家私募基金管理人发起设立深圳私募基金业协会。历经3个多月筹备，深圳私募基金业协会已取得深圳市民政局关于协会名称等事项的核准批复。据基金业协会数据，截止2020年 11月，深圳市共有4492家私募基金管理人（包括私募证券投资基金、私募股权、创业基金、私募资产配置基金与其他），共发行产品16078只私募基金，管理资产规模19593.33亿元，深圳市的私募基金管理人数量仅次于上海位列全国第二。在P2P被市场淘汰以及刚性兑付产品逐步退出市场的情况下，私募机构的重要性更加凸显，而近年来私募行业的发展仍然存在鱼龙混杂、违法违规、“暴雷”跑路等情况，深圳私募基金业协会的设立将发挥平台优势，整合行业力量，引导深圳市私募行业不断强化专业能力与规范治理水平从根源上杜绝私募行业的乱象。</w:t>
      </w:r>
    </w:p>
    <w:p>
      <w:pPr>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表4-1：私募基金相关政策梳理</w:t>
      </w:r>
    </w:p>
    <w:p>
      <w:pPr>
        <w:numPr>
          <w:ilvl w:val="0"/>
          <w:numId w:val="0"/>
        </w:numPr>
        <w:pBdr>
          <w:top w:val="single" w:color="767070" w:sz="4" w:space="0"/>
          <w:bottom w:val="single" w:color="767070" w:sz="4" w:space="0"/>
        </w:pBd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日期</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机构                 政策</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主要内容与意义</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2020年    中基协  《关于更新私募基金管理人     更新填报模块，进一步</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1月17日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财务信息填报模板的通知》      提升私募基金管理财务</w:t>
      </w:r>
    </w:p>
    <w:p>
      <w:pPr>
        <w:numPr>
          <w:ilvl w:val="0"/>
          <w:numId w:val="0"/>
        </w:numPr>
        <w:ind w:left="5268" w:leftChars="2280" w:hanging="480" w:hanging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信息填报质量</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2月1日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中基协</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《关于疫情防控期间私募基金     优化疫情期间私募基金</w:t>
      </w:r>
    </w:p>
    <w:p>
      <w:pPr>
        <w:numPr>
          <w:ilvl w:val="0"/>
          <w:numId w:val="0"/>
        </w:numPr>
        <w:ind w:left="5995" w:leftChars="1026" w:hanging="3840" w:hangingChars="16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金登记备案相关的工作安排通知》  备案流程，确保产品顺利发行</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2月14日  证监会</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《关于修改&lt;上市公司证券发行    放宽上市公司再融资</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管理办法&gt;的决定》            （定增）限制，私募定增</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《关于修改&lt;创业板上市公司证    产品业务空间再度打开</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券发行管理暂行办法&gt;的决定》</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《关于修改&lt;上市公司非公开发</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行股票实施细则&gt;的决定》</w:t>
      </w:r>
      <w:r>
        <w:rPr>
          <w:rFonts w:hint="eastAsia" w:ascii="宋体" w:hAnsi="宋体" w:eastAsia="宋体" w:cs="宋体"/>
          <w:sz w:val="24"/>
          <w:szCs w:val="24"/>
          <w:lang w:val="en-US" w:eastAsia="zh-CN"/>
        </w:rPr>
        <w:tab/>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2月28日  中基协</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《关于便利申请办理私募基金管理  公布私募基金管理人</w:t>
      </w:r>
    </w:p>
    <w:p>
      <w:pPr>
        <w:numPr>
          <w:ilvl w:val="0"/>
          <w:numId w:val="0"/>
        </w:numPr>
        <w:ind w:left="5275" w:leftChars="1026" w:hanging="3120" w:hangingChars="1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人登记相关事宜的通知》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登记申请材料清单、全流程 公示申请机构办理登记进度、增加私募基金 管理人公示信息。增强办理私募基金管理人登 记申请工作的公开透明，便利申请机构事前准备申请材料</w:t>
      </w:r>
    </w:p>
    <w:p>
      <w:pPr>
        <w:numPr>
          <w:ilvl w:val="0"/>
          <w:numId w:val="0"/>
        </w:numPr>
        <w:ind w:left="5280" w:hanging="5280" w:hangingChars="2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3月1日  全国人大  《证券法》实施</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全面推行证券发行注册制度、 显著提高证券违 法违规成本、完善投资者保护制度、进一步强 化信息披露要求、完善证券交易制度、落实 “放管服”要求取消相关行政许可、压实中介 机构市场“看门人”法律职责、建立健全多层 次资本市场体系、强化监管执法和风险防控、扩大证券法的适用范围</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3月20日  中基协</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《关于公布私募投资基金    完善 2019 版《私募投资</w:t>
      </w:r>
    </w:p>
    <w:p>
      <w:pPr>
        <w:numPr>
          <w:ilvl w:val="0"/>
          <w:numId w:val="0"/>
        </w:numPr>
        <w:ind w:left="5275" w:leftChars="1026" w:hanging="3120" w:hangingChars="1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备案申请材料清单的通知》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基金备案须知》</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3月24日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中基协</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《异常经营专项法律意见书  完善 2018 年发布的《关于私</w:t>
      </w:r>
    </w:p>
    <w:p>
      <w:pPr>
        <w:numPr>
          <w:ilvl w:val="0"/>
          <w:numId w:val="0"/>
        </w:numPr>
        <w:ind w:left="5275" w:leftChars="1026" w:hanging="3120" w:hangingChars="1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出具指引》</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募基金管理人在异常经营情形下提交专项法律意见书的公告》</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3月31日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中基协</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《关于配套 AMBERS 系统    2019版《私募投资基金备案</w:t>
      </w:r>
    </w:p>
    <w:p>
      <w:pPr>
        <w:numPr>
          <w:ilvl w:val="0"/>
          <w:numId w:val="0"/>
        </w:numPr>
        <w:ind w:left="5515" w:leftChars="1026" w:hanging="3360" w:hangingChars="14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功能上线的通知》         须知》下，针对AMBERS 系统的更新</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4月27日 中央深改组 《创业板改革并试点     本次改革对创业板市场基础制</w:t>
      </w:r>
    </w:p>
    <w:p>
      <w:pPr>
        <w:numPr>
          <w:ilvl w:val="0"/>
          <w:numId w:val="0"/>
        </w:numPr>
        <w:ind w:left="5274" w:leftChars="1140" w:hanging="2880" w:hangingChars="1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注册制总体实施方案》</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度做了完善：一 是构建市场化的发行承销制度。二是完善创业 板交易机制，放宽涨跌幅限制，优化转融通机 制和盘中临时停牌制度。三是构建符合创业板 上市公司特点的持续监管规则体系。四是完善退市制度，简化退市程序，优化退市标准。</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5月3日  证监会、  《关于推进基础设施领    《通知》指明了基础设施REITs</w:t>
      </w:r>
    </w:p>
    <w:p>
      <w:pPr>
        <w:numPr>
          <w:ilvl w:val="0"/>
          <w:numId w:val="0"/>
        </w:numPr>
        <w:ind w:firstLine="1200" w:firstLineChars="5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发改委    域不动产投资信托基金   业务开展的基本方向，同时明</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（REITs）试点相关工作的  确了基础设施 REITs 试点工作</w:t>
      </w:r>
    </w:p>
    <w:p>
      <w:pPr>
        <w:numPr>
          <w:ilvl w:val="0"/>
          <w:numId w:val="0"/>
        </w:numPr>
        <w:ind w:left="5274" w:leftChars="1140" w:hanging="2880" w:hangingChars="1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推进过程中基金发起人、行 政部门和行业协会各自的工作职责。</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6月26日  国务院办公厅</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《国务院 2020 年</w:t>
      </w:r>
    </w:p>
    <w:p>
      <w:pPr>
        <w:numPr>
          <w:ilvl w:val="0"/>
          <w:numId w:val="0"/>
        </w:numPr>
        <w:ind w:firstLine="2400" w:firstLineChars="10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立法工作计划》提出拟制定、</w:t>
      </w:r>
    </w:p>
    <w:p>
      <w:pPr>
        <w:numPr>
          <w:ilvl w:val="0"/>
          <w:numId w:val="0"/>
        </w:numPr>
        <w:ind w:firstLine="2400" w:firstLineChars="10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修订的行政法规中，包括私</w:t>
      </w:r>
    </w:p>
    <w:p>
      <w:pPr>
        <w:numPr>
          <w:ilvl w:val="0"/>
          <w:numId w:val="0"/>
        </w:numPr>
        <w:ind w:firstLine="2400" w:firstLineChars="10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募投资基金管理暂行条例</w:t>
      </w:r>
      <w:r>
        <w:rPr>
          <w:rFonts w:hint="eastAsia" w:ascii="宋体" w:hAnsi="宋体" w:eastAsia="宋体" w:cs="宋体"/>
          <w:sz w:val="24"/>
          <w:szCs w:val="24"/>
          <w:lang w:val="en-US" w:eastAsia="zh-CN"/>
        </w:rPr>
        <w:tab/>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7月31日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央行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延长《关于规范金融机构   1、适当延长过渡期，能够缓</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资产管理业务的指导意见》  解疫情对资管业务的冲击，有</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（简称“资管新规”）过渡  利于缓解金融机构整改压力。</w:t>
      </w:r>
    </w:p>
    <w:p>
      <w:pPr>
        <w:numPr>
          <w:ilvl w:val="0"/>
          <w:numId w:val="0"/>
        </w:numPr>
        <w:ind w:left="5275" w:leftChars="1026" w:hanging="3120" w:hangingChars="1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期至 2021年底</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2、为金融机构培育规范的资管产品提供宽松环境。</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8月10日  中基协</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《关于废止部分自律规则</w:t>
      </w:r>
    </w:p>
    <w:p>
      <w:pPr>
        <w:numPr>
          <w:ilvl w:val="0"/>
          <w:numId w:val="0"/>
        </w:numPr>
        <w:ind w:firstLine="2400" w:firstLineChars="10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的公告（第一批）》</w:t>
      </w:r>
      <w:r>
        <w:rPr>
          <w:rFonts w:hint="eastAsia" w:ascii="宋体" w:hAnsi="宋体" w:eastAsia="宋体" w:cs="宋体"/>
          <w:sz w:val="24"/>
          <w:szCs w:val="24"/>
          <w:lang w:val="en-US" w:eastAsia="zh-CN"/>
        </w:rPr>
        <w:tab/>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8月18日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深圳私募  “深圳私募基金业协会”   深圳私募基金业协会的成立，</w:t>
      </w:r>
    </w:p>
    <w:p>
      <w:pPr>
        <w:numPr>
          <w:ilvl w:val="0"/>
          <w:numId w:val="0"/>
        </w:numPr>
        <w:ind w:left="5517" w:leftChars="570" w:hanging="4320" w:hangingChars="18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基金业协会     成立</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不仅是实现行业自律规范的需要，也是服务“双区”建设，推 动行业健康发展的助力。</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8月28日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证监会</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《公开募集证券投资基金    </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销售机构监督管理办法》    </w:t>
      </w:r>
    </w:p>
    <w:p>
      <w:pPr>
        <w:numPr>
          <w:ilvl w:val="0"/>
          <w:numId w:val="0"/>
        </w:numPr>
        <w:ind w:firstLine="2160" w:firstLineChars="9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（简称“销售办法”）</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9月11日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证监会</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《关于加强私募投资基金    《规定》强化了私募基金行业</w:t>
      </w:r>
    </w:p>
    <w:p>
      <w:pPr>
        <w:numPr>
          <w:ilvl w:val="0"/>
          <w:numId w:val="0"/>
        </w:numPr>
        <w:ind w:firstLine="2400" w:firstLineChars="10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监管的若干规定（征求    执业的底线行行为规范，形成</w:t>
      </w:r>
    </w:p>
    <w:p>
      <w:pPr>
        <w:numPr>
          <w:ilvl w:val="0"/>
          <w:numId w:val="0"/>
        </w:numPr>
        <w:ind w:left="4074" w:leftChars="1140" w:hanging="1680" w:hangingChars="7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意见稿）》</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等主体的“十不得”禁止性要求。</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2021 年 </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1月8日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证监会</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《关于加强私募投资基金</w:t>
      </w:r>
    </w:p>
    <w:p>
      <w:pPr>
        <w:numPr>
          <w:ilvl w:val="0"/>
          <w:numId w:val="0"/>
        </w:numPr>
        <w:pBdr>
          <w:bottom w:val="single" w:color="767070" w:sz="4" w:space="0"/>
        </w:pBdr>
        <w:ind w:firstLine="2400" w:firstLineChars="10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监管的若干规定》</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资料来源：证监会、基金业协会</w:t>
      </w:r>
    </w:p>
    <w:p>
      <w:pPr>
        <w:pStyle w:val="2"/>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4 私募行业未来发展方向</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 私募行业“马太效应”加剧</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私募基金行业“马太效应”凸显。截止2020年12月底， 按私募基金管理人管理规模划分，93.37%的私募基金管理人管理规模1亿元以下。管理规模在50亿元以上的私募基金管理人仅占0.91%。随着投资者对私募基金认识的逐步深入以及更多私募基金管理人的加入，私募基金行业的竞争将进一步加剧，投资者对于私募基金的信誉、历史业绩等 将愈发关注，对于部分业绩较好的老牌私募，吸金能力较强，而对于新晋私募，未来发展仍面临较多困境。</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 私募策略寻求多元化发展</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据统计，86.65%的私募基金管理人选择股票多头为其主要策略，多策略、管理期货、债券基金次之。出现这一状况的主要原因在于，我国资本市场发展仍然处于初级阶段，资本市场主要还是以股票债券等传统资产为主，金融衍生品的发展较为缓慢，限制了私募基金对于衍生品的应用。从国家推出生猪期货以及放宽上市公司再融资限制等进一步深化金融改革的举措看，未来我国可能逐步推出各类型的金融衍生产品，届时私募基金策略的多元化发展将迎来新时代。</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 量化私募规模扩大，竞争进入白热化</w:t>
      </w:r>
    </w:p>
    <w:p>
      <w:pPr>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比于传统的主动管理模式，量化投资具有系统性、纪律性、客观性、分散化及时性等优势。优质的量化模型可以为投资者带来稳定的低风险收益，但随着国内投资者对量化投资的进一步认识，未来量化投资的规模预计将逐步扩大。由于策略容量的限制，高频策略增速或将放缓，而中低频策略有望扩充。量化投资策略的竞争已进入白热化，赛道拥挤的现象将进一步侵蚀量化投资的整体收益水平。私募机构对于算法、设备、运维的投入缺一不可，细节把控将是优质量化私募机构突围的关键。</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pPr>
      <w:r>
        <w:rPr>
          <w:rFonts w:hint="eastAsia" w:ascii="宋体" w:hAnsi="宋体" w:eastAsia="宋体" w:cs="宋体"/>
          <w:sz w:val="24"/>
          <w:szCs w:val="24"/>
          <w:lang w:val="en-US" w:eastAsia="zh-CN"/>
        </w:rPr>
        <w:t xml:space="preserve">4.4 </w:t>
      </w:r>
      <w:r>
        <w:rPr>
          <w:rFonts w:hint="default" w:ascii="宋体" w:hAnsi="宋体" w:eastAsia="宋体" w:cs="宋体"/>
          <w:sz w:val="24"/>
          <w:szCs w:val="24"/>
          <w:lang w:val="en-US" w:eastAsia="zh-CN"/>
        </w:rPr>
        <w:t>私募首现15年超长锁定期产品，倡导长期投资成潮流</w:t>
      </w:r>
    </w:p>
    <w:p>
      <w:pPr>
        <w:numPr>
          <w:ilvl w:val="0"/>
          <w:numId w:val="0"/>
        </w:numPr>
        <w:ind w:firstLine="480" w:firstLineChars="20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从老牌百亿私募到新锐百亿私募，今年越来越多的私募基金管理人推出长封闭期基金产品，如汉和资本、景林资产、格雷资产、九坤投资、高毅资产等，这一变化或将成为私募发展的新趋势。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在封闭产品中大多数份额锁定期是3年左右，</w:t>
      </w:r>
      <w:r>
        <w:rPr>
          <w:rFonts w:hint="eastAsia" w:ascii="宋体" w:hAnsi="宋体" w:eastAsia="宋体" w:cs="宋体"/>
          <w:sz w:val="24"/>
          <w:szCs w:val="24"/>
          <w:lang w:val="en-US" w:eastAsia="zh-CN"/>
        </w:rPr>
        <w:t>但</w:t>
      </w:r>
      <w:r>
        <w:rPr>
          <w:rFonts w:hint="default" w:ascii="宋体" w:hAnsi="宋体" w:eastAsia="宋体" w:cs="宋体"/>
          <w:sz w:val="24"/>
          <w:szCs w:val="24"/>
          <w:lang w:val="en-US" w:eastAsia="zh-CN"/>
        </w:rPr>
        <w:t>格雷资产在今年9月份推出了一只封闭期为15年的产品，这也成为目前封闭期最长的私募产品，刷新了锁定期的最长纪录</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设立长封闭期产品</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帮助投资者培养长线投资习惯，解决其因为拿不住好基金无法实现收益最大化的问题。</w:t>
      </w:r>
      <w:r>
        <w:rPr>
          <w:rFonts w:hint="eastAsia" w:ascii="宋体" w:hAnsi="宋体" w:eastAsia="宋体" w:cs="宋体"/>
          <w:sz w:val="24"/>
          <w:szCs w:val="24"/>
          <w:lang w:val="en-US" w:eastAsia="zh-CN"/>
        </w:rPr>
        <w:t>据统计，</w:t>
      </w:r>
      <w:r>
        <w:rPr>
          <w:rFonts w:hint="default" w:ascii="宋体" w:hAnsi="宋体" w:eastAsia="宋体" w:cs="宋体"/>
          <w:sz w:val="24"/>
          <w:szCs w:val="24"/>
          <w:lang w:val="en-US" w:eastAsia="zh-CN"/>
        </w:rPr>
        <w:t>老牌私募汉和资本在当前超百亿的管理规模中，有95%以上都是长锁定期以及超长锁定期的产品。其实，汉和资本早在2017年便率先在全市场最早发行了三年锁定期的产品，基于长期优异的业绩，不断积累业内口碑。直至今年7月份，汉和推出超长锁定期为6年的基金产品，也受到了投资者的认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w:t>
      </w:r>
    </w:p>
    <w:p>
      <w:pPr>
        <w:numPr>
          <w:ilvl w:val="0"/>
          <w:numId w:val="0"/>
        </w:numPr>
        <w:jc w:val="both"/>
        <w:rPr>
          <w:rFonts w:hint="default" w:ascii="宋体" w:hAnsi="宋体" w:eastAsia="宋体" w:cs="宋体"/>
          <w:sz w:val="24"/>
          <w:szCs w:val="24"/>
          <w:lang w:val="en-US" w:eastAsia="zh-CN"/>
        </w:rPr>
      </w:pPr>
    </w:p>
    <w:p>
      <w:pPr>
        <w:numPr>
          <w:ilvl w:val="0"/>
          <w:numId w:val="0"/>
        </w:numPr>
        <w:ind w:firstLine="480" w:firstLineChars="200"/>
        <w:jc w:val="both"/>
        <w:rPr>
          <w:rFonts w:hint="eastAsia" w:ascii="宋体" w:hAnsi="宋体" w:eastAsia="宋体" w:cs="宋体"/>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5FAE软雅黑">
    <w:altName w:val="黑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72B14"/>
    <w:rsid w:val="00AE545A"/>
    <w:rsid w:val="030B6726"/>
    <w:rsid w:val="033A6ECC"/>
    <w:rsid w:val="04D112F2"/>
    <w:rsid w:val="04FA2D87"/>
    <w:rsid w:val="05006471"/>
    <w:rsid w:val="05B612C8"/>
    <w:rsid w:val="060772AF"/>
    <w:rsid w:val="06C51FD3"/>
    <w:rsid w:val="072A4785"/>
    <w:rsid w:val="07B830FA"/>
    <w:rsid w:val="07C64BAD"/>
    <w:rsid w:val="080063F1"/>
    <w:rsid w:val="0A9F150C"/>
    <w:rsid w:val="0B0127EC"/>
    <w:rsid w:val="0B204718"/>
    <w:rsid w:val="0B857344"/>
    <w:rsid w:val="0CF31985"/>
    <w:rsid w:val="0E6B5E97"/>
    <w:rsid w:val="0ECF398F"/>
    <w:rsid w:val="0F084501"/>
    <w:rsid w:val="11037520"/>
    <w:rsid w:val="13F609A1"/>
    <w:rsid w:val="150D7872"/>
    <w:rsid w:val="178058F3"/>
    <w:rsid w:val="19372B14"/>
    <w:rsid w:val="1ADA753E"/>
    <w:rsid w:val="1B713EE5"/>
    <w:rsid w:val="1CC3512A"/>
    <w:rsid w:val="1EA10163"/>
    <w:rsid w:val="1F5A6843"/>
    <w:rsid w:val="1FD43690"/>
    <w:rsid w:val="1FDB104B"/>
    <w:rsid w:val="20E53409"/>
    <w:rsid w:val="22415CBC"/>
    <w:rsid w:val="2307354E"/>
    <w:rsid w:val="242B4570"/>
    <w:rsid w:val="278649EC"/>
    <w:rsid w:val="29103824"/>
    <w:rsid w:val="291E036F"/>
    <w:rsid w:val="2A6F4C5F"/>
    <w:rsid w:val="2BE41FEB"/>
    <w:rsid w:val="312201E2"/>
    <w:rsid w:val="31423732"/>
    <w:rsid w:val="31A2540E"/>
    <w:rsid w:val="3336477E"/>
    <w:rsid w:val="347535A9"/>
    <w:rsid w:val="34C619EF"/>
    <w:rsid w:val="35217C59"/>
    <w:rsid w:val="35331B90"/>
    <w:rsid w:val="35D9718C"/>
    <w:rsid w:val="37535B94"/>
    <w:rsid w:val="37F20078"/>
    <w:rsid w:val="38564A93"/>
    <w:rsid w:val="38BD494C"/>
    <w:rsid w:val="3B277660"/>
    <w:rsid w:val="3BB079F0"/>
    <w:rsid w:val="3BB90C54"/>
    <w:rsid w:val="3DE41B82"/>
    <w:rsid w:val="3DE42CA0"/>
    <w:rsid w:val="3E8D4297"/>
    <w:rsid w:val="40211320"/>
    <w:rsid w:val="43902FBB"/>
    <w:rsid w:val="439E24A8"/>
    <w:rsid w:val="4576389D"/>
    <w:rsid w:val="460250C2"/>
    <w:rsid w:val="476C4AEA"/>
    <w:rsid w:val="47BE1666"/>
    <w:rsid w:val="49965CB7"/>
    <w:rsid w:val="4B637BA0"/>
    <w:rsid w:val="4B8B74AF"/>
    <w:rsid w:val="4C556080"/>
    <w:rsid w:val="4CC15092"/>
    <w:rsid w:val="4D15156F"/>
    <w:rsid w:val="4ECF65B4"/>
    <w:rsid w:val="4F5F611A"/>
    <w:rsid w:val="4FA56CA4"/>
    <w:rsid w:val="524E6EA3"/>
    <w:rsid w:val="53781001"/>
    <w:rsid w:val="55112C83"/>
    <w:rsid w:val="56156E71"/>
    <w:rsid w:val="587F1A44"/>
    <w:rsid w:val="594A0E74"/>
    <w:rsid w:val="5A39088D"/>
    <w:rsid w:val="5B325C25"/>
    <w:rsid w:val="5BFF3D0F"/>
    <w:rsid w:val="5D286646"/>
    <w:rsid w:val="5E38499E"/>
    <w:rsid w:val="5ECD5D29"/>
    <w:rsid w:val="5FAE191E"/>
    <w:rsid w:val="60656A71"/>
    <w:rsid w:val="61361C87"/>
    <w:rsid w:val="62596403"/>
    <w:rsid w:val="644E11FB"/>
    <w:rsid w:val="646F15B7"/>
    <w:rsid w:val="650B2410"/>
    <w:rsid w:val="66811AC7"/>
    <w:rsid w:val="6737725D"/>
    <w:rsid w:val="69140238"/>
    <w:rsid w:val="69F652AE"/>
    <w:rsid w:val="6B5C7047"/>
    <w:rsid w:val="6B686C14"/>
    <w:rsid w:val="6BD805B7"/>
    <w:rsid w:val="6CE1478C"/>
    <w:rsid w:val="6E98774A"/>
    <w:rsid w:val="70DF0EB9"/>
    <w:rsid w:val="70FA3152"/>
    <w:rsid w:val="714F7058"/>
    <w:rsid w:val="76EE2E1E"/>
    <w:rsid w:val="770C4641"/>
    <w:rsid w:val="775F06C3"/>
    <w:rsid w:val="78D748FE"/>
    <w:rsid w:val="79F56297"/>
    <w:rsid w:val="7A3555E3"/>
    <w:rsid w:val="7B165BA8"/>
    <w:rsid w:val="7B5959EB"/>
    <w:rsid w:val="7B814262"/>
    <w:rsid w:val="7DA921D3"/>
    <w:rsid w:val="7DC8106B"/>
    <w:rsid w:val="7DCC2631"/>
    <w:rsid w:val="7E854D67"/>
    <w:rsid w:val="7E9E47CA"/>
    <w:rsid w:val="7EFA1276"/>
    <w:rsid w:val="7F21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1"/>
    <w:pPr>
      <w:ind w:left="4037"/>
      <w:outlineLvl w:val="2"/>
    </w:pPr>
    <w:rPr>
      <w:rFonts w:ascii="楷体" w:hAnsi="楷体" w:eastAsia="楷体" w:cs="楷体"/>
      <w:b/>
      <w:bCs/>
      <w:sz w:val="28"/>
      <w:szCs w:val="28"/>
      <w:lang w:val="en-US" w:eastAsia="zh-CN" w:bidi="ar-SA"/>
    </w:rPr>
  </w:style>
  <w:style w:type="paragraph" w:styleId="4">
    <w:name w:val="heading 3"/>
    <w:basedOn w:val="1"/>
    <w:next w:val="1"/>
    <w:qFormat/>
    <w:uiPriority w:val="1"/>
    <w:pPr>
      <w:ind w:left="20"/>
      <w:outlineLvl w:val="3"/>
    </w:pPr>
    <w:rPr>
      <w:rFonts w:ascii="楷体" w:hAnsi="楷体" w:eastAsia="楷体" w:cs="楷体"/>
      <w:b/>
      <w:bCs/>
      <w:sz w:val="24"/>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2021-04-06T09:37:00Z</dcterms:created>
  <dc:creator>微笑向暖</dc:creator>
  <cp:lastModifiedBy>微笑向暖</cp:lastModifiedBy>
  <dcterms:modified xsi:type="dcterms:W3CDTF">2021-05-25T02:41:03Z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882F8D38AD2A49C596C1DF16F2EAC4A8</vt:lpwstr>
  </property>
</Properties>
</file>