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116" w:type="dxa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1756"/>
        <w:gridCol w:w="1266"/>
        <w:gridCol w:w="1267"/>
        <w:gridCol w:w="12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7" w:hRule="atLeast"/>
        </w:trPr>
        <w:tc>
          <w:tcPr>
            <w:tcW w:w="3605" w:type="dxa"/>
            <w:tcBorders>
              <w:top w:val="nil"/>
              <w:left w:val="nil"/>
              <w:bottom w:val="single" w:color="FFFFFF" w:sz="12" w:space="0"/>
              <w:right w:val="nil"/>
              <w:tl2br w:val="nil"/>
              <w:tr2bl w:val="nil"/>
            </w:tcBorders>
            <w:shd w:val="solid" w:color="000000" w:fill="000000"/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b/>
                <w:color w:val="FFFFFF"/>
                <w:sz w:val="24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single" w:color="FFFFFF" w:sz="12" w:space="0"/>
              <w:right w:val="nil"/>
              <w:tl2br w:val="nil"/>
              <w:tr2bl w:val="nil"/>
            </w:tcBorders>
            <w:shd w:val="solid" w:color="000000" w:fill="000000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b/>
                <w:color w:val="FFFFFF"/>
                <w:sz w:val="24"/>
              </w:rPr>
            </w:pPr>
            <w:r>
              <w:rPr>
                <w:rFonts w:hint="eastAsia" w:ascii="宋体" w:hAnsi="宋体"/>
                <w:b/>
                <w:color w:val="FFFFFF"/>
                <w:sz w:val="24"/>
              </w:rPr>
              <w:t>流动资产总额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FFFFFF" w:sz="12" w:space="0"/>
              <w:right w:val="nil"/>
              <w:tl2br w:val="nil"/>
              <w:tr2bl w:val="nil"/>
            </w:tcBorders>
            <w:shd w:val="solid" w:color="000000" w:fill="000000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b/>
                <w:color w:val="FFFFFF"/>
                <w:sz w:val="24"/>
              </w:rPr>
            </w:pPr>
            <w:r>
              <w:rPr>
                <w:rFonts w:hint="eastAsia" w:ascii="宋体" w:hAnsi="宋体"/>
                <w:b/>
                <w:color w:val="FFFFFF"/>
                <w:sz w:val="24"/>
              </w:rPr>
              <w:t>营运资金</w:t>
            </w:r>
          </w:p>
        </w:tc>
        <w:tc>
          <w:tcPr>
            <w:tcW w:w="1267" w:type="dxa"/>
            <w:tcBorders>
              <w:top w:val="nil"/>
              <w:left w:val="nil"/>
              <w:bottom w:val="single" w:color="FFFFFF" w:sz="12" w:space="0"/>
              <w:right w:val="nil"/>
              <w:tl2br w:val="nil"/>
              <w:tr2bl w:val="nil"/>
            </w:tcBorders>
            <w:shd w:val="solid" w:color="000000" w:fill="000000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b/>
                <w:color w:val="FFFFFF"/>
                <w:sz w:val="24"/>
              </w:rPr>
            </w:pPr>
            <w:r>
              <w:rPr>
                <w:rFonts w:hint="eastAsia" w:ascii="宋体" w:hAnsi="宋体"/>
                <w:b/>
                <w:color w:val="FFFFFF"/>
                <w:sz w:val="24"/>
              </w:rPr>
              <w:t>流动比率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FFFFFF" w:sz="12" w:space="0"/>
              <w:right w:val="nil"/>
              <w:tl2br w:val="nil"/>
              <w:tr2bl w:val="nil"/>
            </w:tcBorders>
            <w:shd w:val="solid" w:color="000000" w:fill="000000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b/>
                <w:color w:val="FFFFFF"/>
                <w:sz w:val="24"/>
              </w:rPr>
            </w:pPr>
            <w:r>
              <w:rPr>
                <w:rFonts w:hint="eastAsia" w:ascii="宋体" w:hAnsi="宋体"/>
                <w:b/>
                <w:color w:val="FFFFFF"/>
                <w:sz w:val="24"/>
              </w:rPr>
              <w:t>税后利润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2" w:hRule="atLeast"/>
        </w:trPr>
        <w:tc>
          <w:tcPr>
            <w:tcW w:w="3605" w:type="dxa"/>
            <w:tcBorders>
              <w:top w:val="single" w:color="FFFFFF" w:sz="12" w:space="0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发行普通股取得现金</w:t>
            </w:r>
          </w:p>
        </w:tc>
        <w:tc>
          <w:tcPr>
            <w:tcW w:w="1756" w:type="dxa"/>
            <w:tcBorders>
              <w:top w:val="single" w:color="FFFFFF" w:sz="12" w:space="0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+</w:t>
            </w:r>
          </w:p>
        </w:tc>
        <w:tc>
          <w:tcPr>
            <w:tcW w:w="1266" w:type="dxa"/>
            <w:tcBorders>
              <w:top w:val="single" w:color="FFFFFF" w:sz="12" w:space="0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+</w:t>
            </w:r>
          </w:p>
        </w:tc>
        <w:tc>
          <w:tcPr>
            <w:tcW w:w="1267" w:type="dxa"/>
            <w:tcBorders>
              <w:top w:val="single" w:color="FFFFFF" w:sz="12" w:space="0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+</w:t>
            </w:r>
          </w:p>
        </w:tc>
        <w:tc>
          <w:tcPr>
            <w:tcW w:w="1222" w:type="dxa"/>
            <w:tcBorders>
              <w:top w:val="single" w:color="FFFFFF" w:sz="12" w:space="0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2" w:hRule="atLeast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支付去年的所得税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2" w:hRule="atLeast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以低于账面的价格出售固定资产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+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+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+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2" w:hRule="atLeast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赊销(售价大于成本)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+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+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+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2" w:hRule="atLeast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赊购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+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2" w:hRule="atLeast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支付过去的采购货款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2" w:hRule="atLeast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贴现短期无息应收票据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0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66CC" w:fill="0066CC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2" w:hRule="atLeast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支付当期管理费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-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-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-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3366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FFFFFF"/>
                <w:sz w:val="24"/>
              </w:rPr>
            </w:pPr>
            <w:r>
              <w:rPr>
                <w:rFonts w:hint="eastAsia" w:ascii="宋体" w:hAnsi="宋体"/>
                <w:color w:val="FFFFFF"/>
                <w:sz w:val="24"/>
              </w:rPr>
              <w:t>-</w:t>
            </w:r>
          </w:p>
        </w:tc>
      </w:tr>
    </w:tbl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9CE7E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2020-10-12T02:39:00Z</dcterms:created>
  <dc:creator>xushaoqian</dc:creator>
  <cp:lastModifiedBy>xushaoqian</cp:lastModifiedBy>
  <dcterms:modified xsi:type="dcterms:W3CDTF">2020-10-12T02:40:07Z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