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CF5E4" w14:textId="192B3350" w:rsidR="006B2ABB" w:rsidRDefault="005169FB">
      <w:pPr>
        <w:rPr>
          <w:lang w:val="en-US"/>
        </w:rPr>
      </w:pPr>
      <w:r>
        <w:rPr>
          <w:lang w:val="en-US"/>
        </w:rPr>
        <w:t>Success5:</w:t>
      </w:r>
    </w:p>
    <w:p w14:paraId="53B9E48F" w14:textId="5821F71F" w:rsidR="005169FB" w:rsidRDefault="005169FB">
      <w:pPr>
        <w:rPr>
          <w:lang w:val="en-US"/>
        </w:rPr>
      </w:pPr>
      <w:r w:rsidRPr="005169FB">
        <w:rPr>
          <w:lang w:val="en-US"/>
        </w:rPr>
        <w:drawing>
          <wp:inline distT="0" distB="0" distL="0" distR="0" wp14:anchorId="1B1B5453" wp14:editId="761DC1AC">
            <wp:extent cx="5731510" cy="3098165"/>
            <wp:effectExtent l="0" t="0" r="2540" b="6985"/>
            <wp:docPr id="76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3" name=""/>
                    <pic:cNvPicPr/>
                  </pic:nvPicPr>
                  <pic:blipFill>
                    <a:blip r:embed="rId5"/>
                    <a:stretch>
                      <a:fillRect/>
                    </a:stretch>
                  </pic:blipFill>
                  <pic:spPr>
                    <a:xfrm>
                      <a:off x="0" y="0"/>
                      <a:ext cx="5731510" cy="3098165"/>
                    </a:xfrm>
                    <a:prstGeom prst="rect">
                      <a:avLst/>
                    </a:prstGeom>
                  </pic:spPr>
                </pic:pic>
              </a:graphicData>
            </a:graphic>
          </wp:inline>
        </w:drawing>
      </w:r>
      <w:r w:rsidRPr="005169FB">
        <w:rPr>
          <w:lang w:val="en-US"/>
        </w:rPr>
        <w:drawing>
          <wp:inline distT="0" distB="0" distL="0" distR="0" wp14:anchorId="006DBE15" wp14:editId="398AE0AA">
            <wp:extent cx="5731510" cy="2947670"/>
            <wp:effectExtent l="0" t="0" r="2540" b="5080"/>
            <wp:docPr id="192476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63647" name=""/>
                    <pic:cNvPicPr/>
                  </pic:nvPicPr>
                  <pic:blipFill>
                    <a:blip r:embed="rId6"/>
                    <a:stretch>
                      <a:fillRect/>
                    </a:stretch>
                  </pic:blipFill>
                  <pic:spPr>
                    <a:xfrm>
                      <a:off x="0" y="0"/>
                      <a:ext cx="5731510" cy="2947670"/>
                    </a:xfrm>
                    <a:prstGeom prst="rect">
                      <a:avLst/>
                    </a:prstGeom>
                  </pic:spPr>
                </pic:pic>
              </a:graphicData>
            </a:graphic>
          </wp:inline>
        </w:drawing>
      </w:r>
      <w:r w:rsidRPr="005169FB">
        <w:rPr>
          <w:lang w:val="en-US"/>
        </w:rPr>
        <w:lastRenderedPageBreak/>
        <w:drawing>
          <wp:inline distT="0" distB="0" distL="0" distR="0" wp14:anchorId="2C906FE5" wp14:editId="437F24F3">
            <wp:extent cx="5731510" cy="2793365"/>
            <wp:effectExtent l="0" t="0" r="2540" b="6985"/>
            <wp:docPr id="1735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7073" name=""/>
                    <pic:cNvPicPr/>
                  </pic:nvPicPr>
                  <pic:blipFill>
                    <a:blip r:embed="rId7"/>
                    <a:stretch>
                      <a:fillRect/>
                    </a:stretch>
                  </pic:blipFill>
                  <pic:spPr>
                    <a:xfrm>
                      <a:off x="0" y="0"/>
                      <a:ext cx="5731510" cy="2793365"/>
                    </a:xfrm>
                    <a:prstGeom prst="rect">
                      <a:avLst/>
                    </a:prstGeom>
                  </pic:spPr>
                </pic:pic>
              </a:graphicData>
            </a:graphic>
          </wp:inline>
        </w:drawing>
      </w:r>
      <w:r w:rsidRPr="005169FB">
        <w:rPr>
          <w:lang w:val="en-US"/>
        </w:rPr>
        <w:drawing>
          <wp:inline distT="0" distB="0" distL="0" distR="0" wp14:anchorId="5881589F" wp14:editId="3B9E8C05">
            <wp:extent cx="5731510" cy="3072765"/>
            <wp:effectExtent l="0" t="0" r="2540" b="0"/>
            <wp:docPr id="28027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9434" name=""/>
                    <pic:cNvPicPr/>
                  </pic:nvPicPr>
                  <pic:blipFill>
                    <a:blip r:embed="rId8"/>
                    <a:stretch>
                      <a:fillRect/>
                    </a:stretch>
                  </pic:blipFill>
                  <pic:spPr>
                    <a:xfrm>
                      <a:off x="0" y="0"/>
                      <a:ext cx="5731510" cy="3072765"/>
                    </a:xfrm>
                    <a:prstGeom prst="rect">
                      <a:avLst/>
                    </a:prstGeom>
                  </pic:spPr>
                </pic:pic>
              </a:graphicData>
            </a:graphic>
          </wp:inline>
        </w:drawing>
      </w:r>
      <w:r w:rsidRPr="005169FB">
        <w:rPr>
          <w:lang w:val="en-US"/>
        </w:rPr>
        <w:drawing>
          <wp:inline distT="0" distB="0" distL="0" distR="0" wp14:anchorId="2A124F02" wp14:editId="3205C1F9">
            <wp:extent cx="5731510" cy="2291080"/>
            <wp:effectExtent l="0" t="0" r="2540" b="0"/>
            <wp:docPr id="43307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75978" name=""/>
                    <pic:cNvPicPr/>
                  </pic:nvPicPr>
                  <pic:blipFill>
                    <a:blip r:embed="rId9"/>
                    <a:stretch>
                      <a:fillRect/>
                    </a:stretch>
                  </pic:blipFill>
                  <pic:spPr>
                    <a:xfrm>
                      <a:off x="0" y="0"/>
                      <a:ext cx="5731510" cy="2291080"/>
                    </a:xfrm>
                    <a:prstGeom prst="rect">
                      <a:avLst/>
                    </a:prstGeom>
                  </pic:spPr>
                </pic:pic>
              </a:graphicData>
            </a:graphic>
          </wp:inline>
        </w:drawing>
      </w:r>
    </w:p>
    <w:p w14:paraId="65D77099" w14:textId="77777777" w:rsidR="00F45CB0" w:rsidRDefault="00F45CB0">
      <w:pPr>
        <w:rPr>
          <w:lang w:val="en-US"/>
        </w:rPr>
      </w:pPr>
    </w:p>
    <w:p w14:paraId="5FF23D0D" w14:textId="77777777" w:rsidR="00F45CB0" w:rsidRDefault="00F45CB0">
      <w:pPr>
        <w:rPr>
          <w:lang w:val="en-US"/>
        </w:rPr>
      </w:pPr>
    </w:p>
    <w:p w14:paraId="6BBA2077" w14:textId="77777777" w:rsidR="00F45CB0" w:rsidRDefault="00F45CB0">
      <w:pPr>
        <w:rPr>
          <w:lang w:val="en-US"/>
        </w:rPr>
      </w:pPr>
      <w:r>
        <w:rPr>
          <w:lang w:val="en-US"/>
        </w:rPr>
        <w:lastRenderedPageBreak/>
        <w:t>Success9 results:</w:t>
      </w:r>
    </w:p>
    <w:p w14:paraId="55833341" w14:textId="74EE0EC9" w:rsidR="00F45CB0" w:rsidRDefault="00F45CB0">
      <w:pPr>
        <w:rPr>
          <w:lang w:val="en-US"/>
        </w:rPr>
      </w:pPr>
      <w:r w:rsidRPr="00F45CB0">
        <w:rPr>
          <w:lang w:val="en-US"/>
        </w:rPr>
        <w:t xml:space="preserve">which are the top 5 important </w:t>
      </w:r>
      <w:proofErr w:type="spellStart"/>
      <w:r w:rsidRPr="00F45CB0">
        <w:rPr>
          <w:lang w:val="en-US"/>
        </w:rPr>
        <w:t>paramters</w:t>
      </w:r>
      <w:proofErr w:type="spellEnd"/>
      <w:r w:rsidRPr="00F45CB0">
        <w:rPr>
          <w:lang w:val="en-US"/>
        </w:rPr>
        <w:t xml:space="preserve"> of any stock and what should be their range to invest in </w:t>
      </w:r>
      <w:proofErr w:type="spellStart"/>
      <w:r w:rsidRPr="00F45CB0">
        <w:rPr>
          <w:lang w:val="en-US"/>
        </w:rPr>
        <w:t>thta</w:t>
      </w:r>
      <w:proofErr w:type="spellEnd"/>
      <w:r w:rsidRPr="00F45CB0">
        <w:rPr>
          <w:lang w:val="en-US"/>
        </w:rPr>
        <w:t xml:space="preserve"> particular stock?</w:t>
      </w:r>
      <w:r>
        <w:rPr>
          <w:lang w:val="en-US"/>
        </w:rPr>
        <w:t xml:space="preserve"> </w:t>
      </w:r>
    </w:p>
    <w:p w14:paraId="6D21E8D4" w14:textId="77777777" w:rsidR="00F45CB0" w:rsidRPr="00F45CB0" w:rsidRDefault="00F45CB0" w:rsidP="00F45CB0">
      <w:pPr>
        <w:rPr>
          <w:b/>
          <w:bCs/>
        </w:rPr>
      </w:pPr>
      <w:r w:rsidRPr="00F45CB0">
        <w:rPr>
          <w:rFonts w:ascii="Segoe UI Emoji" w:hAnsi="Segoe UI Emoji" w:cs="Segoe UI Emoji"/>
          <w:b/>
          <w:bCs/>
        </w:rPr>
        <w:t>🤖</w:t>
      </w:r>
      <w:r w:rsidRPr="00F45CB0">
        <w:rPr>
          <w:b/>
          <w:bCs/>
        </w:rPr>
        <w:t xml:space="preserve"> </w:t>
      </w:r>
      <w:proofErr w:type="spellStart"/>
      <w:r w:rsidRPr="00F45CB0">
        <w:rPr>
          <w:b/>
          <w:bCs/>
        </w:rPr>
        <w:t>Groq</w:t>
      </w:r>
      <w:proofErr w:type="spellEnd"/>
      <w:r w:rsidRPr="00F45CB0">
        <w:rPr>
          <w:b/>
          <w:bCs/>
        </w:rPr>
        <w:t xml:space="preserve"> (</w:t>
      </w:r>
      <w:proofErr w:type="spellStart"/>
      <w:r w:rsidRPr="00F45CB0">
        <w:rPr>
          <w:b/>
          <w:bCs/>
        </w:rPr>
        <w:t>LLaMA</w:t>
      </w:r>
      <w:proofErr w:type="spellEnd"/>
      <w:r w:rsidRPr="00F45CB0">
        <w:rPr>
          <w:b/>
          <w:bCs/>
        </w:rPr>
        <w:t xml:space="preserve"> 3)</w:t>
      </w:r>
    </w:p>
    <w:p w14:paraId="48EDFFBC" w14:textId="77777777" w:rsidR="00F45CB0" w:rsidRPr="00F45CB0" w:rsidRDefault="00F45CB0" w:rsidP="00F45CB0">
      <w:r w:rsidRPr="00F45CB0">
        <w:t xml:space="preserve">While there are numerous parameters to </w:t>
      </w:r>
      <w:proofErr w:type="spellStart"/>
      <w:r w:rsidRPr="00F45CB0">
        <w:t>analyze</w:t>
      </w:r>
      <w:proofErr w:type="spellEnd"/>
      <w:r w:rsidRPr="00F45CB0">
        <w:t xml:space="preserve"> a stock, here are the top 5 important ones to consider, along with general guidelines on their ideal ranges:</w:t>
      </w:r>
    </w:p>
    <w:p w14:paraId="6D789D4B" w14:textId="77777777" w:rsidR="00F45CB0" w:rsidRPr="00F45CB0" w:rsidRDefault="00F45CB0" w:rsidP="00F45CB0">
      <w:r w:rsidRPr="00F45CB0">
        <w:rPr>
          <w:b/>
          <w:bCs/>
        </w:rPr>
        <w:t>1. Price-to-Earnings (P/E) Ratio</w:t>
      </w:r>
    </w:p>
    <w:p w14:paraId="473749D2" w14:textId="77777777" w:rsidR="00F45CB0" w:rsidRPr="00F45CB0" w:rsidRDefault="00F45CB0" w:rsidP="00F45CB0">
      <w:pPr>
        <w:numPr>
          <w:ilvl w:val="0"/>
          <w:numId w:val="1"/>
        </w:numPr>
      </w:pPr>
      <w:r w:rsidRPr="00F45CB0">
        <w:t>Ideal Range: 15-25 (varies by industry and market conditions)</w:t>
      </w:r>
    </w:p>
    <w:p w14:paraId="2F17D5A2" w14:textId="77777777" w:rsidR="00F45CB0" w:rsidRPr="00F45CB0" w:rsidRDefault="00F45CB0" w:rsidP="00F45CB0">
      <w:pPr>
        <w:numPr>
          <w:ilvl w:val="0"/>
          <w:numId w:val="1"/>
        </w:numPr>
      </w:pPr>
      <w:r w:rsidRPr="00F45CB0">
        <w:t>Why: The P/E ratio indicates how much investors are willing to pay per dollar of earnings. A lower P/E ratio may indicate undervaluation, while a higher ratio may suggest overvaluation.</w:t>
      </w:r>
    </w:p>
    <w:p w14:paraId="406B613F" w14:textId="77777777" w:rsidR="00F45CB0" w:rsidRPr="00F45CB0" w:rsidRDefault="00F45CB0" w:rsidP="00F45CB0">
      <w:r w:rsidRPr="00F45CB0">
        <w:rPr>
          <w:b/>
          <w:bCs/>
        </w:rPr>
        <w:t>2. Debt-to-Equity (D/E) Ratio</w:t>
      </w:r>
    </w:p>
    <w:p w14:paraId="727E8CF8" w14:textId="77777777" w:rsidR="00F45CB0" w:rsidRPr="00F45CB0" w:rsidRDefault="00F45CB0" w:rsidP="00F45CB0">
      <w:pPr>
        <w:numPr>
          <w:ilvl w:val="0"/>
          <w:numId w:val="2"/>
        </w:numPr>
      </w:pPr>
      <w:r w:rsidRPr="00F45CB0">
        <w:t>Ideal Range: 0.5-1.5 (varies by industry and company size)</w:t>
      </w:r>
    </w:p>
    <w:p w14:paraId="7BF2F330" w14:textId="77777777" w:rsidR="00F45CB0" w:rsidRPr="00F45CB0" w:rsidRDefault="00F45CB0" w:rsidP="00F45CB0">
      <w:pPr>
        <w:numPr>
          <w:ilvl w:val="0"/>
          <w:numId w:val="2"/>
        </w:numPr>
      </w:pPr>
      <w:r w:rsidRPr="00F45CB0">
        <w:t>Why: The D/E ratio measures a company's leverage. A lower ratio indicates a healthier balance sheet, while a higher ratio may suggest higher risk and potential debt issues.</w:t>
      </w:r>
    </w:p>
    <w:p w14:paraId="32686443" w14:textId="77777777" w:rsidR="00F45CB0" w:rsidRPr="00F45CB0" w:rsidRDefault="00F45CB0" w:rsidP="00F45CB0">
      <w:r w:rsidRPr="00F45CB0">
        <w:rPr>
          <w:b/>
          <w:bCs/>
        </w:rPr>
        <w:t>3. Return on Equity (ROE)</w:t>
      </w:r>
    </w:p>
    <w:p w14:paraId="69DB2080" w14:textId="77777777" w:rsidR="00F45CB0" w:rsidRPr="00F45CB0" w:rsidRDefault="00F45CB0" w:rsidP="00F45CB0">
      <w:pPr>
        <w:numPr>
          <w:ilvl w:val="0"/>
          <w:numId w:val="3"/>
        </w:numPr>
      </w:pPr>
      <w:r w:rsidRPr="00F45CB0">
        <w:t>Ideal Range: 15%-25% (varies by industry and company size)</w:t>
      </w:r>
    </w:p>
    <w:p w14:paraId="167AB741" w14:textId="77777777" w:rsidR="00F45CB0" w:rsidRPr="00F45CB0" w:rsidRDefault="00F45CB0" w:rsidP="00F45CB0">
      <w:pPr>
        <w:numPr>
          <w:ilvl w:val="0"/>
          <w:numId w:val="3"/>
        </w:numPr>
      </w:pPr>
      <w:r w:rsidRPr="00F45CB0">
        <w:t>Why: ROE measures a company's profitability from shareholders' perspective. A higher ROE indicates efficient use of equity, while a lower ROE may suggest poor capital allocation.</w:t>
      </w:r>
    </w:p>
    <w:p w14:paraId="7CD4E98A" w14:textId="77777777" w:rsidR="00F45CB0" w:rsidRPr="00F45CB0" w:rsidRDefault="00F45CB0" w:rsidP="00F45CB0">
      <w:r w:rsidRPr="00F45CB0">
        <w:rPr>
          <w:b/>
          <w:bCs/>
        </w:rPr>
        <w:t>4. Dividend Yield</w:t>
      </w:r>
    </w:p>
    <w:p w14:paraId="0F10446D" w14:textId="77777777" w:rsidR="00F45CB0" w:rsidRPr="00F45CB0" w:rsidRDefault="00F45CB0" w:rsidP="00F45CB0">
      <w:pPr>
        <w:numPr>
          <w:ilvl w:val="0"/>
          <w:numId w:val="4"/>
        </w:numPr>
      </w:pPr>
      <w:r w:rsidRPr="00F45CB0">
        <w:t>Ideal Range: 2%-5% (varies by industry and market conditions)</w:t>
      </w:r>
    </w:p>
    <w:p w14:paraId="7E1DD5A5" w14:textId="77777777" w:rsidR="00F45CB0" w:rsidRPr="00F45CB0" w:rsidRDefault="00F45CB0" w:rsidP="00F45CB0">
      <w:pPr>
        <w:numPr>
          <w:ilvl w:val="0"/>
          <w:numId w:val="4"/>
        </w:numPr>
      </w:pPr>
      <w:r w:rsidRPr="00F45CB0">
        <w:t>Why: Dividend yield represents the annual dividend payment as a percentage of the stock's current price. A higher dividend yield may indicate a relatively undervalued stock, while a lower yield may suggest overvaluation.</w:t>
      </w:r>
    </w:p>
    <w:p w14:paraId="599A2927" w14:textId="77777777" w:rsidR="00F45CB0" w:rsidRPr="00F45CB0" w:rsidRDefault="00F45CB0" w:rsidP="00F45CB0">
      <w:r w:rsidRPr="00F45CB0">
        <w:rPr>
          <w:b/>
          <w:bCs/>
        </w:rPr>
        <w:t>5. Earnings Per Share (EPS) Growth Rate</w:t>
      </w:r>
    </w:p>
    <w:p w14:paraId="0A29B415" w14:textId="77777777" w:rsidR="00F45CB0" w:rsidRPr="00F45CB0" w:rsidRDefault="00F45CB0" w:rsidP="00F45CB0">
      <w:pPr>
        <w:numPr>
          <w:ilvl w:val="0"/>
          <w:numId w:val="5"/>
        </w:numPr>
      </w:pPr>
      <w:r w:rsidRPr="00F45CB0">
        <w:t>Ideal Range: 10%-20% (varies by industry and company size)</w:t>
      </w:r>
    </w:p>
    <w:p w14:paraId="7CEE4737" w14:textId="77777777" w:rsidR="00F45CB0" w:rsidRPr="00F45CB0" w:rsidRDefault="00F45CB0" w:rsidP="00F45CB0">
      <w:pPr>
        <w:numPr>
          <w:ilvl w:val="0"/>
          <w:numId w:val="5"/>
        </w:numPr>
      </w:pPr>
      <w:r w:rsidRPr="00F45CB0">
        <w:t>Why: EPS growth rate measures a company's ability to increase its profitability. A higher EPS growth rate may indicate a strong, growing company, while a lower growth rate may suggest sluggishness.</w:t>
      </w:r>
    </w:p>
    <w:p w14:paraId="5C2F1505" w14:textId="77777777" w:rsidR="00F45CB0" w:rsidRPr="00F45CB0" w:rsidRDefault="00F45CB0" w:rsidP="00F45CB0">
      <w:r w:rsidRPr="00F45CB0">
        <w:t>Please note that these are general guidelines, and the ideal ranges may vary depending on:</w:t>
      </w:r>
    </w:p>
    <w:p w14:paraId="15464D64" w14:textId="77777777" w:rsidR="00F45CB0" w:rsidRPr="00F45CB0" w:rsidRDefault="00F45CB0" w:rsidP="00F45CB0">
      <w:pPr>
        <w:numPr>
          <w:ilvl w:val="0"/>
          <w:numId w:val="6"/>
        </w:numPr>
      </w:pPr>
      <w:r w:rsidRPr="00F45CB0">
        <w:t>Industry norms: Different industries have different benchmarks for these parameters.</w:t>
      </w:r>
    </w:p>
    <w:p w14:paraId="4513B05F" w14:textId="77777777" w:rsidR="00F45CB0" w:rsidRPr="00F45CB0" w:rsidRDefault="00F45CB0" w:rsidP="00F45CB0">
      <w:pPr>
        <w:numPr>
          <w:ilvl w:val="0"/>
          <w:numId w:val="6"/>
        </w:numPr>
      </w:pPr>
      <w:r w:rsidRPr="00F45CB0">
        <w:t>Company size: Larger companies may have different benchmarks than smaller ones.</w:t>
      </w:r>
    </w:p>
    <w:p w14:paraId="1F620B73" w14:textId="77777777" w:rsidR="00F45CB0" w:rsidRPr="00F45CB0" w:rsidRDefault="00F45CB0" w:rsidP="00F45CB0">
      <w:pPr>
        <w:numPr>
          <w:ilvl w:val="0"/>
          <w:numId w:val="6"/>
        </w:numPr>
      </w:pPr>
      <w:r w:rsidRPr="00F45CB0">
        <w:t>Market conditions: Economic downturns or periods of high growth may affect the ideal ranges.</w:t>
      </w:r>
    </w:p>
    <w:p w14:paraId="0F5DF394" w14:textId="77777777" w:rsidR="00F45CB0" w:rsidRPr="00F45CB0" w:rsidRDefault="00F45CB0" w:rsidP="00F45CB0">
      <w:pPr>
        <w:numPr>
          <w:ilvl w:val="0"/>
          <w:numId w:val="6"/>
        </w:numPr>
      </w:pPr>
      <w:r w:rsidRPr="00F45CB0">
        <w:t>Investment goals: Conservative investors may prioritize lower risk, while growth investors may target higher returns.</w:t>
      </w:r>
    </w:p>
    <w:p w14:paraId="22561C1B" w14:textId="77777777" w:rsidR="00F45CB0" w:rsidRPr="00F45CB0" w:rsidRDefault="00F45CB0" w:rsidP="00F45CB0">
      <w:r w:rsidRPr="00F45CB0">
        <w:lastRenderedPageBreak/>
        <w:t>It's essential to consider these parameters in conjunction with others, such as revenue growth, profit margins, and cash flow, to form a comprehensive picture of a stock's investment potential. Additionally, always conduct thorough research and consider your own risk tolerance, investment goals, and time horizon before investing in any stock.</w:t>
      </w:r>
    </w:p>
    <w:p w14:paraId="09D29A59" w14:textId="77777777" w:rsidR="00F45CB0" w:rsidRPr="00F45CB0" w:rsidRDefault="00F45CB0" w:rsidP="00F45CB0">
      <w:pPr>
        <w:rPr>
          <w:b/>
          <w:bCs/>
        </w:rPr>
      </w:pPr>
      <w:r w:rsidRPr="00F45CB0">
        <w:rPr>
          <w:rFonts w:ascii="Segoe UI Emoji" w:hAnsi="Segoe UI Emoji" w:cs="Segoe UI Emoji"/>
          <w:b/>
          <w:bCs/>
        </w:rPr>
        <w:t>🔍</w:t>
      </w:r>
      <w:r w:rsidRPr="00F45CB0">
        <w:rPr>
          <w:b/>
          <w:bCs/>
        </w:rPr>
        <w:t xml:space="preserve"> Gemini (Google)</w:t>
      </w:r>
    </w:p>
    <w:p w14:paraId="6F7805B2" w14:textId="77777777" w:rsidR="00F45CB0" w:rsidRPr="00F45CB0" w:rsidRDefault="00F45CB0" w:rsidP="00F45CB0">
      <w:r w:rsidRPr="00F45CB0">
        <w:t>There's no single "perfect" range for any stock parameter that guarantees investment success. The ideal values depend heavily on the specific company, its industry, its growth stage, and the overall market conditions. However, here are five important parameters to consider, along with general guidelines – remember these are guidelines, not strict rules:</w:t>
      </w:r>
    </w:p>
    <w:p w14:paraId="6A7F74CC" w14:textId="77777777" w:rsidR="00F45CB0" w:rsidRPr="00F45CB0" w:rsidRDefault="00F45CB0" w:rsidP="00F45CB0">
      <w:pPr>
        <w:numPr>
          <w:ilvl w:val="0"/>
          <w:numId w:val="7"/>
        </w:numPr>
      </w:pPr>
      <w:r w:rsidRPr="00F45CB0">
        <w:rPr>
          <w:b/>
          <w:bCs/>
        </w:rPr>
        <w:t>Price-to-Earnings Ratio (P/E):</w:t>
      </w:r>
      <w:r w:rsidRPr="00F45CB0">
        <w:t> This shows how much investors are willing to pay for each dollar of a company's earnings.</w:t>
      </w:r>
    </w:p>
    <w:p w14:paraId="36B0AF1F" w14:textId="77777777" w:rsidR="00F45CB0" w:rsidRPr="00F45CB0" w:rsidRDefault="00F45CB0" w:rsidP="00F45CB0">
      <w:pPr>
        <w:numPr>
          <w:ilvl w:val="1"/>
          <w:numId w:val="7"/>
        </w:numPr>
      </w:pPr>
      <w:r w:rsidRPr="00F45CB0">
        <w:rPr>
          <w:b/>
          <w:bCs/>
        </w:rPr>
        <w:t>General Guideline:</w:t>
      </w:r>
      <w:r w:rsidRPr="00F45CB0">
        <w:t> A P/E ratio below the market average </w:t>
      </w:r>
      <w:r w:rsidRPr="00F45CB0">
        <w:rPr>
          <w:i/>
          <w:iCs/>
        </w:rPr>
        <w:t>might</w:t>
      </w:r>
      <w:r w:rsidRPr="00F45CB0">
        <w:t> indicate undervaluation, while a ratio significantly above the average </w:t>
      </w:r>
      <w:r w:rsidRPr="00F45CB0">
        <w:rPr>
          <w:i/>
          <w:iCs/>
        </w:rPr>
        <w:t>might</w:t>
      </w:r>
      <w:r w:rsidRPr="00F45CB0">
        <w:t> suggest overvaluation. However, high-growth companies often have higher P/E ratios. There's no magic number. Compare the P/E to industry averages and the company's historical P/E.</w:t>
      </w:r>
    </w:p>
    <w:p w14:paraId="333AF927" w14:textId="77777777" w:rsidR="00F45CB0" w:rsidRPr="00F45CB0" w:rsidRDefault="00F45CB0" w:rsidP="00F45CB0">
      <w:pPr>
        <w:numPr>
          <w:ilvl w:val="0"/>
          <w:numId w:val="7"/>
        </w:numPr>
      </w:pPr>
      <w:r w:rsidRPr="00F45CB0">
        <w:rPr>
          <w:b/>
          <w:bCs/>
        </w:rPr>
        <w:t>Price-to-Book Ratio (P/B):</w:t>
      </w:r>
      <w:r w:rsidRPr="00F45CB0">
        <w:t> This compares a company's market price to its book value (assets minus liabilities).</w:t>
      </w:r>
    </w:p>
    <w:p w14:paraId="78750C2E" w14:textId="77777777" w:rsidR="00F45CB0" w:rsidRPr="00F45CB0" w:rsidRDefault="00F45CB0" w:rsidP="00F45CB0">
      <w:pPr>
        <w:numPr>
          <w:ilvl w:val="1"/>
          <w:numId w:val="7"/>
        </w:numPr>
      </w:pPr>
      <w:r w:rsidRPr="00F45CB0">
        <w:rPr>
          <w:b/>
          <w:bCs/>
        </w:rPr>
        <w:t>General Guideline:</w:t>
      </w:r>
      <w:r w:rsidRPr="00F45CB0">
        <w:t> A P/B ratio below 1 could indicate undervaluation, suggesting the market is valuing the company below its net asset value. However, this isn't always the case, as intangible assets (brand recognition, intellectual property) aren't fully reflected in book value. Again, compare to industry averages.</w:t>
      </w:r>
    </w:p>
    <w:p w14:paraId="3D6137B3" w14:textId="77777777" w:rsidR="00F45CB0" w:rsidRPr="00F45CB0" w:rsidRDefault="00F45CB0" w:rsidP="00F45CB0">
      <w:pPr>
        <w:numPr>
          <w:ilvl w:val="0"/>
          <w:numId w:val="7"/>
        </w:numPr>
      </w:pPr>
      <w:r w:rsidRPr="00F45CB0">
        <w:rPr>
          <w:b/>
          <w:bCs/>
        </w:rPr>
        <w:t>Debt-to-Equity Ratio:</w:t>
      </w:r>
      <w:r w:rsidRPr="00F45CB0">
        <w:t> This shows the proportion of a company's financing that comes from debt versus equity.</w:t>
      </w:r>
    </w:p>
    <w:p w14:paraId="55A29296" w14:textId="77777777" w:rsidR="00F45CB0" w:rsidRPr="00F45CB0" w:rsidRDefault="00F45CB0" w:rsidP="00F45CB0">
      <w:pPr>
        <w:numPr>
          <w:ilvl w:val="1"/>
          <w:numId w:val="7"/>
        </w:numPr>
      </w:pPr>
      <w:r w:rsidRPr="00F45CB0">
        <w:rPr>
          <w:b/>
          <w:bCs/>
        </w:rPr>
        <w:t>General Guideline:</w:t>
      </w:r>
      <w:r w:rsidRPr="00F45CB0">
        <w:t xml:space="preserve"> A lower ratio (e.g., below 1) generally indicates less financial risk. High debt can make a company vulnerable during economic downturns. However, some industries naturally use more debt than others. </w:t>
      </w:r>
      <w:proofErr w:type="spellStart"/>
      <w:r w:rsidRPr="00F45CB0">
        <w:t>Analyze</w:t>
      </w:r>
      <w:proofErr w:type="spellEnd"/>
      <w:r w:rsidRPr="00F45CB0">
        <w:t xml:space="preserve"> the ratio in context.</w:t>
      </w:r>
    </w:p>
    <w:p w14:paraId="58DE660C" w14:textId="77777777" w:rsidR="00F45CB0" w:rsidRPr="00F45CB0" w:rsidRDefault="00F45CB0" w:rsidP="00F45CB0">
      <w:pPr>
        <w:numPr>
          <w:ilvl w:val="0"/>
          <w:numId w:val="7"/>
        </w:numPr>
      </w:pPr>
      <w:r w:rsidRPr="00F45CB0">
        <w:rPr>
          <w:b/>
          <w:bCs/>
        </w:rPr>
        <w:t>Return on Equity (ROE):</w:t>
      </w:r>
      <w:r w:rsidRPr="00F45CB0">
        <w:t> This measures how efficiently a company uses shareholder investments to generate profits.</w:t>
      </w:r>
    </w:p>
    <w:p w14:paraId="66FDC73A" w14:textId="77777777" w:rsidR="00F45CB0" w:rsidRPr="00F45CB0" w:rsidRDefault="00F45CB0" w:rsidP="00F45CB0">
      <w:pPr>
        <w:numPr>
          <w:ilvl w:val="1"/>
          <w:numId w:val="7"/>
        </w:numPr>
      </w:pPr>
      <w:r w:rsidRPr="00F45CB0">
        <w:rPr>
          <w:b/>
          <w:bCs/>
        </w:rPr>
        <w:t>General Guideline:</w:t>
      </w:r>
      <w:r w:rsidRPr="00F45CB0">
        <w:t> A higher ROE (e.g., above 15%) typically suggests better management and profitability. However, compare this to industry benchmarks and consider the company's growth rate. A temporarily high ROE might not be sustainable.</w:t>
      </w:r>
    </w:p>
    <w:p w14:paraId="30D0F95A" w14:textId="77777777" w:rsidR="00F45CB0" w:rsidRPr="00F45CB0" w:rsidRDefault="00F45CB0" w:rsidP="00F45CB0">
      <w:pPr>
        <w:numPr>
          <w:ilvl w:val="0"/>
          <w:numId w:val="7"/>
        </w:numPr>
      </w:pPr>
      <w:r w:rsidRPr="00F45CB0">
        <w:rPr>
          <w:b/>
          <w:bCs/>
        </w:rPr>
        <w:t>Revenue Growth:</w:t>
      </w:r>
      <w:r w:rsidRPr="00F45CB0">
        <w:t> This shows the percentage increase in a company's revenue over time.</w:t>
      </w:r>
    </w:p>
    <w:p w14:paraId="5BFAC025" w14:textId="77777777" w:rsidR="00F45CB0" w:rsidRPr="00F45CB0" w:rsidRDefault="00F45CB0" w:rsidP="00F45CB0">
      <w:pPr>
        <w:numPr>
          <w:ilvl w:val="1"/>
          <w:numId w:val="7"/>
        </w:numPr>
      </w:pPr>
      <w:r w:rsidRPr="00F45CB0">
        <w:rPr>
          <w:b/>
          <w:bCs/>
        </w:rPr>
        <w:t>General Guideline:</w:t>
      </w:r>
      <w:r w:rsidRPr="00F45CB0">
        <w:t> Consistent revenue growth is a positive sign of a healthy business. The ideal growth rate depends on the industry and the company's life cycle. Rapid growth is desirable but also needs to be sustainable. Look at multiple years of data, not just a single year.</w:t>
      </w:r>
    </w:p>
    <w:p w14:paraId="3DAA2C19" w14:textId="77777777" w:rsidR="00F45CB0" w:rsidRPr="00F45CB0" w:rsidRDefault="00F45CB0" w:rsidP="00F45CB0">
      <w:r w:rsidRPr="00F45CB0">
        <w:rPr>
          <w:b/>
          <w:bCs/>
        </w:rPr>
        <w:t>Crucial Considerations:</w:t>
      </w:r>
    </w:p>
    <w:p w14:paraId="446AA10F" w14:textId="77777777" w:rsidR="00F45CB0" w:rsidRPr="00F45CB0" w:rsidRDefault="00F45CB0" w:rsidP="00F45CB0">
      <w:pPr>
        <w:numPr>
          <w:ilvl w:val="0"/>
          <w:numId w:val="8"/>
        </w:numPr>
      </w:pPr>
      <w:r w:rsidRPr="00F45CB0">
        <w:rPr>
          <w:b/>
          <w:bCs/>
        </w:rPr>
        <w:lastRenderedPageBreak/>
        <w:t>Industry context:</w:t>
      </w:r>
      <w:r w:rsidRPr="00F45CB0">
        <w:t> Compare these ratios to competitors within the same industry. A high P/E ratio might be normal for a tech company but alarming for a utility company.</w:t>
      </w:r>
    </w:p>
    <w:p w14:paraId="49B19E75" w14:textId="77777777" w:rsidR="00F45CB0" w:rsidRPr="00F45CB0" w:rsidRDefault="00F45CB0" w:rsidP="00F45CB0">
      <w:pPr>
        <w:numPr>
          <w:ilvl w:val="0"/>
          <w:numId w:val="8"/>
        </w:numPr>
      </w:pPr>
      <w:r w:rsidRPr="00F45CB0">
        <w:rPr>
          <w:b/>
          <w:bCs/>
        </w:rPr>
        <w:t>Company specifics:</w:t>
      </w:r>
      <w:r w:rsidRPr="00F45CB0">
        <w:t> </w:t>
      </w:r>
      <w:proofErr w:type="spellStart"/>
      <w:r w:rsidRPr="00F45CB0">
        <w:t>Analyze</w:t>
      </w:r>
      <w:proofErr w:type="spellEnd"/>
      <w:r w:rsidRPr="00F45CB0">
        <w:t xml:space="preserve"> the company's financial statements thoroughly, understand its business model, and consider its future prospects. Don't rely solely on these five metrics.</w:t>
      </w:r>
    </w:p>
    <w:p w14:paraId="3E18B875" w14:textId="77777777" w:rsidR="00F45CB0" w:rsidRPr="00F45CB0" w:rsidRDefault="00F45CB0" w:rsidP="00F45CB0">
      <w:pPr>
        <w:numPr>
          <w:ilvl w:val="0"/>
          <w:numId w:val="8"/>
        </w:numPr>
      </w:pPr>
      <w:r w:rsidRPr="00F45CB0">
        <w:rPr>
          <w:b/>
          <w:bCs/>
        </w:rPr>
        <w:t>Qualitative factors:</w:t>
      </w:r>
      <w:r w:rsidRPr="00F45CB0">
        <w:t> Consider factors beyond numbers, such as management quality, competitive landscape, and regulatory environment.</w:t>
      </w:r>
    </w:p>
    <w:p w14:paraId="5569450F" w14:textId="77777777" w:rsidR="00F45CB0" w:rsidRPr="00F45CB0" w:rsidRDefault="00F45CB0" w:rsidP="00F45CB0">
      <w:pPr>
        <w:numPr>
          <w:ilvl w:val="0"/>
          <w:numId w:val="8"/>
        </w:numPr>
      </w:pPr>
      <w:r w:rsidRPr="00F45CB0">
        <w:rPr>
          <w:b/>
          <w:bCs/>
        </w:rPr>
        <w:t>Risk tolerance:</w:t>
      </w:r>
      <w:r w:rsidRPr="00F45CB0">
        <w:t> Your investment decisions should align with your own risk tolerance.</w:t>
      </w:r>
    </w:p>
    <w:p w14:paraId="428B2126" w14:textId="77777777" w:rsidR="00F45CB0" w:rsidRPr="00F45CB0" w:rsidRDefault="00F45CB0" w:rsidP="00F45CB0">
      <w:pPr>
        <w:pBdr>
          <w:bottom w:val="single" w:sz="6" w:space="1" w:color="auto"/>
        </w:pBdr>
      </w:pPr>
      <w:r w:rsidRPr="00F45CB0">
        <w:rPr>
          <w:b/>
          <w:bCs/>
        </w:rPr>
        <w:t>Disclaimer:</w:t>
      </w:r>
      <w:r w:rsidRPr="00F45CB0">
        <w:t> I am an AI chatbot and cannot provide financial advice. The information above is for educational purposes only. Consult with a qualified financial advisor before making any investment decisions.</w:t>
      </w:r>
    </w:p>
    <w:p w14:paraId="79425AD1" w14:textId="76280949" w:rsidR="00C60383" w:rsidRDefault="00C60383">
      <w:pPr>
        <w:rPr>
          <w:lang w:val="en-US"/>
        </w:rPr>
      </w:pPr>
      <w:r>
        <w:rPr>
          <w:lang w:val="en-US"/>
        </w:rPr>
        <w:t>Success10 response:</w:t>
      </w:r>
    </w:p>
    <w:p w14:paraId="0ADF73EC" w14:textId="6BDF677F" w:rsidR="00C60383" w:rsidRDefault="00C60383">
      <w:pPr>
        <w:rPr>
          <w:lang w:val="en-US"/>
        </w:rPr>
      </w:pPr>
      <w:r w:rsidRPr="00C60383">
        <w:rPr>
          <w:lang w:val="en-US"/>
        </w:rPr>
        <w:t xml:space="preserve">top 5 stock parameters and their range </w:t>
      </w:r>
      <w:proofErr w:type="spellStart"/>
      <w:r w:rsidRPr="00C60383">
        <w:rPr>
          <w:lang w:val="en-US"/>
        </w:rPr>
        <w:t>inorder</w:t>
      </w:r>
      <w:proofErr w:type="spellEnd"/>
      <w:r w:rsidRPr="00C60383">
        <w:rPr>
          <w:lang w:val="en-US"/>
        </w:rPr>
        <w:t xml:space="preserve"> to decide whether to invest in that stock or not</w:t>
      </w:r>
    </w:p>
    <w:p w14:paraId="2DEB53B4" w14:textId="77777777" w:rsidR="00C60383" w:rsidRPr="00C60383" w:rsidRDefault="00C60383" w:rsidP="00C60383">
      <w:pPr>
        <w:rPr>
          <w:b/>
          <w:bCs/>
        </w:rPr>
      </w:pPr>
      <w:r w:rsidRPr="00C60383">
        <w:rPr>
          <w:rFonts w:ascii="Segoe UI Emoji" w:hAnsi="Segoe UI Emoji" w:cs="Segoe UI Emoji"/>
          <w:b/>
          <w:bCs/>
        </w:rPr>
        <w:t>🤖</w:t>
      </w:r>
      <w:r w:rsidRPr="00C60383">
        <w:rPr>
          <w:b/>
          <w:bCs/>
        </w:rPr>
        <w:t xml:space="preserve"> </w:t>
      </w:r>
      <w:proofErr w:type="spellStart"/>
      <w:r w:rsidRPr="00C60383">
        <w:rPr>
          <w:b/>
          <w:bCs/>
        </w:rPr>
        <w:t>Groq</w:t>
      </w:r>
      <w:proofErr w:type="spellEnd"/>
      <w:r w:rsidRPr="00C60383">
        <w:rPr>
          <w:b/>
          <w:bCs/>
        </w:rPr>
        <w:t xml:space="preserve"> (</w:t>
      </w:r>
      <w:proofErr w:type="spellStart"/>
      <w:r w:rsidRPr="00C60383">
        <w:rPr>
          <w:b/>
          <w:bCs/>
        </w:rPr>
        <w:t>LLaMA</w:t>
      </w:r>
      <w:proofErr w:type="spellEnd"/>
      <w:r w:rsidRPr="00C60383">
        <w:rPr>
          <w:b/>
          <w:bCs/>
        </w:rPr>
        <w:t xml:space="preserve"> 3)</w:t>
      </w:r>
    </w:p>
    <w:p w14:paraId="37F6F8CF" w14:textId="77777777" w:rsidR="00C60383" w:rsidRPr="00C60383" w:rsidRDefault="00C60383" w:rsidP="00C60383">
      <w:r w:rsidRPr="00C60383">
        <w:t>When considering whether to invest in a stock, it's essential to evaluate various parameters that reflect its fundamental and technical performance. Here are the top 5 stock parameters and their ranges to help you make a more informed decision:</w:t>
      </w:r>
    </w:p>
    <w:p w14:paraId="18B3DD91" w14:textId="77777777" w:rsidR="00C60383" w:rsidRPr="00C60383" w:rsidRDefault="00C60383" w:rsidP="00C60383">
      <w:pPr>
        <w:numPr>
          <w:ilvl w:val="0"/>
          <w:numId w:val="9"/>
        </w:numPr>
      </w:pPr>
      <w:r w:rsidRPr="00C60383">
        <w:rPr>
          <w:b/>
          <w:bCs/>
        </w:rPr>
        <w:t>Price-to-Earnings (P/E) Ratio</w:t>
      </w:r>
      <w:r w:rsidRPr="00C60383">
        <w:t>:</w:t>
      </w:r>
    </w:p>
    <w:p w14:paraId="4747B846" w14:textId="77777777" w:rsidR="00C60383" w:rsidRPr="00C60383" w:rsidRDefault="00C60383" w:rsidP="00C60383">
      <w:pPr>
        <w:numPr>
          <w:ilvl w:val="1"/>
          <w:numId w:val="9"/>
        </w:numPr>
      </w:pPr>
      <w:r w:rsidRPr="00C60383">
        <w:t>Range: 10-30</w:t>
      </w:r>
    </w:p>
    <w:p w14:paraId="257542E7" w14:textId="77777777" w:rsidR="00C60383" w:rsidRPr="00C60383" w:rsidRDefault="00C60383" w:rsidP="00C60383">
      <w:pPr>
        <w:numPr>
          <w:ilvl w:val="1"/>
          <w:numId w:val="9"/>
        </w:numPr>
      </w:pPr>
      <w:r w:rsidRPr="00C60383">
        <w:t>Lower is better: A lower P/E ratio indicates that the stock is relatively cheap compared to its earnings performance.</w:t>
      </w:r>
    </w:p>
    <w:p w14:paraId="1E9459DB" w14:textId="77777777" w:rsidR="00C60383" w:rsidRPr="00C60383" w:rsidRDefault="00C60383" w:rsidP="00C60383">
      <w:pPr>
        <w:numPr>
          <w:ilvl w:val="0"/>
          <w:numId w:val="9"/>
        </w:numPr>
      </w:pPr>
      <w:r w:rsidRPr="00C60383">
        <w:rPr>
          <w:b/>
          <w:bCs/>
        </w:rPr>
        <w:t>Return on Equity (ROE)</w:t>
      </w:r>
      <w:r w:rsidRPr="00C60383">
        <w:t>:</w:t>
      </w:r>
    </w:p>
    <w:p w14:paraId="3C47FA67" w14:textId="77777777" w:rsidR="00C60383" w:rsidRPr="00C60383" w:rsidRDefault="00C60383" w:rsidP="00C60383">
      <w:pPr>
        <w:numPr>
          <w:ilvl w:val="1"/>
          <w:numId w:val="9"/>
        </w:numPr>
      </w:pPr>
      <w:r w:rsidRPr="00C60383">
        <w:t>Range: 15-30%</w:t>
      </w:r>
    </w:p>
    <w:p w14:paraId="305E2513" w14:textId="77777777" w:rsidR="00C60383" w:rsidRPr="00C60383" w:rsidRDefault="00C60383" w:rsidP="00C60383">
      <w:pPr>
        <w:numPr>
          <w:ilvl w:val="1"/>
          <w:numId w:val="9"/>
        </w:numPr>
      </w:pPr>
      <w:r w:rsidRPr="00C60383">
        <w:t>Higher is better: A higher ROE indicates that the company is generating strong profits from its equity.</w:t>
      </w:r>
    </w:p>
    <w:p w14:paraId="26C113B5" w14:textId="77777777" w:rsidR="00C60383" w:rsidRPr="00C60383" w:rsidRDefault="00C60383" w:rsidP="00C60383">
      <w:pPr>
        <w:numPr>
          <w:ilvl w:val="0"/>
          <w:numId w:val="9"/>
        </w:numPr>
      </w:pPr>
      <w:r w:rsidRPr="00C60383">
        <w:rPr>
          <w:b/>
          <w:bCs/>
        </w:rPr>
        <w:t>Dividend Yield</w:t>
      </w:r>
      <w:r w:rsidRPr="00C60383">
        <w:t>:</w:t>
      </w:r>
    </w:p>
    <w:p w14:paraId="581DDD5F" w14:textId="77777777" w:rsidR="00C60383" w:rsidRPr="00C60383" w:rsidRDefault="00C60383" w:rsidP="00C60383">
      <w:pPr>
        <w:numPr>
          <w:ilvl w:val="1"/>
          <w:numId w:val="9"/>
        </w:numPr>
      </w:pPr>
      <w:r w:rsidRPr="00C60383">
        <w:t>Range: 2-6%</w:t>
      </w:r>
    </w:p>
    <w:p w14:paraId="0CC25E74" w14:textId="77777777" w:rsidR="00C60383" w:rsidRPr="00C60383" w:rsidRDefault="00C60383" w:rsidP="00C60383">
      <w:pPr>
        <w:numPr>
          <w:ilvl w:val="1"/>
          <w:numId w:val="9"/>
        </w:numPr>
      </w:pPr>
      <w:r w:rsidRPr="00C60383">
        <w:t>Higher is better: A higher dividend yield suggests that the company is distributing a significant portion of its profits to shareholders.</w:t>
      </w:r>
    </w:p>
    <w:p w14:paraId="17AE52EC" w14:textId="77777777" w:rsidR="00C60383" w:rsidRPr="00C60383" w:rsidRDefault="00C60383" w:rsidP="00C60383">
      <w:pPr>
        <w:numPr>
          <w:ilvl w:val="0"/>
          <w:numId w:val="9"/>
        </w:numPr>
      </w:pPr>
      <w:r w:rsidRPr="00C60383">
        <w:rPr>
          <w:b/>
          <w:bCs/>
        </w:rPr>
        <w:t>Revenue Growth Rate</w:t>
      </w:r>
      <w:r w:rsidRPr="00C60383">
        <w:t>:</w:t>
      </w:r>
    </w:p>
    <w:p w14:paraId="15AFE5DA" w14:textId="77777777" w:rsidR="00C60383" w:rsidRPr="00C60383" w:rsidRDefault="00C60383" w:rsidP="00C60383">
      <w:pPr>
        <w:numPr>
          <w:ilvl w:val="1"/>
          <w:numId w:val="9"/>
        </w:numPr>
      </w:pPr>
      <w:r w:rsidRPr="00C60383">
        <w:t>Range: 5-20%</w:t>
      </w:r>
    </w:p>
    <w:p w14:paraId="1811A5ED" w14:textId="77777777" w:rsidR="00C60383" w:rsidRPr="00C60383" w:rsidRDefault="00C60383" w:rsidP="00C60383">
      <w:pPr>
        <w:numPr>
          <w:ilvl w:val="1"/>
          <w:numId w:val="9"/>
        </w:numPr>
      </w:pPr>
      <w:r w:rsidRPr="00C60383">
        <w:t>Higher is better: A higher revenue growth rate indicates that the company is expanding its business and increasing its earnings potential.</w:t>
      </w:r>
    </w:p>
    <w:p w14:paraId="781744BE" w14:textId="77777777" w:rsidR="00C60383" w:rsidRPr="00C60383" w:rsidRDefault="00C60383" w:rsidP="00C60383">
      <w:pPr>
        <w:numPr>
          <w:ilvl w:val="0"/>
          <w:numId w:val="9"/>
        </w:numPr>
      </w:pPr>
      <w:r w:rsidRPr="00C60383">
        <w:rPr>
          <w:b/>
          <w:bCs/>
        </w:rPr>
        <w:t>Debt-to-Equity Ratio</w:t>
      </w:r>
      <w:r w:rsidRPr="00C60383">
        <w:t>:</w:t>
      </w:r>
    </w:p>
    <w:p w14:paraId="2FB53073" w14:textId="77777777" w:rsidR="00C60383" w:rsidRPr="00C60383" w:rsidRDefault="00C60383" w:rsidP="00C60383">
      <w:pPr>
        <w:numPr>
          <w:ilvl w:val="1"/>
          <w:numId w:val="9"/>
        </w:numPr>
      </w:pPr>
      <w:r w:rsidRPr="00C60383">
        <w:t>Range: 0.2-1.0</w:t>
      </w:r>
    </w:p>
    <w:p w14:paraId="55107654" w14:textId="77777777" w:rsidR="00C60383" w:rsidRPr="00C60383" w:rsidRDefault="00C60383" w:rsidP="00C60383">
      <w:pPr>
        <w:numPr>
          <w:ilvl w:val="1"/>
          <w:numId w:val="9"/>
        </w:numPr>
      </w:pPr>
      <w:r w:rsidRPr="00C60383">
        <w:lastRenderedPageBreak/>
        <w:t>Lower is better: A lower debt-to-equity ratio indicates that the company has a healthier balance sheet with more equity financing.</w:t>
      </w:r>
    </w:p>
    <w:p w14:paraId="73986A73" w14:textId="77777777" w:rsidR="00C60383" w:rsidRPr="00C60383" w:rsidRDefault="00C60383" w:rsidP="00C60383">
      <w:r w:rsidRPr="00C60383">
        <w:t>When evaluating these parameters, consider the following:</w:t>
      </w:r>
    </w:p>
    <w:p w14:paraId="3938BA3C" w14:textId="77777777" w:rsidR="00C60383" w:rsidRPr="00C60383" w:rsidRDefault="00C60383" w:rsidP="00C60383">
      <w:pPr>
        <w:numPr>
          <w:ilvl w:val="0"/>
          <w:numId w:val="10"/>
        </w:numPr>
      </w:pPr>
      <w:r w:rsidRPr="00C60383">
        <w:t>Industry benchmarks: Compare the stock's parameters to its industry peers to ensure it's relatively strong.</w:t>
      </w:r>
    </w:p>
    <w:p w14:paraId="504D5E65" w14:textId="77777777" w:rsidR="00C60383" w:rsidRPr="00C60383" w:rsidRDefault="00C60383" w:rsidP="00C60383">
      <w:pPr>
        <w:numPr>
          <w:ilvl w:val="0"/>
          <w:numId w:val="10"/>
        </w:numPr>
      </w:pPr>
      <w:r w:rsidRPr="00C60383">
        <w:t>Historical performance: Look at the stock's historical performance to identify trends and patterns.</w:t>
      </w:r>
    </w:p>
    <w:p w14:paraId="432B3749" w14:textId="77777777" w:rsidR="00C60383" w:rsidRPr="00C60383" w:rsidRDefault="00C60383" w:rsidP="00C60383">
      <w:pPr>
        <w:numPr>
          <w:ilvl w:val="0"/>
          <w:numId w:val="10"/>
        </w:numPr>
      </w:pPr>
      <w:r w:rsidRPr="00C60383">
        <w:t xml:space="preserve">Future prospects: </w:t>
      </w:r>
      <w:proofErr w:type="spellStart"/>
      <w:r w:rsidRPr="00C60383">
        <w:t>Analyze</w:t>
      </w:r>
      <w:proofErr w:type="spellEnd"/>
      <w:r w:rsidRPr="00C60383">
        <w:t xml:space="preserve"> the stock's future prospects, such as its growth potential, management team, and competitive advantage.</w:t>
      </w:r>
    </w:p>
    <w:p w14:paraId="6BF4C941" w14:textId="77777777" w:rsidR="00C60383" w:rsidRPr="00C60383" w:rsidRDefault="00C60383" w:rsidP="00C60383">
      <w:r w:rsidRPr="00C60383">
        <w:t>If a stock exhibits strong performance in multiple parameters, it may be a good candidate for investment. For example:</w:t>
      </w:r>
    </w:p>
    <w:p w14:paraId="28D9A55F" w14:textId="77777777" w:rsidR="00C60383" w:rsidRPr="00C60383" w:rsidRDefault="00C60383" w:rsidP="00C60383">
      <w:pPr>
        <w:numPr>
          <w:ilvl w:val="0"/>
          <w:numId w:val="11"/>
        </w:numPr>
      </w:pPr>
      <w:r w:rsidRPr="00C60383">
        <w:t>P/E ratio: 15-20</w:t>
      </w:r>
    </w:p>
    <w:p w14:paraId="40A9F093" w14:textId="77777777" w:rsidR="00C60383" w:rsidRPr="00C60383" w:rsidRDefault="00C60383" w:rsidP="00C60383">
      <w:pPr>
        <w:numPr>
          <w:ilvl w:val="0"/>
          <w:numId w:val="11"/>
        </w:numPr>
      </w:pPr>
      <w:r w:rsidRPr="00C60383">
        <w:t>ROE: 20-25%</w:t>
      </w:r>
    </w:p>
    <w:p w14:paraId="527F00AE" w14:textId="77777777" w:rsidR="00C60383" w:rsidRPr="00C60383" w:rsidRDefault="00C60383" w:rsidP="00C60383">
      <w:pPr>
        <w:numPr>
          <w:ilvl w:val="0"/>
          <w:numId w:val="11"/>
        </w:numPr>
      </w:pPr>
      <w:r w:rsidRPr="00C60383">
        <w:t>Dividend Yield: 4-5%</w:t>
      </w:r>
    </w:p>
    <w:p w14:paraId="6D4A05C6" w14:textId="77777777" w:rsidR="00C60383" w:rsidRPr="00C60383" w:rsidRDefault="00C60383" w:rsidP="00C60383">
      <w:pPr>
        <w:numPr>
          <w:ilvl w:val="0"/>
          <w:numId w:val="11"/>
        </w:numPr>
      </w:pPr>
      <w:r w:rsidRPr="00C60383">
        <w:t>Revenue Growth Rate: 10-15%</w:t>
      </w:r>
    </w:p>
    <w:p w14:paraId="4BCC72B7" w14:textId="77777777" w:rsidR="00C60383" w:rsidRPr="00C60383" w:rsidRDefault="00C60383" w:rsidP="00C60383">
      <w:pPr>
        <w:numPr>
          <w:ilvl w:val="0"/>
          <w:numId w:val="11"/>
        </w:numPr>
      </w:pPr>
      <w:r w:rsidRPr="00C60383">
        <w:t>Debt-to-Equity Ratio: 0.3-0.5</w:t>
      </w:r>
    </w:p>
    <w:p w14:paraId="7D59C4FF" w14:textId="77777777" w:rsidR="00C60383" w:rsidRPr="00C60383" w:rsidRDefault="00C60383" w:rsidP="00C60383">
      <w:r w:rsidRPr="00C60383">
        <w:t>However, it's essential to remember that these parameters are only a starting point. Conduct thorough research, consult with financial advisors, and consider other factors before making an investment decision.</w:t>
      </w:r>
    </w:p>
    <w:p w14:paraId="77E767C4" w14:textId="77777777" w:rsidR="00C60383" w:rsidRPr="00C60383" w:rsidRDefault="00C60383" w:rsidP="00C60383">
      <w:pPr>
        <w:rPr>
          <w:b/>
          <w:bCs/>
        </w:rPr>
      </w:pPr>
      <w:r w:rsidRPr="00C60383">
        <w:rPr>
          <w:rFonts w:ascii="Segoe UI Emoji" w:hAnsi="Segoe UI Emoji" w:cs="Segoe UI Emoji"/>
          <w:b/>
          <w:bCs/>
        </w:rPr>
        <w:t>🔍</w:t>
      </w:r>
      <w:r w:rsidRPr="00C60383">
        <w:rPr>
          <w:b/>
          <w:bCs/>
        </w:rPr>
        <w:t xml:space="preserve"> Gemini (Google)</w:t>
      </w:r>
    </w:p>
    <w:p w14:paraId="0384B13C" w14:textId="77777777" w:rsidR="00C60383" w:rsidRPr="00C60383" w:rsidRDefault="00C60383" w:rsidP="00C60383">
      <w:r w:rsidRPr="00C60383">
        <w:t xml:space="preserve">There's no single "top 5" and universal range for stock parameters to guarantee investment success. The optimal parameters and their acceptable ranges depend heavily on your investment strategy, risk tolerance, investment horizon, and the specific sector the stock belongs to. However, here are 5 commonly </w:t>
      </w:r>
      <w:proofErr w:type="spellStart"/>
      <w:r w:rsidRPr="00C60383">
        <w:t>analyzed</w:t>
      </w:r>
      <w:proofErr w:type="spellEnd"/>
      <w:r w:rsidRPr="00C60383">
        <w:t xml:space="preserve"> parameters and general considerations regarding their values, understanding that these are </w:t>
      </w:r>
      <w:r w:rsidRPr="00C60383">
        <w:rPr>
          <w:i/>
          <w:iCs/>
        </w:rPr>
        <w:t>guidelines</w:t>
      </w:r>
      <w:r w:rsidRPr="00C60383">
        <w:t> and not hard rules:</w:t>
      </w:r>
    </w:p>
    <w:p w14:paraId="148FF4FC" w14:textId="77777777" w:rsidR="00C60383" w:rsidRPr="00C60383" w:rsidRDefault="00C60383" w:rsidP="00C60383">
      <w:r w:rsidRPr="00C60383">
        <w:rPr>
          <w:b/>
          <w:bCs/>
        </w:rPr>
        <w:t>1. Price-to-Earnings Ratio (P/E Ratio):</w:t>
      </w:r>
    </w:p>
    <w:p w14:paraId="71B62523" w14:textId="77777777" w:rsidR="00C60383" w:rsidRPr="00C60383" w:rsidRDefault="00C60383" w:rsidP="00C60383">
      <w:pPr>
        <w:numPr>
          <w:ilvl w:val="0"/>
          <w:numId w:val="12"/>
        </w:numPr>
      </w:pPr>
      <w:r w:rsidRPr="00C60383">
        <w:rPr>
          <w:b/>
          <w:bCs/>
        </w:rPr>
        <w:t>What it is:</w:t>
      </w:r>
      <w:r w:rsidRPr="00C60383">
        <w:t> The ratio of a company's stock price to its earnings per share (EPS). It indicates how much investors are willing to pay for each dollar of a company's earnings.</w:t>
      </w:r>
    </w:p>
    <w:p w14:paraId="73BB9564" w14:textId="77777777" w:rsidR="00C60383" w:rsidRPr="00C60383" w:rsidRDefault="00C60383" w:rsidP="00C60383">
      <w:pPr>
        <w:numPr>
          <w:ilvl w:val="0"/>
          <w:numId w:val="12"/>
        </w:numPr>
      </w:pPr>
      <w:r w:rsidRPr="00C60383">
        <w:rPr>
          <w:b/>
          <w:bCs/>
        </w:rPr>
        <w:t>General Considerations:</w:t>
      </w:r>
      <w:r w:rsidRPr="00C60383">
        <w:t> A lower P/E ratio might suggest undervaluation, while a higher one might indicate overvaluation. However, the "acceptable" range varies widely by industry. Growth stocks often have higher P/E ratios than value stocks. Comparing a company's P/E to its industry average is more informative than looking at it in isolation. A P/E of 0 or negative might indicate a loss-making company.</w:t>
      </w:r>
    </w:p>
    <w:p w14:paraId="7E5F09E5" w14:textId="77777777" w:rsidR="00C60383" w:rsidRPr="00C60383" w:rsidRDefault="00C60383" w:rsidP="00C60383">
      <w:pPr>
        <w:numPr>
          <w:ilvl w:val="0"/>
          <w:numId w:val="12"/>
        </w:numPr>
      </w:pPr>
      <w:r w:rsidRPr="00C60383">
        <w:rPr>
          <w:b/>
          <w:bCs/>
        </w:rPr>
        <w:t>Range (Illustrative, not definitive):</w:t>
      </w:r>
      <w:r w:rsidRPr="00C60383">
        <w:t> No single "good" range. Could range from single digits (value stocks) to several dozen (growth stocks). Context and comparisons are crucial.</w:t>
      </w:r>
    </w:p>
    <w:p w14:paraId="1F0B9E0A" w14:textId="77777777" w:rsidR="00C60383" w:rsidRPr="00C60383" w:rsidRDefault="00C60383" w:rsidP="00C60383">
      <w:r w:rsidRPr="00C60383">
        <w:rPr>
          <w:b/>
          <w:bCs/>
        </w:rPr>
        <w:t>2. Price-to-Book Ratio (P/B Ratio):</w:t>
      </w:r>
    </w:p>
    <w:p w14:paraId="1BBAA540" w14:textId="77777777" w:rsidR="00C60383" w:rsidRPr="00C60383" w:rsidRDefault="00C60383" w:rsidP="00C60383">
      <w:pPr>
        <w:numPr>
          <w:ilvl w:val="0"/>
          <w:numId w:val="13"/>
        </w:numPr>
      </w:pPr>
      <w:r w:rsidRPr="00C60383">
        <w:rPr>
          <w:b/>
          <w:bCs/>
        </w:rPr>
        <w:lastRenderedPageBreak/>
        <w:t>What it is:</w:t>
      </w:r>
      <w:r w:rsidRPr="00C60383">
        <w:t> The ratio of a company's market capitalization to its book value (assets minus liabilities). It indicates how much investors are willing to pay for each dollar of a company's net assets.</w:t>
      </w:r>
    </w:p>
    <w:p w14:paraId="626243E4" w14:textId="77777777" w:rsidR="00C60383" w:rsidRPr="00C60383" w:rsidRDefault="00C60383" w:rsidP="00C60383">
      <w:pPr>
        <w:numPr>
          <w:ilvl w:val="0"/>
          <w:numId w:val="13"/>
        </w:numPr>
      </w:pPr>
      <w:r w:rsidRPr="00C60383">
        <w:rPr>
          <w:b/>
          <w:bCs/>
        </w:rPr>
        <w:t>General Considerations:</w:t>
      </w:r>
      <w:r w:rsidRPr="00C60383">
        <w:t> A lower P/B ratio might suggest undervaluation, but a very low P/B might signal underlying problems. Again, industry context is crucial. This ratio is more relevant for companies with significant tangible assets.</w:t>
      </w:r>
    </w:p>
    <w:p w14:paraId="6ED37225" w14:textId="77777777" w:rsidR="00C60383" w:rsidRPr="00C60383" w:rsidRDefault="00C60383" w:rsidP="00C60383">
      <w:pPr>
        <w:numPr>
          <w:ilvl w:val="0"/>
          <w:numId w:val="13"/>
        </w:numPr>
      </w:pPr>
      <w:r w:rsidRPr="00C60383">
        <w:rPr>
          <w:b/>
          <w:bCs/>
        </w:rPr>
        <w:t>Range (Illustrative, not definitive):</w:t>
      </w:r>
      <w:r w:rsidRPr="00C60383">
        <w:t> Can range from below 1 to several times the book value, depending on the industry and growth prospects.</w:t>
      </w:r>
    </w:p>
    <w:p w14:paraId="40CED9FF" w14:textId="77777777" w:rsidR="00C60383" w:rsidRPr="00C60383" w:rsidRDefault="00C60383" w:rsidP="00C60383">
      <w:r w:rsidRPr="00C60383">
        <w:rPr>
          <w:b/>
          <w:bCs/>
        </w:rPr>
        <w:t>3. Debt-to-Equity Ratio:</w:t>
      </w:r>
    </w:p>
    <w:p w14:paraId="5A8DDC7C" w14:textId="77777777" w:rsidR="00C60383" w:rsidRPr="00C60383" w:rsidRDefault="00C60383" w:rsidP="00C60383">
      <w:pPr>
        <w:numPr>
          <w:ilvl w:val="0"/>
          <w:numId w:val="14"/>
        </w:numPr>
      </w:pPr>
      <w:r w:rsidRPr="00C60383">
        <w:rPr>
          <w:b/>
          <w:bCs/>
        </w:rPr>
        <w:t>What it is:</w:t>
      </w:r>
      <w:r w:rsidRPr="00C60383">
        <w:t> The ratio of a company's total debt to its total equity. It measures the company's financial leverage.</w:t>
      </w:r>
    </w:p>
    <w:p w14:paraId="0F505A84" w14:textId="77777777" w:rsidR="00C60383" w:rsidRPr="00C60383" w:rsidRDefault="00C60383" w:rsidP="00C60383">
      <w:pPr>
        <w:numPr>
          <w:ilvl w:val="0"/>
          <w:numId w:val="14"/>
        </w:numPr>
      </w:pPr>
      <w:r w:rsidRPr="00C60383">
        <w:rPr>
          <w:b/>
          <w:bCs/>
        </w:rPr>
        <w:t>General Considerations:</w:t>
      </w:r>
      <w:r w:rsidRPr="00C60383">
        <w:t> A high debt-to-equity ratio indicates the company relies heavily on debt financing, which can be risky if interest rates rise or revenues decline. A lower ratio suggests greater financial stability.</w:t>
      </w:r>
    </w:p>
    <w:p w14:paraId="18AD28C9" w14:textId="77777777" w:rsidR="00C60383" w:rsidRPr="00C60383" w:rsidRDefault="00C60383" w:rsidP="00C60383">
      <w:pPr>
        <w:numPr>
          <w:ilvl w:val="0"/>
          <w:numId w:val="14"/>
        </w:numPr>
      </w:pPr>
      <w:r w:rsidRPr="00C60383">
        <w:rPr>
          <w:b/>
          <w:bCs/>
        </w:rPr>
        <w:t>Range (Illustrative, not definitive):</w:t>
      </w:r>
      <w:r w:rsidRPr="00C60383">
        <w:t> Generally, a ratio below 1 is considered acceptable, but the ideal range varies across industries. Highly capital-intensive industries might have higher ratios than others.</w:t>
      </w:r>
    </w:p>
    <w:p w14:paraId="46026EA7" w14:textId="77777777" w:rsidR="00C60383" w:rsidRPr="00C60383" w:rsidRDefault="00C60383" w:rsidP="00C60383">
      <w:r w:rsidRPr="00C60383">
        <w:rPr>
          <w:b/>
          <w:bCs/>
        </w:rPr>
        <w:t>4. Return on Equity (ROE):</w:t>
      </w:r>
    </w:p>
    <w:p w14:paraId="665BC905" w14:textId="77777777" w:rsidR="00C60383" w:rsidRPr="00C60383" w:rsidRDefault="00C60383" w:rsidP="00C60383">
      <w:pPr>
        <w:numPr>
          <w:ilvl w:val="0"/>
          <w:numId w:val="15"/>
        </w:numPr>
      </w:pPr>
      <w:r w:rsidRPr="00C60383">
        <w:rPr>
          <w:b/>
          <w:bCs/>
        </w:rPr>
        <w:t>What it is:</w:t>
      </w:r>
      <w:r w:rsidRPr="00C60383">
        <w:t> A measure of how efficiently a company uses its shareholders' investments to generate profits.</w:t>
      </w:r>
    </w:p>
    <w:p w14:paraId="6A3BA22D" w14:textId="77777777" w:rsidR="00C60383" w:rsidRPr="00C60383" w:rsidRDefault="00C60383" w:rsidP="00C60383">
      <w:pPr>
        <w:numPr>
          <w:ilvl w:val="0"/>
          <w:numId w:val="15"/>
        </w:numPr>
      </w:pPr>
      <w:r w:rsidRPr="00C60383">
        <w:rPr>
          <w:b/>
          <w:bCs/>
        </w:rPr>
        <w:t>General Considerations:</w:t>
      </w:r>
      <w:r w:rsidRPr="00C60383">
        <w:t> A higher ROE generally indicates better management and profitability. Comparing the ROE to industry averages and trends over time is important.</w:t>
      </w:r>
    </w:p>
    <w:p w14:paraId="0CC97EA1" w14:textId="77777777" w:rsidR="00C60383" w:rsidRPr="00C60383" w:rsidRDefault="00C60383" w:rsidP="00C60383">
      <w:pPr>
        <w:numPr>
          <w:ilvl w:val="0"/>
          <w:numId w:val="15"/>
        </w:numPr>
      </w:pPr>
      <w:r w:rsidRPr="00C60383">
        <w:rPr>
          <w:b/>
          <w:bCs/>
        </w:rPr>
        <w:t>Range (Illustrative, not definitive):</w:t>
      </w:r>
      <w:r w:rsidRPr="00C60383">
        <w:t> A good ROE is generally considered to be above 15%, but this varies significantly by industry.</w:t>
      </w:r>
    </w:p>
    <w:p w14:paraId="290B97A5" w14:textId="77777777" w:rsidR="00C60383" w:rsidRPr="00C60383" w:rsidRDefault="00C60383" w:rsidP="00C60383">
      <w:r w:rsidRPr="00C60383">
        <w:rPr>
          <w:b/>
          <w:bCs/>
        </w:rPr>
        <w:t>5. Revenue Growth:</w:t>
      </w:r>
    </w:p>
    <w:p w14:paraId="3CC54E69" w14:textId="77777777" w:rsidR="00C60383" w:rsidRPr="00C60383" w:rsidRDefault="00C60383" w:rsidP="00C60383">
      <w:pPr>
        <w:numPr>
          <w:ilvl w:val="0"/>
          <w:numId w:val="16"/>
        </w:numPr>
      </w:pPr>
      <w:r w:rsidRPr="00C60383">
        <w:rPr>
          <w:b/>
          <w:bCs/>
        </w:rPr>
        <w:t>What it is:</w:t>
      </w:r>
      <w:r w:rsidRPr="00C60383">
        <w:t> The percentage increase in a company's revenue over a given period (e.g., year-over-year).</w:t>
      </w:r>
    </w:p>
    <w:p w14:paraId="785DF832" w14:textId="77777777" w:rsidR="00C60383" w:rsidRPr="00C60383" w:rsidRDefault="00C60383" w:rsidP="00C60383">
      <w:pPr>
        <w:numPr>
          <w:ilvl w:val="0"/>
          <w:numId w:val="16"/>
        </w:numPr>
      </w:pPr>
      <w:r w:rsidRPr="00C60383">
        <w:rPr>
          <w:b/>
          <w:bCs/>
        </w:rPr>
        <w:t>General Considerations:</w:t>
      </w:r>
      <w:r w:rsidRPr="00C60383">
        <w:t> Consistent revenue growth is a sign of a healthy and expanding business. Look for sustainable growth, not just short-term spikes.</w:t>
      </w:r>
    </w:p>
    <w:p w14:paraId="48077F23" w14:textId="77777777" w:rsidR="00C60383" w:rsidRPr="00C60383" w:rsidRDefault="00C60383" w:rsidP="00C60383">
      <w:pPr>
        <w:numPr>
          <w:ilvl w:val="0"/>
          <w:numId w:val="16"/>
        </w:numPr>
      </w:pPr>
      <w:r w:rsidRPr="00C60383">
        <w:rPr>
          <w:b/>
          <w:bCs/>
        </w:rPr>
        <w:t>Range (Illustrative, not definitive):</w:t>
      </w:r>
      <w:r w:rsidRPr="00C60383">
        <w:t> A desirable rate depends on the company's stage of development and industry. High single-digit to double-digit growth is often considered positive, but this is highly industry-specific.</w:t>
      </w:r>
    </w:p>
    <w:p w14:paraId="62A54DFC" w14:textId="77777777" w:rsidR="00C60383" w:rsidRPr="00C60383" w:rsidRDefault="00C60383" w:rsidP="00C60383">
      <w:r w:rsidRPr="00C60383">
        <w:rPr>
          <w:b/>
          <w:bCs/>
        </w:rPr>
        <w:t>Crucial Disclaimer:</w:t>
      </w:r>
      <w:r w:rsidRPr="00C60383">
        <w:t> Using these parameters alone is insufficient for making informed investment decisions. Thorough due diligence, including understanding the company's business model, competitive landscape, management team, and overall economic environment, is essential. Consult with a financial advisor before making any investment decisions. Past performance is not indicative of future results.</w:t>
      </w:r>
    </w:p>
    <w:p w14:paraId="2C749B00" w14:textId="67C9C45C" w:rsidR="00C60383" w:rsidRDefault="00A92BCD">
      <w:pPr>
        <w:rPr>
          <w:b/>
          <w:bCs/>
          <w:lang w:val="en-US"/>
        </w:rPr>
      </w:pPr>
      <w:r w:rsidRPr="00A92BCD">
        <w:rPr>
          <w:b/>
          <w:bCs/>
          <w:lang w:val="en-US"/>
        </w:rPr>
        <w:t xml:space="preserve">Question 2: </w:t>
      </w:r>
      <w:r w:rsidRPr="00A92BCD">
        <w:rPr>
          <w:b/>
          <w:bCs/>
          <w:lang w:val="en-US"/>
        </w:rPr>
        <w:t xml:space="preserve">financial ratios </w:t>
      </w:r>
      <w:proofErr w:type="spellStart"/>
      <w:r w:rsidRPr="00A92BCD">
        <w:rPr>
          <w:b/>
          <w:bCs/>
          <w:lang w:val="en-US"/>
        </w:rPr>
        <w:t>dicussed</w:t>
      </w:r>
      <w:proofErr w:type="spellEnd"/>
      <w:r w:rsidRPr="00A92BCD">
        <w:rPr>
          <w:b/>
          <w:bCs/>
          <w:lang w:val="en-US"/>
        </w:rPr>
        <w:t xml:space="preserve"> in the book</w:t>
      </w:r>
    </w:p>
    <w:p w14:paraId="1FD2CD41" w14:textId="77777777" w:rsidR="00A92BCD" w:rsidRPr="00A92BCD" w:rsidRDefault="00A92BCD" w:rsidP="00A92BCD">
      <w:pPr>
        <w:rPr>
          <w:b/>
          <w:bCs/>
        </w:rPr>
      </w:pPr>
      <w:r w:rsidRPr="00A92BCD">
        <w:rPr>
          <w:rFonts w:ascii="Segoe UI Emoji" w:hAnsi="Segoe UI Emoji" w:cs="Segoe UI Emoji"/>
          <w:b/>
          <w:bCs/>
        </w:rPr>
        <w:lastRenderedPageBreak/>
        <w:t>🤖</w:t>
      </w:r>
      <w:r w:rsidRPr="00A92BCD">
        <w:rPr>
          <w:b/>
          <w:bCs/>
        </w:rPr>
        <w:t xml:space="preserve"> </w:t>
      </w:r>
      <w:proofErr w:type="spellStart"/>
      <w:r w:rsidRPr="00A92BCD">
        <w:rPr>
          <w:b/>
          <w:bCs/>
        </w:rPr>
        <w:t>Groq</w:t>
      </w:r>
      <w:proofErr w:type="spellEnd"/>
      <w:r w:rsidRPr="00A92BCD">
        <w:rPr>
          <w:b/>
          <w:bCs/>
        </w:rPr>
        <w:t xml:space="preserve"> (</w:t>
      </w:r>
      <w:proofErr w:type="spellStart"/>
      <w:r w:rsidRPr="00A92BCD">
        <w:rPr>
          <w:b/>
          <w:bCs/>
        </w:rPr>
        <w:t>LLaMA</w:t>
      </w:r>
      <w:proofErr w:type="spellEnd"/>
      <w:r w:rsidRPr="00A92BCD">
        <w:rPr>
          <w:b/>
          <w:bCs/>
        </w:rPr>
        <w:t xml:space="preserve"> 3)</w:t>
      </w:r>
    </w:p>
    <w:p w14:paraId="7518F972" w14:textId="77777777" w:rsidR="00A92BCD" w:rsidRPr="00A92BCD" w:rsidRDefault="00A92BCD" w:rsidP="00A92BCD">
      <w:pPr>
        <w:rPr>
          <w:b/>
          <w:bCs/>
        </w:rPr>
      </w:pPr>
      <w:r w:rsidRPr="00A92BCD">
        <w:rPr>
          <w:b/>
          <w:bCs/>
        </w:rPr>
        <w:t>The book is discussing financial ratio analysis, specifically Chapter 9, "The Financial Ratio Analysis (Part 1)", which will cover important financial ratios. Here are some potential financial ratios that might be discussed in the book:</w:t>
      </w:r>
    </w:p>
    <w:p w14:paraId="5A268B84" w14:textId="77777777" w:rsidR="00A92BCD" w:rsidRPr="00A92BCD" w:rsidRDefault="00A92BCD" w:rsidP="00A92BCD">
      <w:pPr>
        <w:numPr>
          <w:ilvl w:val="0"/>
          <w:numId w:val="17"/>
        </w:numPr>
        <w:rPr>
          <w:b/>
          <w:bCs/>
        </w:rPr>
      </w:pPr>
      <w:r w:rsidRPr="00A92BCD">
        <w:rPr>
          <w:b/>
          <w:bCs/>
        </w:rPr>
        <w:t>Liquidity Ratios:</w:t>
      </w:r>
    </w:p>
    <w:p w14:paraId="13C31F99" w14:textId="77777777" w:rsidR="00A92BCD" w:rsidRPr="00A92BCD" w:rsidRDefault="00A92BCD" w:rsidP="00A92BCD">
      <w:pPr>
        <w:numPr>
          <w:ilvl w:val="1"/>
          <w:numId w:val="17"/>
        </w:numPr>
        <w:rPr>
          <w:b/>
          <w:bCs/>
        </w:rPr>
      </w:pPr>
      <w:r w:rsidRPr="00A92BCD">
        <w:rPr>
          <w:b/>
          <w:bCs/>
        </w:rPr>
        <w:t>Current Ratio: Current Assets / Current Liabilities</w:t>
      </w:r>
    </w:p>
    <w:p w14:paraId="3F9FDF7D" w14:textId="77777777" w:rsidR="00A92BCD" w:rsidRPr="00A92BCD" w:rsidRDefault="00A92BCD" w:rsidP="00A92BCD">
      <w:pPr>
        <w:numPr>
          <w:ilvl w:val="1"/>
          <w:numId w:val="17"/>
        </w:numPr>
        <w:rPr>
          <w:b/>
          <w:bCs/>
        </w:rPr>
      </w:pPr>
      <w:r w:rsidRPr="00A92BCD">
        <w:rPr>
          <w:b/>
          <w:bCs/>
        </w:rPr>
        <w:t>Quick Ratio (Acid-Test Ratio): (Current Assets - Inventory) / Current Liabilities</w:t>
      </w:r>
    </w:p>
    <w:p w14:paraId="734D8D02" w14:textId="77777777" w:rsidR="00A92BCD" w:rsidRPr="00A92BCD" w:rsidRDefault="00A92BCD" w:rsidP="00A92BCD">
      <w:pPr>
        <w:numPr>
          <w:ilvl w:val="1"/>
          <w:numId w:val="17"/>
        </w:numPr>
        <w:rPr>
          <w:b/>
          <w:bCs/>
        </w:rPr>
      </w:pPr>
      <w:r w:rsidRPr="00A92BCD">
        <w:rPr>
          <w:b/>
          <w:bCs/>
        </w:rPr>
        <w:t>Cash Ratio: Cash and Cash Equivalents / Current Liabilities</w:t>
      </w:r>
    </w:p>
    <w:p w14:paraId="01277453" w14:textId="77777777" w:rsidR="00A92BCD" w:rsidRPr="00A92BCD" w:rsidRDefault="00A92BCD" w:rsidP="00A92BCD">
      <w:pPr>
        <w:numPr>
          <w:ilvl w:val="0"/>
          <w:numId w:val="17"/>
        </w:numPr>
        <w:rPr>
          <w:b/>
          <w:bCs/>
        </w:rPr>
      </w:pPr>
      <w:r w:rsidRPr="00A92BCD">
        <w:rPr>
          <w:b/>
          <w:bCs/>
        </w:rPr>
        <w:t>Profitability Ratios:</w:t>
      </w:r>
    </w:p>
    <w:p w14:paraId="61A64B86" w14:textId="77777777" w:rsidR="00A92BCD" w:rsidRPr="00A92BCD" w:rsidRDefault="00A92BCD" w:rsidP="00A92BCD">
      <w:pPr>
        <w:numPr>
          <w:ilvl w:val="1"/>
          <w:numId w:val="17"/>
        </w:numPr>
        <w:rPr>
          <w:b/>
          <w:bCs/>
        </w:rPr>
      </w:pPr>
      <w:r w:rsidRPr="00A92BCD">
        <w:rPr>
          <w:b/>
          <w:bCs/>
        </w:rPr>
        <w:t>Gross Profit Margin: (Gross Profit / Revenue) x 100%</w:t>
      </w:r>
    </w:p>
    <w:p w14:paraId="43AC3670" w14:textId="77777777" w:rsidR="00A92BCD" w:rsidRPr="00A92BCD" w:rsidRDefault="00A92BCD" w:rsidP="00A92BCD">
      <w:pPr>
        <w:numPr>
          <w:ilvl w:val="1"/>
          <w:numId w:val="17"/>
        </w:numPr>
        <w:rPr>
          <w:b/>
          <w:bCs/>
        </w:rPr>
      </w:pPr>
      <w:r w:rsidRPr="00A92BCD">
        <w:rPr>
          <w:b/>
          <w:bCs/>
        </w:rPr>
        <w:t>Operating Profit Margin: (Operating Profit / Revenue) x 100%</w:t>
      </w:r>
    </w:p>
    <w:p w14:paraId="40B13510" w14:textId="77777777" w:rsidR="00A92BCD" w:rsidRPr="00A92BCD" w:rsidRDefault="00A92BCD" w:rsidP="00A92BCD">
      <w:pPr>
        <w:numPr>
          <w:ilvl w:val="1"/>
          <w:numId w:val="17"/>
        </w:numPr>
        <w:rPr>
          <w:b/>
          <w:bCs/>
        </w:rPr>
      </w:pPr>
      <w:r w:rsidRPr="00A92BCD">
        <w:rPr>
          <w:b/>
          <w:bCs/>
        </w:rPr>
        <w:t>Net Profit Margin: (Net Profit / Revenue) x 100%</w:t>
      </w:r>
    </w:p>
    <w:p w14:paraId="694D8080" w14:textId="77777777" w:rsidR="00A92BCD" w:rsidRPr="00A92BCD" w:rsidRDefault="00A92BCD" w:rsidP="00A92BCD">
      <w:pPr>
        <w:numPr>
          <w:ilvl w:val="1"/>
          <w:numId w:val="17"/>
        </w:numPr>
        <w:rPr>
          <w:b/>
          <w:bCs/>
        </w:rPr>
      </w:pPr>
      <w:r w:rsidRPr="00A92BCD">
        <w:rPr>
          <w:b/>
          <w:bCs/>
        </w:rPr>
        <w:t>Return on Equity (ROE): Net Profit / Total Shareholders' Equity</w:t>
      </w:r>
    </w:p>
    <w:p w14:paraId="5D479899" w14:textId="77777777" w:rsidR="00A92BCD" w:rsidRPr="00A92BCD" w:rsidRDefault="00A92BCD" w:rsidP="00A92BCD">
      <w:pPr>
        <w:numPr>
          <w:ilvl w:val="1"/>
          <w:numId w:val="17"/>
        </w:numPr>
        <w:rPr>
          <w:b/>
          <w:bCs/>
        </w:rPr>
      </w:pPr>
      <w:r w:rsidRPr="00A92BCD">
        <w:rPr>
          <w:b/>
          <w:bCs/>
        </w:rPr>
        <w:t>Return on Assets (ROA): Net Profit / Total Assets</w:t>
      </w:r>
    </w:p>
    <w:p w14:paraId="1EB60737" w14:textId="77777777" w:rsidR="00A92BCD" w:rsidRPr="00A92BCD" w:rsidRDefault="00A92BCD" w:rsidP="00A92BCD">
      <w:pPr>
        <w:numPr>
          <w:ilvl w:val="0"/>
          <w:numId w:val="17"/>
        </w:numPr>
        <w:rPr>
          <w:b/>
          <w:bCs/>
        </w:rPr>
      </w:pPr>
      <w:r w:rsidRPr="00A92BCD">
        <w:rPr>
          <w:b/>
          <w:bCs/>
        </w:rPr>
        <w:t>Efficiency Ratios:</w:t>
      </w:r>
    </w:p>
    <w:p w14:paraId="483F9675" w14:textId="77777777" w:rsidR="00A92BCD" w:rsidRPr="00A92BCD" w:rsidRDefault="00A92BCD" w:rsidP="00A92BCD">
      <w:pPr>
        <w:numPr>
          <w:ilvl w:val="1"/>
          <w:numId w:val="17"/>
        </w:numPr>
        <w:rPr>
          <w:b/>
          <w:bCs/>
        </w:rPr>
      </w:pPr>
      <w:r w:rsidRPr="00A92BCD">
        <w:rPr>
          <w:b/>
          <w:bCs/>
        </w:rPr>
        <w:t>Asset Turnover Ratio: Revenue / Total Assets</w:t>
      </w:r>
    </w:p>
    <w:p w14:paraId="4A7BD94D" w14:textId="77777777" w:rsidR="00A92BCD" w:rsidRPr="00A92BCD" w:rsidRDefault="00A92BCD" w:rsidP="00A92BCD">
      <w:pPr>
        <w:numPr>
          <w:ilvl w:val="1"/>
          <w:numId w:val="17"/>
        </w:numPr>
        <w:rPr>
          <w:b/>
          <w:bCs/>
        </w:rPr>
      </w:pPr>
      <w:r w:rsidRPr="00A92BCD">
        <w:rPr>
          <w:b/>
          <w:bCs/>
        </w:rPr>
        <w:t>Revenue Growth Rate: (Current Revenue - Previous Revenue) / Previous Revenue</w:t>
      </w:r>
    </w:p>
    <w:p w14:paraId="0C4C2DCD" w14:textId="77777777" w:rsidR="00A92BCD" w:rsidRPr="00A92BCD" w:rsidRDefault="00A92BCD" w:rsidP="00A92BCD">
      <w:pPr>
        <w:numPr>
          <w:ilvl w:val="0"/>
          <w:numId w:val="17"/>
        </w:numPr>
        <w:rPr>
          <w:b/>
          <w:bCs/>
        </w:rPr>
      </w:pPr>
      <w:r w:rsidRPr="00A92BCD">
        <w:rPr>
          <w:b/>
          <w:bCs/>
        </w:rPr>
        <w:t>Solvency Ratios:</w:t>
      </w:r>
    </w:p>
    <w:p w14:paraId="6185C83E" w14:textId="77777777" w:rsidR="00A92BCD" w:rsidRPr="00A92BCD" w:rsidRDefault="00A92BCD" w:rsidP="00A92BCD">
      <w:pPr>
        <w:numPr>
          <w:ilvl w:val="1"/>
          <w:numId w:val="17"/>
        </w:numPr>
        <w:rPr>
          <w:b/>
          <w:bCs/>
        </w:rPr>
      </w:pPr>
      <w:r w:rsidRPr="00A92BCD">
        <w:rPr>
          <w:b/>
          <w:bCs/>
        </w:rPr>
        <w:t>Debt-to-Equity Ratio: Total Debt / Total Shareholders' Equity</w:t>
      </w:r>
    </w:p>
    <w:p w14:paraId="645FEA42" w14:textId="77777777" w:rsidR="00A92BCD" w:rsidRPr="00A92BCD" w:rsidRDefault="00A92BCD" w:rsidP="00A92BCD">
      <w:pPr>
        <w:numPr>
          <w:ilvl w:val="1"/>
          <w:numId w:val="17"/>
        </w:numPr>
        <w:rPr>
          <w:b/>
          <w:bCs/>
        </w:rPr>
      </w:pPr>
      <w:r w:rsidRPr="00A92BCD">
        <w:rPr>
          <w:b/>
          <w:bCs/>
        </w:rPr>
        <w:t>Interest Coverage Ratio: Earnings Before Interest and Taxes (EBIT) / Interest Expenses</w:t>
      </w:r>
    </w:p>
    <w:p w14:paraId="4EAAC9DB" w14:textId="77777777" w:rsidR="00A92BCD" w:rsidRPr="00A92BCD" w:rsidRDefault="00A92BCD" w:rsidP="00A92BCD">
      <w:pPr>
        <w:numPr>
          <w:ilvl w:val="0"/>
          <w:numId w:val="17"/>
        </w:numPr>
        <w:rPr>
          <w:b/>
          <w:bCs/>
        </w:rPr>
      </w:pPr>
      <w:r w:rsidRPr="00A92BCD">
        <w:rPr>
          <w:b/>
          <w:bCs/>
        </w:rPr>
        <w:t>Cash Flow Ratios:</w:t>
      </w:r>
    </w:p>
    <w:p w14:paraId="090EB546" w14:textId="77777777" w:rsidR="00A92BCD" w:rsidRPr="00A92BCD" w:rsidRDefault="00A92BCD" w:rsidP="00A92BCD">
      <w:pPr>
        <w:numPr>
          <w:ilvl w:val="1"/>
          <w:numId w:val="17"/>
        </w:numPr>
        <w:rPr>
          <w:b/>
          <w:bCs/>
        </w:rPr>
      </w:pPr>
      <w:r w:rsidRPr="00A92BCD">
        <w:rPr>
          <w:b/>
          <w:bCs/>
        </w:rPr>
        <w:t>Cash Flow Margin: (Cash Flow from Operations / Revenue) x 100%</w:t>
      </w:r>
    </w:p>
    <w:p w14:paraId="144CE253" w14:textId="77777777" w:rsidR="00A92BCD" w:rsidRPr="00A92BCD" w:rsidRDefault="00A92BCD" w:rsidP="00A92BCD">
      <w:pPr>
        <w:numPr>
          <w:ilvl w:val="1"/>
          <w:numId w:val="17"/>
        </w:numPr>
        <w:rPr>
          <w:b/>
          <w:bCs/>
        </w:rPr>
      </w:pPr>
      <w:r w:rsidRPr="00A92BCD">
        <w:rPr>
          <w:b/>
          <w:bCs/>
        </w:rPr>
        <w:t>Cash Conversion Cycle: Days Inventory Outstanding (DIO) + Days Sales Outstanding (DSO) - Days Payable Outstanding (DPO)</w:t>
      </w:r>
    </w:p>
    <w:p w14:paraId="64933DDA" w14:textId="77777777" w:rsidR="00A92BCD" w:rsidRPr="00A92BCD" w:rsidRDefault="00A92BCD" w:rsidP="00A92BCD">
      <w:pPr>
        <w:rPr>
          <w:b/>
          <w:bCs/>
        </w:rPr>
      </w:pPr>
      <w:r w:rsidRPr="00A92BCD">
        <w:rPr>
          <w:b/>
          <w:bCs/>
        </w:rPr>
        <w:t>These are just some examples of financial ratios that might be discussed in the book. The actual ratios covered will depend on the book's focus and scope.</w:t>
      </w:r>
    </w:p>
    <w:p w14:paraId="7FB8BAC5" w14:textId="77777777" w:rsidR="00A92BCD" w:rsidRPr="00A92BCD" w:rsidRDefault="00A92BCD" w:rsidP="00A92BCD">
      <w:pPr>
        <w:rPr>
          <w:b/>
          <w:bCs/>
        </w:rPr>
      </w:pPr>
      <w:r w:rsidRPr="00A92BCD">
        <w:rPr>
          <w:rFonts w:ascii="Segoe UI Emoji" w:hAnsi="Segoe UI Emoji" w:cs="Segoe UI Emoji"/>
          <w:b/>
          <w:bCs/>
        </w:rPr>
        <w:t>🔍</w:t>
      </w:r>
      <w:r w:rsidRPr="00A92BCD">
        <w:rPr>
          <w:b/>
          <w:bCs/>
        </w:rPr>
        <w:t xml:space="preserve"> Gemini (Google)</w:t>
      </w:r>
    </w:p>
    <w:p w14:paraId="19F1F609" w14:textId="5B5708CF" w:rsidR="00A92BCD" w:rsidRPr="00B155E7" w:rsidRDefault="00A92BCD">
      <w:pPr>
        <w:rPr>
          <w:b/>
          <w:bCs/>
        </w:rPr>
      </w:pPr>
      <w:r w:rsidRPr="00A92BCD">
        <w:rPr>
          <w:b/>
          <w:bCs/>
        </w:rPr>
        <w:t xml:space="preserve">The provided text snippets indicate that the book discusses financial ratios extensively, particularly within a module dedicated to fundamental analysis. While the exact ratios aren't listed, the emphasis is clear: the book uses financial ratios as a key method for </w:t>
      </w:r>
      <w:proofErr w:type="spellStart"/>
      <w:r w:rsidRPr="00A92BCD">
        <w:rPr>
          <w:b/>
          <w:bCs/>
        </w:rPr>
        <w:t>analyzing</w:t>
      </w:r>
      <w:proofErr w:type="spellEnd"/>
      <w:r w:rsidRPr="00A92BCD">
        <w:rPr>
          <w:b/>
          <w:bCs/>
        </w:rPr>
        <w:t xml:space="preserve"> financial statements. The mention of Benjamin Graham suggests a focus on fundamental analysis techniques popularized by him, likely including commonly used ratios such as profitability, liquidity, solvency, and efficiency ratios.</w:t>
      </w:r>
    </w:p>
    <w:sectPr w:rsidR="00A92BCD" w:rsidRPr="00B1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3CC4"/>
    <w:multiLevelType w:val="multilevel"/>
    <w:tmpl w:val="E1F89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76BAA"/>
    <w:multiLevelType w:val="multilevel"/>
    <w:tmpl w:val="2B4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546"/>
    <w:multiLevelType w:val="multilevel"/>
    <w:tmpl w:val="37BA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B2443"/>
    <w:multiLevelType w:val="multilevel"/>
    <w:tmpl w:val="9E2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06F4"/>
    <w:multiLevelType w:val="multilevel"/>
    <w:tmpl w:val="C19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42B27"/>
    <w:multiLevelType w:val="multilevel"/>
    <w:tmpl w:val="75C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E6C54"/>
    <w:multiLevelType w:val="multilevel"/>
    <w:tmpl w:val="6006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A4A0E"/>
    <w:multiLevelType w:val="multilevel"/>
    <w:tmpl w:val="9DD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6130B"/>
    <w:multiLevelType w:val="multilevel"/>
    <w:tmpl w:val="A74A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6060C"/>
    <w:multiLevelType w:val="multilevel"/>
    <w:tmpl w:val="41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22364"/>
    <w:multiLevelType w:val="multilevel"/>
    <w:tmpl w:val="BCF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95589"/>
    <w:multiLevelType w:val="multilevel"/>
    <w:tmpl w:val="681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B0A47"/>
    <w:multiLevelType w:val="multilevel"/>
    <w:tmpl w:val="ED0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E331C"/>
    <w:multiLevelType w:val="multilevel"/>
    <w:tmpl w:val="F33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A6F19"/>
    <w:multiLevelType w:val="multilevel"/>
    <w:tmpl w:val="C28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A026C"/>
    <w:multiLevelType w:val="multilevel"/>
    <w:tmpl w:val="0C14A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A763C"/>
    <w:multiLevelType w:val="multilevel"/>
    <w:tmpl w:val="583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491837">
    <w:abstractNumId w:val="11"/>
  </w:num>
  <w:num w:numId="2" w16cid:durableId="1527211394">
    <w:abstractNumId w:val="6"/>
  </w:num>
  <w:num w:numId="3" w16cid:durableId="1602028183">
    <w:abstractNumId w:val="1"/>
  </w:num>
  <w:num w:numId="4" w16cid:durableId="601690957">
    <w:abstractNumId w:val="3"/>
  </w:num>
  <w:num w:numId="5" w16cid:durableId="1663653727">
    <w:abstractNumId w:val="7"/>
  </w:num>
  <w:num w:numId="6" w16cid:durableId="225799237">
    <w:abstractNumId w:val="2"/>
  </w:num>
  <w:num w:numId="7" w16cid:durableId="800001165">
    <w:abstractNumId w:val="8"/>
  </w:num>
  <w:num w:numId="8" w16cid:durableId="504976741">
    <w:abstractNumId w:val="9"/>
  </w:num>
  <w:num w:numId="9" w16cid:durableId="1145779545">
    <w:abstractNumId w:val="15"/>
  </w:num>
  <w:num w:numId="10" w16cid:durableId="1749571185">
    <w:abstractNumId w:val="13"/>
  </w:num>
  <w:num w:numId="11" w16cid:durableId="931282467">
    <w:abstractNumId w:val="16"/>
  </w:num>
  <w:num w:numId="12" w16cid:durableId="815028077">
    <w:abstractNumId w:val="5"/>
  </w:num>
  <w:num w:numId="13" w16cid:durableId="1876577330">
    <w:abstractNumId w:val="10"/>
  </w:num>
  <w:num w:numId="14" w16cid:durableId="399249236">
    <w:abstractNumId w:val="14"/>
  </w:num>
  <w:num w:numId="15" w16cid:durableId="481964619">
    <w:abstractNumId w:val="12"/>
  </w:num>
  <w:num w:numId="16" w16cid:durableId="1380471695">
    <w:abstractNumId w:val="4"/>
  </w:num>
  <w:num w:numId="17" w16cid:durableId="179005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E"/>
    <w:rsid w:val="0041166D"/>
    <w:rsid w:val="005169FB"/>
    <w:rsid w:val="005B0F19"/>
    <w:rsid w:val="00613B4E"/>
    <w:rsid w:val="006B2ABB"/>
    <w:rsid w:val="00790A1F"/>
    <w:rsid w:val="00A92BCD"/>
    <w:rsid w:val="00B155E7"/>
    <w:rsid w:val="00C60383"/>
    <w:rsid w:val="00D00B16"/>
    <w:rsid w:val="00F45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0E8E"/>
  <w15:chartTrackingRefBased/>
  <w15:docId w15:val="{1C169F17-32BD-4156-AED1-7D0E645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B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B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B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B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B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B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B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B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B4E"/>
    <w:rPr>
      <w:rFonts w:eastAsiaTheme="majorEastAsia" w:cstheme="majorBidi"/>
      <w:color w:val="272727" w:themeColor="text1" w:themeTint="D8"/>
    </w:rPr>
  </w:style>
  <w:style w:type="paragraph" w:styleId="Title">
    <w:name w:val="Title"/>
    <w:basedOn w:val="Normal"/>
    <w:next w:val="Normal"/>
    <w:link w:val="TitleChar"/>
    <w:uiPriority w:val="10"/>
    <w:qFormat/>
    <w:rsid w:val="0061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B4E"/>
    <w:pPr>
      <w:spacing w:before="160"/>
      <w:jc w:val="center"/>
    </w:pPr>
    <w:rPr>
      <w:i/>
      <w:iCs/>
      <w:color w:val="404040" w:themeColor="text1" w:themeTint="BF"/>
    </w:rPr>
  </w:style>
  <w:style w:type="character" w:customStyle="1" w:styleId="QuoteChar">
    <w:name w:val="Quote Char"/>
    <w:basedOn w:val="DefaultParagraphFont"/>
    <w:link w:val="Quote"/>
    <w:uiPriority w:val="29"/>
    <w:rsid w:val="00613B4E"/>
    <w:rPr>
      <w:i/>
      <w:iCs/>
      <w:color w:val="404040" w:themeColor="text1" w:themeTint="BF"/>
    </w:rPr>
  </w:style>
  <w:style w:type="paragraph" w:styleId="ListParagraph">
    <w:name w:val="List Paragraph"/>
    <w:basedOn w:val="Normal"/>
    <w:uiPriority w:val="34"/>
    <w:qFormat/>
    <w:rsid w:val="00613B4E"/>
    <w:pPr>
      <w:ind w:left="720"/>
      <w:contextualSpacing/>
    </w:pPr>
  </w:style>
  <w:style w:type="character" w:styleId="IntenseEmphasis">
    <w:name w:val="Intense Emphasis"/>
    <w:basedOn w:val="DefaultParagraphFont"/>
    <w:uiPriority w:val="21"/>
    <w:qFormat/>
    <w:rsid w:val="00613B4E"/>
    <w:rPr>
      <w:i/>
      <w:iCs/>
      <w:color w:val="2F5496" w:themeColor="accent1" w:themeShade="BF"/>
    </w:rPr>
  </w:style>
  <w:style w:type="paragraph" w:styleId="IntenseQuote">
    <w:name w:val="Intense Quote"/>
    <w:basedOn w:val="Normal"/>
    <w:next w:val="Normal"/>
    <w:link w:val="IntenseQuoteChar"/>
    <w:uiPriority w:val="30"/>
    <w:qFormat/>
    <w:rsid w:val="00613B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B4E"/>
    <w:rPr>
      <w:i/>
      <w:iCs/>
      <w:color w:val="2F5496" w:themeColor="accent1" w:themeShade="BF"/>
    </w:rPr>
  </w:style>
  <w:style w:type="character" w:styleId="IntenseReference">
    <w:name w:val="Intense Reference"/>
    <w:basedOn w:val="DefaultParagraphFont"/>
    <w:uiPriority w:val="32"/>
    <w:qFormat/>
    <w:rsid w:val="00613B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1276">
      <w:bodyDiv w:val="1"/>
      <w:marLeft w:val="0"/>
      <w:marRight w:val="0"/>
      <w:marTop w:val="0"/>
      <w:marBottom w:val="0"/>
      <w:divBdr>
        <w:top w:val="none" w:sz="0" w:space="0" w:color="auto"/>
        <w:left w:val="none" w:sz="0" w:space="0" w:color="auto"/>
        <w:bottom w:val="none" w:sz="0" w:space="0" w:color="auto"/>
        <w:right w:val="none" w:sz="0" w:space="0" w:color="auto"/>
      </w:divBdr>
      <w:divsChild>
        <w:div w:id="231546901">
          <w:marLeft w:val="0"/>
          <w:marRight w:val="0"/>
          <w:marTop w:val="0"/>
          <w:marBottom w:val="0"/>
          <w:divBdr>
            <w:top w:val="none" w:sz="0" w:space="0" w:color="auto"/>
            <w:left w:val="none" w:sz="0" w:space="0" w:color="auto"/>
            <w:bottom w:val="none" w:sz="0" w:space="0" w:color="auto"/>
            <w:right w:val="none" w:sz="0" w:space="0" w:color="auto"/>
          </w:divBdr>
          <w:divsChild>
            <w:div w:id="1857694593">
              <w:marLeft w:val="0"/>
              <w:marRight w:val="0"/>
              <w:marTop w:val="0"/>
              <w:marBottom w:val="0"/>
              <w:divBdr>
                <w:top w:val="none" w:sz="0" w:space="0" w:color="auto"/>
                <w:left w:val="none" w:sz="0" w:space="0" w:color="auto"/>
                <w:bottom w:val="none" w:sz="0" w:space="0" w:color="auto"/>
                <w:right w:val="none" w:sz="0" w:space="0" w:color="auto"/>
              </w:divBdr>
              <w:divsChild>
                <w:div w:id="352533317">
                  <w:marLeft w:val="0"/>
                  <w:marRight w:val="0"/>
                  <w:marTop w:val="0"/>
                  <w:marBottom w:val="0"/>
                  <w:divBdr>
                    <w:top w:val="none" w:sz="0" w:space="0" w:color="auto"/>
                    <w:left w:val="none" w:sz="0" w:space="0" w:color="auto"/>
                    <w:bottom w:val="none" w:sz="0" w:space="0" w:color="auto"/>
                    <w:right w:val="none" w:sz="0" w:space="0" w:color="auto"/>
                  </w:divBdr>
                  <w:divsChild>
                    <w:div w:id="1739355071">
                      <w:marLeft w:val="0"/>
                      <w:marRight w:val="0"/>
                      <w:marTop w:val="0"/>
                      <w:marBottom w:val="0"/>
                      <w:divBdr>
                        <w:top w:val="none" w:sz="0" w:space="0" w:color="auto"/>
                        <w:left w:val="none" w:sz="0" w:space="0" w:color="auto"/>
                        <w:bottom w:val="none" w:sz="0" w:space="0" w:color="auto"/>
                        <w:right w:val="none" w:sz="0" w:space="0" w:color="auto"/>
                      </w:divBdr>
                      <w:divsChild>
                        <w:div w:id="400951717">
                          <w:marLeft w:val="0"/>
                          <w:marRight w:val="0"/>
                          <w:marTop w:val="0"/>
                          <w:marBottom w:val="0"/>
                          <w:divBdr>
                            <w:top w:val="none" w:sz="0" w:space="0" w:color="auto"/>
                            <w:left w:val="none" w:sz="0" w:space="0" w:color="auto"/>
                            <w:bottom w:val="none" w:sz="0" w:space="0" w:color="auto"/>
                            <w:right w:val="none" w:sz="0" w:space="0" w:color="auto"/>
                          </w:divBdr>
                          <w:divsChild>
                            <w:div w:id="1676683234">
                              <w:marLeft w:val="0"/>
                              <w:marRight w:val="0"/>
                              <w:marTop w:val="0"/>
                              <w:marBottom w:val="0"/>
                              <w:divBdr>
                                <w:top w:val="none" w:sz="0" w:space="0" w:color="auto"/>
                                <w:left w:val="none" w:sz="0" w:space="0" w:color="auto"/>
                                <w:bottom w:val="none" w:sz="0" w:space="0" w:color="auto"/>
                                <w:right w:val="none" w:sz="0" w:space="0" w:color="auto"/>
                              </w:divBdr>
                              <w:divsChild>
                                <w:div w:id="1880782762">
                                  <w:marLeft w:val="0"/>
                                  <w:marRight w:val="0"/>
                                  <w:marTop w:val="0"/>
                                  <w:marBottom w:val="0"/>
                                  <w:divBdr>
                                    <w:top w:val="none" w:sz="0" w:space="0" w:color="auto"/>
                                    <w:left w:val="none" w:sz="0" w:space="0" w:color="auto"/>
                                    <w:bottom w:val="none" w:sz="0" w:space="0" w:color="auto"/>
                                    <w:right w:val="none" w:sz="0" w:space="0" w:color="auto"/>
                                  </w:divBdr>
                                  <w:divsChild>
                                    <w:div w:id="518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6522">
                          <w:marLeft w:val="0"/>
                          <w:marRight w:val="0"/>
                          <w:marTop w:val="0"/>
                          <w:marBottom w:val="0"/>
                          <w:divBdr>
                            <w:top w:val="none" w:sz="0" w:space="0" w:color="auto"/>
                            <w:left w:val="none" w:sz="0" w:space="0" w:color="auto"/>
                            <w:bottom w:val="none" w:sz="0" w:space="0" w:color="auto"/>
                            <w:right w:val="none" w:sz="0" w:space="0" w:color="auto"/>
                          </w:divBdr>
                          <w:divsChild>
                            <w:div w:id="716121337">
                              <w:marLeft w:val="0"/>
                              <w:marRight w:val="0"/>
                              <w:marTop w:val="0"/>
                              <w:marBottom w:val="0"/>
                              <w:divBdr>
                                <w:top w:val="none" w:sz="0" w:space="0" w:color="auto"/>
                                <w:left w:val="none" w:sz="0" w:space="0" w:color="auto"/>
                                <w:bottom w:val="none" w:sz="0" w:space="0" w:color="auto"/>
                                <w:right w:val="none" w:sz="0" w:space="0" w:color="auto"/>
                              </w:divBdr>
                              <w:divsChild>
                                <w:div w:id="1245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23846">
          <w:marLeft w:val="0"/>
          <w:marRight w:val="0"/>
          <w:marTop w:val="0"/>
          <w:marBottom w:val="0"/>
          <w:divBdr>
            <w:top w:val="none" w:sz="0" w:space="0" w:color="auto"/>
            <w:left w:val="none" w:sz="0" w:space="0" w:color="auto"/>
            <w:bottom w:val="none" w:sz="0" w:space="0" w:color="auto"/>
            <w:right w:val="none" w:sz="0" w:space="0" w:color="auto"/>
          </w:divBdr>
          <w:divsChild>
            <w:div w:id="696658882">
              <w:marLeft w:val="0"/>
              <w:marRight w:val="0"/>
              <w:marTop w:val="0"/>
              <w:marBottom w:val="0"/>
              <w:divBdr>
                <w:top w:val="none" w:sz="0" w:space="0" w:color="auto"/>
                <w:left w:val="none" w:sz="0" w:space="0" w:color="auto"/>
                <w:bottom w:val="none" w:sz="0" w:space="0" w:color="auto"/>
                <w:right w:val="none" w:sz="0" w:space="0" w:color="auto"/>
              </w:divBdr>
              <w:divsChild>
                <w:div w:id="1653950493">
                  <w:marLeft w:val="0"/>
                  <w:marRight w:val="0"/>
                  <w:marTop w:val="0"/>
                  <w:marBottom w:val="0"/>
                  <w:divBdr>
                    <w:top w:val="none" w:sz="0" w:space="0" w:color="auto"/>
                    <w:left w:val="none" w:sz="0" w:space="0" w:color="auto"/>
                    <w:bottom w:val="none" w:sz="0" w:space="0" w:color="auto"/>
                    <w:right w:val="none" w:sz="0" w:space="0" w:color="auto"/>
                  </w:divBdr>
                  <w:divsChild>
                    <w:div w:id="1870871749">
                      <w:marLeft w:val="0"/>
                      <w:marRight w:val="0"/>
                      <w:marTop w:val="0"/>
                      <w:marBottom w:val="0"/>
                      <w:divBdr>
                        <w:top w:val="none" w:sz="0" w:space="0" w:color="auto"/>
                        <w:left w:val="none" w:sz="0" w:space="0" w:color="auto"/>
                        <w:bottom w:val="none" w:sz="0" w:space="0" w:color="auto"/>
                        <w:right w:val="none" w:sz="0" w:space="0" w:color="auto"/>
                      </w:divBdr>
                      <w:divsChild>
                        <w:div w:id="261954705">
                          <w:marLeft w:val="0"/>
                          <w:marRight w:val="0"/>
                          <w:marTop w:val="0"/>
                          <w:marBottom w:val="0"/>
                          <w:divBdr>
                            <w:top w:val="none" w:sz="0" w:space="0" w:color="auto"/>
                            <w:left w:val="none" w:sz="0" w:space="0" w:color="auto"/>
                            <w:bottom w:val="none" w:sz="0" w:space="0" w:color="auto"/>
                            <w:right w:val="none" w:sz="0" w:space="0" w:color="auto"/>
                          </w:divBdr>
                          <w:divsChild>
                            <w:div w:id="1091465688">
                              <w:marLeft w:val="0"/>
                              <w:marRight w:val="0"/>
                              <w:marTop w:val="0"/>
                              <w:marBottom w:val="0"/>
                              <w:divBdr>
                                <w:top w:val="none" w:sz="0" w:space="0" w:color="auto"/>
                                <w:left w:val="none" w:sz="0" w:space="0" w:color="auto"/>
                                <w:bottom w:val="none" w:sz="0" w:space="0" w:color="auto"/>
                                <w:right w:val="none" w:sz="0" w:space="0" w:color="auto"/>
                              </w:divBdr>
                              <w:divsChild>
                                <w:div w:id="1656253723">
                                  <w:marLeft w:val="0"/>
                                  <w:marRight w:val="0"/>
                                  <w:marTop w:val="0"/>
                                  <w:marBottom w:val="0"/>
                                  <w:divBdr>
                                    <w:top w:val="none" w:sz="0" w:space="0" w:color="auto"/>
                                    <w:left w:val="none" w:sz="0" w:space="0" w:color="auto"/>
                                    <w:bottom w:val="none" w:sz="0" w:space="0" w:color="auto"/>
                                    <w:right w:val="none" w:sz="0" w:space="0" w:color="auto"/>
                                  </w:divBdr>
                                  <w:divsChild>
                                    <w:div w:id="13913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9021">
                          <w:marLeft w:val="0"/>
                          <w:marRight w:val="0"/>
                          <w:marTop w:val="0"/>
                          <w:marBottom w:val="0"/>
                          <w:divBdr>
                            <w:top w:val="none" w:sz="0" w:space="0" w:color="auto"/>
                            <w:left w:val="none" w:sz="0" w:space="0" w:color="auto"/>
                            <w:bottom w:val="none" w:sz="0" w:space="0" w:color="auto"/>
                            <w:right w:val="none" w:sz="0" w:space="0" w:color="auto"/>
                          </w:divBdr>
                          <w:divsChild>
                            <w:div w:id="289941893">
                              <w:marLeft w:val="0"/>
                              <w:marRight w:val="0"/>
                              <w:marTop w:val="0"/>
                              <w:marBottom w:val="0"/>
                              <w:divBdr>
                                <w:top w:val="none" w:sz="0" w:space="0" w:color="auto"/>
                                <w:left w:val="none" w:sz="0" w:space="0" w:color="auto"/>
                                <w:bottom w:val="none" w:sz="0" w:space="0" w:color="auto"/>
                                <w:right w:val="none" w:sz="0" w:space="0" w:color="auto"/>
                              </w:divBdr>
                              <w:divsChild>
                                <w:div w:id="1876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69828">
      <w:bodyDiv w:val="1"/>
      <w:marLeft w:val="0"/>
      <w:marRight w:val="0"/>
      <w:marTop w:val="0"/>
      <w:marBottom w:val="0"/>
      <w:divBdr>
        <w:top w:val="none" w:sz="0" w:space="0" w:color="auto"/>
        <w:left w:val="none" w:sz="0" w:space="0" w:color="auto"/>
        <w:bottom w:val="none" w:sz="0" w:space="0" w:color="auto"/>
        <w:right w:val="none" w:sz="0" w:space="0" w:color="auto"/>
      </w:divBdr>
      <w:divsChild>
        <w:div w:id="2104841370">
          <w:marLeft w:val="0"/>
          <w:marRight w:val="0"/>
          <w:marTop w:val="0"/>
          <w:marBottom w:val="0"/>
          <w:divBdr>
            <w:top w:val="none" w:sz="0" w:space="0" w:color="auto"/>
            <w:left w:val="none" w:sz="0" w:space="0" w:color="auto"/>
            <w:bottom w:val="none" w:sz="0" w:space="0" w:color="auto"/>
            <w:right w:val="none" w:sz="0" w:space="0" w:color="auto"/>
          </w:divBdr>
          <w:divsChild>
            <w:div w:id="1525942312">
              <w:marLeft w:val="0"/>
              <w:marRight w:val="0"/>
              <w:marTop w:val="0"/>
              <w:marBottom w:val="0"/>
              <w:divBdr>
                <w:top w:val="none" w:sz="0" w:space="0" w:color="auto"/>
                <w:left w:val="none" w:sz="0" w:space="0" w:color="auto"/>
                <w:bottom w:val="none" w:sz="0" w:space="0" w:color="auto"/>
                <w:right w:val="none" w:sz="0" w:space="0" w:color="auto"/>
              </w:divBdr>
              <w:divsChild>
                <w:div w:id="1504006255">
                  <w:marLeft w:val="0"/>
                  <w:marRight w:val="0"/>
                  <w:marTop w:val="0"/>
                  <w:marBottom w:val="0"/>
                  <w:divBdr>
                    <w:top w:val="none" w:sz="0" w:space="0" w:color="auto"/>
                    <w:left w:val="none" w:sz="0" w:space="0" w:color="auto"/>
                    <w:bottom w:val="none" w:sz="0" w:space="0" w:color="auto"/>
                    <w:right w:val="none" w:sz="0" w:space="0" w:color="auto"/>
                  </w:divBdr>
                  <w:divsChild>
                    <w:div w:id="1793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2486">
          <w:marLeft w:val="0"/>
          <w:marRight w:val="0"/>
          <w:marTop w:val="0"/>
          <w:marBottom w:val="0"/>
          <w:divBdr>
            <w:top w:val="none" w:sz="0" w:space="0" w:color="auto"/>
            <w:left w:val="none" w:sz="0" w:space="0" w:color="auto"/>
            <w:bottom w:val="none" w:sz="0" w:space="0" w:color="auto"/>
            <w:right w:val="none" w:sz="0" w:space="0" w:color="auto"/>
          </w:divBdr>
          <w:divsChild>
            <w:div w:id="2110461395">
              <w:marLeft w:val="0"/>
              <w:marRight w:val="0"/>
              <w:marTop w:val="0"/>
              <w:marBottom w:val="0"/>
              <w:divBdr>
                <w:top w:val="none" w:sz="0" w:space="0" w:color="auto"/>
                <w:left w:val="none" w:sz="0" w:space="0" w:color="auto"/>
                <w:bottom w:val="none" w:sz="0" w:space="0" w:color="auto"/>
                <w:right w:val="none" w:sz="0" w:space="0" w:color="auto"/>
              </w:divBdr>
              <w:divsChild>
                <w:div w:id="13876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6748">
      <w:bodyDiv w:val="1"/>
      <w:marLeft w:val="0"/>
      <w:marRight w:val="0"/>
      <w:marTop w:val="0"/>
      <w:marBottom w:val="0"/>
      <w:divBdr>
        <w:top w:val="none" w:sz="0" w:space="0" w:color="auto"/>
        <w:left w:val="none" w:sz="0" w:space="0" w:color="auto"/>
        <w:bottom w:val="none" w:sz="0" w:space="0" w:color="auto"/>
        <w:right w:val="none" w:sz="0" w:space="0" w:color="auto"/>
      </w:divBdr>
      <w:divsChild>
        <w:div w:id="1336613149">
          <w:marLeft w:val="0"/>
          <w:marRight w:val="0"/>
          <w:marTop w:val="0"/>
          <w:marBottom w:val="0"/>
          <w:divBdr>
            <w:top w:val="none" w:sz="0" w:space="0" w:color="auto"/>
            <w:left w:val="none" w:sz="0" w:space="0" w:color="auto"/>
            <w:bottom w:val="none" w:sz="0" w:space="0" w:color="auto"/>
            <w:right w:val="none" w:sz="0" w:space="0" w:color="auto"/>
          </w:divBdr>
          <w:divsChild>
            <w:div w:id="767506391">
              <w:marLeft w:val="0"/>
              <w:marRight w:val="0"/>
              <w:marTop w:val="0"/>
              <w:marBottom w:val="0"/>
              <w:divBdr>
                <w:top w:val="none" w:sz="0" w:space="0" w:color="auto"/>
                <w:left w:val="none" w:sz="0" w:space="0" w:color="auto"/>
                <w:bottom w:val="none" w:sz="0" w:space="0" w:color="auto"/>
                <w:right w:val="none" w:sz="0" w:space="0" w:color="auto"/>
              </w:divBdr>
              <w:divsChild>
                <w:div w:id="1841846039">
                  <w:marLeft w:val="0"/>
                  <w:marRight w:val="0"/>
                  <w:marTop w:val="0"/>
                  <w:marBottom w:val="0"/>
                  <w:divBdr>
                    <w:top w:val="none" w:sz="0" w:space="0" w:color="auto"/>
                    <w:left w:val="none" w:sz="0" w:space="0" w:color="auto"/>
                    <w:bottom w:val="none" w:sz="0" w:space="0" w:color="auto"/>
                    <w:right w:val="none" w:sz="0" w:space="0" w:color="auto"/>
                  </w:divBdr>
                  <w:divsChild>
                    <w:div w:id="1697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40676">
          <w:marLeft w:val="0"/>
          <w:marRight w:val="0"/>
          <w:marTop w:val="0"/>
          <w:marBottom w:val="0"/>
          <w:divBdr>
            <w:top w:val="none" w:sz="0" w:space="0" w:color="auto"/>
            <w:left w:val="none" w:sz="0" w:space="0" w:color="auto"/>
            <w:bottom w:val="none" w:sz="0" w:space="0" w:color="auto"/>
            <w:right w:val="none" w:sz="0" w:space="0" w:color="auto"/>
          </w:divBdr>
          <w:divsChild>
            <w:div w:id="113251815">
              <w:marLeft w:val="0"/>
              <w:marRight w:val="0"/>
              <w:marTop w:val="0"/>
              <w:marBottom w:val="0"/>
              <w:divBdr>
                <w:top w:val="none" w:sz="0" w:space="0" w:color="auto"/>
                <w:left w:val="none" w:sz="0" w:space="0" w:color="auto"/>
                <w:bottom w:val="none" w:sz="0" w:space="0" w:color="auto"/>
                <w:right w:val="none" w:sz="0" w:space="0" w:color="auto"/>
              </w:divBdr>
              <w:divsChild>
                <w:div w:id="5612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748">
      <w:bodyDiv w:val="1"/>
      <w:marLeft w:val="0"/>
      <w:marRight w:val="0"/>
      <w:marTop w:val="0"/>
      <w:marBottom w:val="0"/>
      <w:divBdr>
        <w:top w:val="none" w:sz="0" w:space="0" w:color="auto"/>
        <w:left w:val="none" w:sz="0" w:space="0" w:color="auto"/>
        <w:bottom w:val="none" w:sz="0" w:space="0" w:color="auto"/>
        <w:right w:val="none" w:sz="0" w:space="0" w:color="auto"/>
      </w:divBdr>
      <w:divsChild>
        <w:div w:id="1958902409">
          <w:marLeft w:val="0"/>
          <w:marRight w:val="0"/>
          <w:marTop w:val="0"/>
          <w:marBottom w:val="0"/>
          <w:divBdr>
            <w:top w:val="none" w:sz="0" w:space="0" w:color="auto"/>
            <w:left w:val="none" w:sz="0" w:space="0" w:color="auto"/>
            <w:bottom w:val="none" w:sz="0" w:space="0" w:color="auto"/>
            <w:right w:val="none" w:sz="0" w:space="0" w:color="auto"/>
          </w:divBdr>
          <w:divsChild>
            <w:div w:id="1808889714">
              <w:marLeft w:val="0"/>
              <w:marRight w:val="0"/>
              <w:marTop w:val="0"/>
              <w:marBottom w:val="0"/>
              <w:divBdr>
                <w:top w:val="none" w:sz="0" w:space="0" w:color="auto"/>
                <w:left w:val="none" w:sz="0" w:space="0" w:color="auto"/>
                <w:bottom w:val="none" w:sz="0" w:space="0" w:color="auto"/>
                <w:right w:val="none" w:sz="0" w:space="0" w:color="auto"/>
              </w:divBdr>
              <w:divsChild>
                <w:div w:id="1790666638">
                  <w:marLeft w:val="0"/>
                  <w:marRight w:val="0"/>
                  <w:marTop w:val="0"/>
                  <w:marBottom w:val="0"/>
                  <w:divBdr>
                    <w:top w:val="none" w:sz="0" w:space="0" w:color="auto"/>
                    <w:left w:val="none" w:sz="0" w:space="0" w:color="auto"/>
                    <w:bottom w:val="none" w:sz="0" w:space="0" w:color="auto"/>
                    <w:right w:val="none" w:sz="0" w:space="0" w:color="auto"/>
                  </w:divBdr>
                  <w:divsChild>
                    <w:div w:id="9307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0414">
          <w:marLeft w:val="0"/>
          <w:marRight w:val="0"/>
          <w:marTop w:val="0"/>
          <w:marBottom w:val="0"/>
          <w:divBdr>
            <w:top w:val="none" w:sz="0" w:space="0" w:color="auto"/>
            <w:left w:val="none" w:sz="0" w:space="0" w:color="auto"/>
            <w:bottom w:val="none" w:sz="0" w:space="0" w:color="auto"/>
            <w:right w:val="none" w:sz="0" w:space="0" w:color="auto"/>
          </w:divBdr>
          <w:divsChild>
            <w:div w:id="1697391543">
              <w:marLeft w:val="0"/>
              <w:marRight w:val="0"/>
              <w:marTop w:val="0"/>
              <w:marBottom w:val="0"/>
              <w:divBdr>
                <w:top w:val="none" w:sz="0" w:space="0" w:color="auto"/>
                <w:left w:val="none" w:sz="0" w:space="0" w:color="auto"/>
                <w:bottom w:val="none" w:sz="0" w:space="0" w:color="auto"/>
                <w:right w:val="none" w:sz="0" w:space="0" w:color="auto"/>
              </w:divBdr>
              <w:divsChild>
                <w:div w:id="14568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2119">
      <w:bodyDiv w:val="1"/>
      <w:marLeft w:val="0"/>
      <w:marRight w:val="0"/>
      <w:marTop w:val="0"/>
      <w:marBottom w:val="0"/>
      <w:divBdr>
        <w:top w:val="none" w:sz="0" w:space="0" w:color="auto"/>
        <w:left w:val="none" w:sz="0" w:space="0" w:color="auto"/>
        <w:bottom w:val="none" w:sz="0" w:space="0" w:color="auto"/>
        <w:right w:val="none" w:sz="0" w:space="0" w:color="auto"/>
      </w:divBdr>
      <w:divsChild>
        <w:div w:id="1683825025">
          <w:marLeft w:val="0"/>
          <w:marRight w:val="0"/>
          <w:marTop w:val="0"/>
          <w:marBottom w:val="0"/>
          <w:divBdr>
            <w:top w:val="none" w:sz="0" w:space="0" w:color="auto"/>
            <w:left w:val="none" w:sz="0" w:space="0" w:color="auto"/>
            <w:bottom w:val="none" w:sz="0" w:space="0" w:color="auto"/>
            <w:right w:val="none" w:sz="0" w:space="0" w:color="auto"/>
          </w:divBdr>
          <w:divsChild>
            <w:div w:id="145627384">
              <w:marLeft w:val="0"/>
              <w:marRight w:val="0"/>
              <w:marTop w:val="0"/>
              <w:marBottom w:val="0"/>
              <w:divBdr>
                <w:top w:val="none" w:sz="0" w:space="0" w:color="auto"/>
                <w:left w:val="none" w:sz="0" w:space="0" w:color="auto"/>
                <w:bottom w:val="none" w:sz="0" w:space="0" w:color="auto"/>
                <w:right w:val="none" w:sz="0" w:space="0" w:color="auto"/>
              </w:divBdr>
              <w:divsChild>
                <w:div w:id="315689254">
                  <w:marLeft w:val="0"/>
                  <w:marRight w:val="0"/>
                  <w:marTop w:val="0"/>
                  <w:marBottom w:val="0"/>
                  <w:divBdr>
                    <w:top w:val="none" w:sz="0" w:space="0" w:color="auto"/>
                    <w:left w:val="none" w:sz="0" w:space="0" w:color="auto"/>
                    <w:bottom w:val="none" w:sz="0" w:space="0" w:color="auto"/>
                    <w:right w:val="none" w:sz="0" w:space="0" w:color="auto"/>
                  </w:divBdr>
                  <w:divsChild>
                    <w:div w:id="1015309720">
                      <w:marLeft w:val="0"/>
                      <w:marRight w:val="0"/>
                      <w:marTop w:val="0"/>
                      <w:marBottom w:val="0"/>
                      <w:divBdr>
                        <w:top w:val="none" w:sz="0" w:space="0" w:color="auto"/>
                        <w:left w:val="none" w:sz="0" w:space="0" w:color="auto"/>
                        <w:bottom w:val="none" w:sz="0" w:space="0" w:color="auto"/>
                        <w:right w:val="none" w:sz="0" w:space="0" w:color="auto"/>
                      </w:divBdr>
                      <w:divsChild>
                        <w:div w:id="1446656345">
                          <w:marLeft w:val="0"/>
                          <w:marRight w:val="0"/>
                          <w:marTop w:val="0"/>
                          <w:marBottom w:val="0"/>
                          <w:divBdr>
                            <w:top w:val="none" w:sz="0" w:space="0" w:color="auto"/>
                            <w:left w:val="none" w:sz="0" w:space="0" w:color="auto"/>
                            <w:bottom w:val="none" w:sz="0" w:space="0" w:color="auto"/>
                            <w:right w:val="none" w:sz="0" w:space="0" w:color="auto"/>
                          </w:divBdr>
                          <w:divsChild>
                            <w:div w:id="205148068">
                              <w:marLeft w:val="0"/>
                              <w:marRight w:val="0"/>
                              <w:marTop w:val="0"/>
                              <w:marBottom w:val="0"/>
                              <w:divBdr>
                                <w:top w:val="none" w:sz="0" w:space="0" w:color="auto"/>
                                <w:left w:val="none" w:sz="0" w:space="0" w:color="auto"/>
                                <w:bottom w:val="none" w:sz="0" w:space="0" w:color="auto"/>
                                <w:right w:val="none" w:sz="0" w:space="0" w:color="auto"/>
                              </w:divBdr>
                              <w:divsChild>
                                <w:div w:id="93551355">
                                  <w:marLeft w:val="0"/>
                                  <w:marRight w:val="0"/>
                                  <w:marTop w:val="0"/>
                                  <w:marBottom w:val="0"/>
                                  <w:divBdr>
                                    <w:top w:val="none" w:sz="0" w:space="0" w:color="auto"/>
                                    <w:left w:val="none" w:sz="0" w:space="0" w:color="auto"/>
                                    <w:bottom w:val="none" w:sz="0" w:space="0" w:color="auto"/>
                                    <w:right w:val="none" w:sz="0" w:space="0" w:color="auto"/>
                                  </w:divBdr>
                                  <w:divsChild>
                                    <w:div w:id="286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636">
                          <w:marLeft w:val="0"/>
                          <w:marRight w:val="0"/>
                          <w:marTop w:val="0"/>
                          <w:marBottom w:val="0"/>
                          <w:divBdr>
                            <w:top w:val="none" w:sz="0" w:space="0" w:color="auto"/>
                            <w:left w:val="none" w:sz="0" w:space="0" w:color="auto"/>
                            <w:bottom w:val="none" w:sz="0" w:space="0" w:color="auto"/>
                            <w:right w:val="none" w:sz="0" w:space="0" w:color="auto"/>
                          </w:divBdr>
                          <w:divsChild>
                            <w:div w:id="1285699566">
                              <w:marLeft w:val="0"/>
                              <w:marRight w:val="0"/>
                              <w:marTop w:val="0"/>
                              <w:marBottom w:val="0"/>
                              <w:divBdr>
                                <w:top w:val="none" w:sz="0" w:space="0" w:color="auto"/>
                                <w:left w:val="none" w:sz="0" w:space="0" w:color="auto"/>
                                <w:bottom w:val="none" w:sz="0" w:space="0" w:color="auto"/>
                                <w:right w:val="none" w:sz="0" w:space="0" w:color="auto"/>
                              </w:divBdr>
                              <w:divsChild>
                                <w:div w:id="19846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82973">
          <w:marLeft w:val="0"/>
          <w:marRight w:val="0"/>
          <w:marTop w:val="0"/>
          <w:marBottom w:val="0"/>
          <w:divBdr>
            <w:top w:val="none" w:sz="0" w:space="0" w:color="auto"/>
            <w:left w:val="none" w:sz="0" w:space="0" w:color="auto"/>
            <w:bottom w:val="none" w:sz="0" w:space="0" w:color="auto"/>
            <w:right w:val="none" w:sz="0" w:space="0" w:color="auto"/>
          </w:divBdr>
          <w:divsChild>
            <w:div w:id="1430353927">
              <w:marLeft w:val="0"/>
              <w:marRight w:val="0"/>
              <w:marTop w:val="0"/>
              <w:marBottom w:val="0"/>
              <w:divBdr>
                <w:top w:val="none" w:sz="0" w:space="0" w:color="auto"/>
                <w:left w:val="none" w:sz="0" w:space="0" w:color="auto"/>
                <w:bottom w:val="none" w:sz="0" w:space="0" w:color="auto"/>
                <w:right w:val="none" w:sz="0" w:space="0" w:color="auto"/>
              </w:divBdr>
              <w:divsChild>
                <w:div w:id="1612349381">
                  <w:marLeft w:val="0"/>
                  <w:marRight w:val="0"/>
                  <w:marTop w:val="0"/>
                  <w:marBottom w:val="0"/>
                  <w:divBdr>
                    <w:top w:val="none" w:sz="0" w:space="0" w:color="auto"/>
                    <w:left w:val="none" w:sz="0" w:space="0" w:color="auto"/>
                    <w:bottom w:val="none" w:sz="0" w:space="0" w:color="auto"/>
                    <w:right w:val="none" w:sz="0" w:space="0" w:color="auto"/>
                  </w:divBdr>
                  <w:divsChild>
                    <w:div w:id="2054040074">
                      <w:marLeft w:val="0"/>
                      <w:marRight w:val="0"/>
                      <w:marTop w:val="0"/>
                      <w:marBottom w:val="0"/>
                      <w:divBdr>
                        <w:top w:val="none" w:sz="0" w:space="0" w:color="auto"/>
                        <w:left w:val="none" w:sz="0" w:space="0" w:color="auto"/>
                        <w:bottom w:val="none" w:sz="0" w:space="0" w:color="auto"/>
                        <w:right w:val="none" w:sz="0" w:space="0" w:color="auto"/>
                      </w:divBdr>
                      <w:divsChild>
                        <w:div w:id="582034121">
                          <w:marLeft w:val="0"/>
                          <w:marRight w:val="0"/>
                          <w:marTop w:val="0"/>
                          <w:marBottom w:val="0"/>
                          <w:divBdr>
                            <w:top w:val="none" w:sz="0" w:space="0" w:color="auto"/>
                            <w:left w:val="none" w:sz="0" w:space="0" w:color="auto"/>
                            <w:bottom w:val="none" w:sz="0" w:space="0" w:color="auto"/>
                            <w:right w:val="none" w:sz="0" w:space="0" w:color="auto"/>
                          </w:divBdr>
                          <w:divsChild>
                            <w:div w:id="843978407">
                              <w:marLeft w:val="0"/>
                              <w:marRight w:val="0"/>
                              <w:marTop w:val="0"/>
                              <w:marBottom w:val="0"/>
                              <w:divBdr>
                                <w:top w:val="none" w:sz="0" w:space="0" w:color="auto"/>
                                <w:left w:val="none" w:sz="0" w:space="0" w:color="auto"/>
                                <w:bottom w:val="none" w:sz="0" w:space="0" w:color="auto"/>
                                <w:right w:val="none" w:sz="0" w:space="0" w:color="auto"/>
                              </w:divBdr>
                              <w:divsChild>
                                <w:div w:id="297876629">
                                  <w:marLeft w:val="0"/>
                                  <w:marRight w:val="0"/>
                                  <w:marTop w:val="0"/>
                                  <w:marBottom w:val="0"/>
                                  <w:divBdr>
                                    <w:top w:val="none" w:sz="0" w:space="0" w:color="auto"/>
                                    <w:left w:val="none" w:sz="0" w:space="0" w:color="auto"/>
                                    <w:bottom w:val="none" w:sz="0" w:space="0" w:color="auto"/>
                                    <w:right w:val="none" w:sz="0" w:space="0" w:color="auto"/>
                                  </w:divBdr>
                                  <w:divsChild>
                                    <w:div w:id="15554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11520">
                          <w:marLeft w:val="0"/>
                          <w:marRight w:val="0"/>
                          <w:marTop w:val="0"/>
                          <w:marBottom w:val="0"/>
                          <w:divBdr>
                            <w:top w:val="none" w:sz="0" w:space="0" w:color="auto"/>
                            <w:left w:val="none" w:sz="0" w:space="0" w:color="auto"/>
                            <w:bottom w:val="none" w:sz="0" w:space="0" w:color="auto"/>
                            <w:right w:val="none" w:sz="0" w:space="0" w:color="auto"/>
                          </w:divBdr>
                          <w:divsChild>
                            <w:div w:id="151527741">
                              <w:marLeft w:val="0"/>
                              <w:marRight w:val="0"/>
                              <w:marTop w:val="0"/>
                              <w:marBottom w:val="0"/>
                              <w:divBdr>
                                <w:top w:val="none" w:sz="0" w:space="0" w:color="auto"/>
                                <w:left w:val="none" w:sz="0" w:space="0" w:color="auto"/>
                                <w:bottom w:val="none" w:sz="0" w:space="0" w:color="auto"/>
                                <w:right w:val="none" w:sz="0" w:space="0" w:color="auto"/>
                              </w:divBdr>
                              <w:divsChild>
                                <w:div w:id="12556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6040">
      <w:bodyDiv w:val="1"/>
      <w:marLeft w:val="0"/>
      <w:marRight w:val="0"/>
      <w:marTop w:val="0"/>
      <w:marBottom w:val="0"/>
      <w:divBdr>
        <w:top w:val="none" w:sz="0" w:space="0" w:color="auto"/>
        <w:left w:val="none" w:sz="0" w:space="0" w:color="auto"/>
        <w:bottom w:val="none" w:sz="0" w:space="0" w:color="auto"/>
        <w:right w:val="none" w:sz="0" w:space="0" w:color="auto"/>
      </w:divBdr>
      <w:divsChild>
        <w:div w:id="1206722614">
          <w:marLeft w:val="0"/>
          <w:marRight w:val="0"/>
          <w:marTop w:val="0"/>
          <w:marBottom w:val="0"/>
          <w:divBdr>
            <w:top w:val="none" w:sz="0" w:space="0" w:color="auto"/>
            <w:left w:val="none" w:sz="0" w:space="0" w:color="auto"/>
            <w:bottom w:val="none" w:sz="0" w:space="0" w:color="auto"/>
            <w:right w:val="none" w:sz="0" w:space="0" w:color="auto"/>
          </w:divBdr>
          <w:divsChild>
            <w:div w:id="763258829">
              <w:marLeft w:val="0"/>
              <w:marRight w:val="0"/>
              <w:marTop w:val="0"/>
              <w:marBottom w:val="0"/>
              <w:divBdr>
                <w:top w:val="none" w:sz="0" w:space="0" w:color="auto"/>
                <w:left w:val="none" w:sz="0" w:space="0" w:color="auto"/>
                <w:bottom w:val="none" w:sz="0" w:space="0" w:color="auto"/>
                <w:right w:val="none" w:sz="0" w:space="0" w:color="auto"/>
              </w:divBdr>
              <w:divsChild>
                <w:div w:id="395737501">
                  <w:marLeft w:val="0"/>
                  <w:marRight w:val="0"/>
                  <w:marTop w:val="0"/>
                  <w:marBottom w:val="0"/>
                  <w:divBdr>
                    <w:top w:val="none" w:sz="0" w:space="0" w:color="auto"/>
                    <w:left w:val="none" w:sz="0" w:space="0" w:color="auto"/>
                    <w:bottom w:val="none" w:sz="0" w:space="0" w:color="auto"/>
                    <w:right w:val="none" w:sz="0" w:space="0" w:color="auto"/>
                  </w:divBdr>
                  <w:divsChild>
                    <w:div w:id="1078672185">
                      <w:marLeft w:val="0"/>
                      <w:marRight w:val="0"/>
                      <w:marTop w:val="0"/>
                      <w:marBottom w:val="0"/>
                      <w:divBdr>
                        <w:top w:val="none" w:sz="0" w:space="0" w:color="auto"/>
                        <w:left w:val="none" w:sz="0" w:space="0" w:color="auto"/>
                        <w:bottom w:val="none" w:sz="0" w:space="0" w:color="auto"/>
                        <w:right w:val="none" w:sz="0" w:space="0" w:color="auto"/>
                      </w:divBdr>
                      <w:divsChild>
                        <w:div w:id="1907833472">
                          <w:marLeft w:val="0"/>
                          <w:marRight w:val="0"/>
                          <w:marTop w:val="0"/>
                          <w:marBottom w:val="0"/>
                          <w:divBdr>
                            <w:top w:val="none" w:sz="0" w:space="0" w:color="auto"/>
                            <w:left w:val="none" w:sz="0" w:space="0" w:color="auto"/>
                            <w:bottom w:val="none" w:sz="0" w:space="0" w:color="auto"/>
                            <w:right w:val="none" w:sz="0" w:space="0" w:color="auto"/>
                          </w:divBdr>
                          <w:divsChild>
                            <w:div w:id="65345227">
                              <w:marLeft w:val="0"/>
                              <w:marRight w:val="0"/>
                              <w:marTop w:val="0"/>
                              <w:marBottom w:val="0"/>
                              <w:divBdr>
                                <w:top w:val="none" w:sz="0" w:space="0" w:color="auto"/>
                                <w:left w:val="none" w:sz="0" w:space="0" w:color="auto"/>
                                <w:bottom w:val="none" w:sz="0" w:space="0" w:color="auto"/>
                                <w:right w:val="none" w:sz="0" w:space="0" w:color="auto"/>
                              </w:divBdr>
                              <w:divsChild>
                                <w:div w:id="2061244207">
                                  <w:marLeft w:val="0"/>
                                  <w:marRight w:val="0"/>
                                  <w:marTop w:val="0"/>
                                  <w:marBottom w:val="0"/>
                                  <w:divBdr>
                                    <w:top w:val="none" w:sz="0" w:space="0" w:color="auto"/>
                                    <w:left w:val="none" w:sz="0" w:space="0" w:color="auto"/>
                                    <w:bottom w:val="none" w:sz="0" w:space="0" w:color="auto"/>
                                    <w:right w:val="none" w:sz="0" w:space="0" w:color="auto"/>
                                  </w:divBdr>
                                  <w:divsChild>
                                    <w:div w:id="1586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0248">
                          <w:marLeft w:val="0"/>
                          <w:marRight w:val="0"/>
                          <w:marTop w:val="0"/>
                          <w:marBottom w:val="0"/>
                          <w:divBdr>
                            <w:top w:val="none" w:sz="0" w:space="0" w:color="auto"/>
                            <w:left w:val="none" w:sz="0" w:space="0" w:color="auto"/>
                            <w:bottom w:val="none" w:sz="0" w:space="0" w:color="auto"/>
                            <w:right w:val="none" w:sz="0" w:space="0" w:color="auto"/>
                          </w:divBdr>
                          <w:divsChild>
                            <w:div w:id="149828644">
                              <w:marLeft w:val="0"/>
                              <w:marRight w:val="0"/>
                              <w:marTop w:val="0"/>
                              <w:marBottom w:val="0"/>
                              <w:divBdr>
                                <w:top w:val="none" w:sz="0" w:space="0" w:color="auto"/>
                                <w:left w:val="none" w:sz="0" w:space="0" w:color="auto"/>
                                <w:bottom w:val="none" w:sz="0" w:space="0" w:color="auto"/>
                                <w:right w:val="none" w:sz="0" w:space="0" w:color="auto"/>
                              </w:divBdr>
                              <w:divsChild>
                                <w:div w:id="21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79655">
          <w:marLeft w:val="0"/>
          <w:marRight w:val="0"/>
          <w:marTop w:val="0"/>
          <w:marBottom w:val="0"/>
          <w:divBdr>
            <w:top w:val="none" w:sz="0" w:space="0" w:color="auto"/>
            <w:left w:val="none" w:sz="0" w:space="0" w:color="auto"/>
            <w:bottom w:val="none" w:sz="0" w:space="0" w:color="auto"/>
            <w:right w:val="none" w:sz="0" w:space="0" w:color="auto"/>
          </w:divBdr>
          <w:divsChild>
            <w:div w:id="2026202470">
              <w:marLeft w:val="0"/>
              <w:marRight w:val="0"/>
              <w:marTop w:val="0"/>
              <w:marBottom w:val="0"/>
              <w:divBdr>
                <w:top w:val="none" w:sz="0" w:space="0" w:color="auto"/>
                <w:left w:val="none" w:sz="0" w:space="0" w:color="auto"/>
                <w:bottom w:val="none" w:sz="0" w:space="0" w:color="auto"/>
                <w:right w:val="none" w:sz="0" w:space="0" w:color="auto"/>
              </w:divBdr>
              <w:divsChild>
                <w:div w:id="2074886302">
                  <w:marLeft w:val="0"/>
                  <w:marRight w:val="0"/>
                  <w:marTop w:val="0"/>
                  <w:marBottom w:val="0"/>
                  <w:divBdr>
                    <w:top w:val="none" w:sz="0" w:space="0" w:color="auto"/>
                    <w:left w:val="none" w:sz="0" w:space="0" w:color="auto"/>
                    <w:bottom w:val="none" w:sz="0" w:space="0" w:color="auto"/>
                    <w:right w:val="none" w:sz="0" w:space="0" w:color="auto"/>
                  </w:divBdr>
                  <w:divsChild>
                    <w:div w:id="103696169">
                      <w:marLeft w:val="0"/>
                      <w:marRight w:val="0"/>
                      <w:marTop w:val="0"/>
                      <w:marBottom w:val="0"/>
                      <w:divBdr>
                        <w:top w:val="none" w:sz="0" w:space="0" w:color="auto"/>
                        <w:left w:val="none" w:sz="0" w:space="0" w:color="auto"/>
                        <w:bottom w:val="none" w:sz="0" w:space="0" w:color="auto"/>
                        <w:right w:val="none" w:sz="0" w:space="0" w:color="auto"/>
                      </w:divBdr>
                      <w:divsChild>
                        <w:div w:id="293677840">
                          <w:marLeft w:val="0"/>
                          <w:marRight w:val="0"/>
                          <w:marTop w:val="0"/>
                          <w:marBottom w:val="0"/>
                          <w:divBdr>
                            <w:top w:val="none" w:sz="0" w:space="0" w:color="auto"/>
                            <w:left w:val="none" w:sz="0" w:space="0" w:color="auto"/>
                            <w:bottom w:val="none" w:sz="0" w:space="0" w:color="auto"/>
                            <w:right w:val="none" w:sz="0" w:space="0" w:color="auto"/>
                          </w:divBdr>
                          <w:divsChild>
                            <w:div w:id="1553073303">
                              <w:marLeft w:val="0"/>
                              <w:marRight w:val="0"/>
                              <w:marTop w:val="0"/>
                              <w:marBottom w:val="0"/>
                              <w:divBdr>
                                <w:top w:val="none" w:sz="0" w:space="0" w:color="auto"/>
                                <w:left w:val="none" w:sz="0" w:space="0" w:color="auto"/>
                                <w:bottom w:val="none" w:sz="0" w:space="0" w:color="auto"/>
                                <w:right w:val="none" w:sz="0" w:space="0" w:color="auto"/>
                              </w:divBdr>
                              <w:divsChild>
                                <w:div w:id="356270594">
                                  <w:marLeft w:val="0"/>
                                  <w:marRight w:val="0"/>
                                  <w:marTop w:val="0"/>
                                  <w:marBottom w:val="0"/>
                                  <w:divBdr>
                                    <w:top w:val="none" w:sz="0" w:space="0" w:color="auto"/>
                                    <w:left w:val="none" w:sz="0" w:space="0" w:color="auto"/>
                                    <w:bottom w:val="none" w:sz="0" w:space="0" w:color="auto"/>
                                    <w:right w:val="none" w:sz="0" w:space="0" w:color="auto"/>
                                  </w:divBdr>
                                  <w:divsChild>
                                    <w:div w:id="1119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533">
                          <w:marLeft w:val="0"/>
                          <w:marRight w:val="0"/>
                          <w:marTop w:val="0"/>
                          <w:marBottom w:val="0"/>
                          <w:divBdr>
                            <w:top w:val="none" w:sz="0" w:space="0" w:color="auto"/>
                            <w:left w:val="none" w:sz="0" w:space="0" w:color="auto"/>
                            <w:bottom w:val="none" w:sz="0" w:space="0" w:color="auto"/>
                            <w:right w:val="none" w:sz="0" w:space="0" w:color="auto"/>
                          </w:divBdr>
                          <w:divsChild>
                            <w:div w:id="1837915739">
                              <w:marLeft w:val="0"/>
                              <w:marRight w:val="0"/>
                              <w:marTop w:val="0"/>
                              <w:marBottom w:val="0"/>
                              <w:divBdr>
                                <w:top w:val="none" w:sz="0" w:space="0" w:color="auto"/>
                                <w:left w:val="none" w:sz="0" w:space="0" w:color="auto"/>
                                <w:bottom w:val="none" w:sz="0" w:space="0" w:color="auto"/>
                                <w:right w:val="none" w:sz="0" w:space="0" w:color="auto"/>
                              </w:divBdr>
                              <w:divsChild>
                                <w:div w:id="7101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356385">
      <w:bodyDiv w:val="1"/>
      <w:marLeft w:val="0"/>
      <w:marRight w:val="0"/>
      <w:marTop w:val="0"/>
      <w:marBottom w:val="0"/>
      <w:divBdr>
        <w:top w:val="none" w:sz="0" w:space="0" w:color="auto"/>
        <w:left w:val="none" w:sz="0" w:space="0" w:color="auto"/>
        <w:bottom w:val="none" w:sz="0" w:space="0" w:color="auto"/>
        <w:right w:val="none" w:sz="0" w:space="0" w:color="auto"/>
      </w:divBdr>
      <w:divsChild>
        <w:div w:id="2044480522">
          <w:marLeft w:val="0"/>
          <w:marRight w:val="0"/>
          <w:marTop w:val="0"/>
          <w:marBottom w:val="0"/>
          <w:divBdr>
            <w:top w:val="none" w:sz="0" w:space="0" w:color="auto"/>
            <w:left w:val="none" w:sz="0" w:space="0" w:color="auto"/>
            <w:bottom w:val="none" w:sz="0" w:space="0" w:color="auto"/>
            <w:right w:val="none" w:sz="0" w:space="0" w:color="auto"/>
          </w:divBdr>
          <w:divsChild>
            <w:div w:id="2029987315">
              <w:marLeft w:val="0"/>
              <w:marRight w:val="0"/>
              <w:marTop w:val="0"/>
              <w:marBottom w:val="0"/>
              <w:divBdr>
                <w:top w:val="none" w:sz="0" w:space="0" w:color="auto"/>
                <w:left w:val="none" w:sz="0" w:space="0" w:color="auto"/>
                <w:bottom w:val="none" w:sz="0" w:space="0" w:color="auto"/>
                <w:right w:val="none" w:sz="0" w:space="0" w:color="auto"/>
              </w:divBdr>
              <w:divsChild>
                <w:div w:id="771054101">
                  <w:marLeft w:val="0"/>
                  <w:marRight w:val="0"/>
                  <w:marTop w:val="0"/>
                  <w:marBottom w:val="0"/>
                  <w:divBdr>
                    <w:top w:val="none" w:sz="0" w:space="0" w:color="auto"/>
                    <w:left w:val="none" w:sz="0" w:space="0" w:color="auto"/>
                    <w:bottom w:val="none" w:sz="0" w:space="0" w:color="auto"/>
                    <w:right w:val="none" w:sz="0" w:space="0" w:color="auto"/>
                  </w:divBdr>
                  <w:divsChild>
                    <w:div w:id="6007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50418">
          <w:marLeft w:val="0"/>
          <w:marRight w:val="0"/>
          <w:marTop w:val="0"/>
          <w:marBottom w:val="0"/>
          <w:divBdr>
            <w:top w:val="none" w:sz="0" w:space="0" w:color="auto"/>
            <w:left w:val="none" w:sz="0" w:space="0" w:color="auto"/>
            <w:bottom w:val="none" w:sz="0" w:space="0" w:color="auto"/>
            <w:right w:val="none" w:sz="0" w:space="0" w:color="auto"/>
          </w:divBdr>
          <w:divsChild>
            <w:div w:id="1215699558">
              <w:marLeft w:val="0"/>
              <w:marRight w:val="0"/>
              <w:marTop w:val="0"/>
              <w:marBottom w:val="0"/>
              <w:divBdr>
                <w:top w:val="none" w:sz="0" w:space="0" w:color="auto"/>
                <w:left w:val="none" w:sz="0" w:space="0" w:color="auto"/>
                <w:bottom w:val="none" w:sz="0" w:space="0" w:color="auto"/>
                <w:right w:val="none" w:sz="0" w:space="0" w:color="auto"/>
              </w:divBdr>
              <w:divsChild>
                <w:div w:id="1077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427">
      <w:bodyDiv w:val="1"/>
      <w:marLeft w:val="0"/>
      <w:marRight w:val="0"/>
      <w:marTop w:val="0"/>
      <w:marBottom w:val="0"/>
      <w:divBdr>
        <w:top w:val="none" w:sz="0" w:space="0" w:color="auto"/>
        <w:left w:val="none" w:sz="0" w:space="0" w:color="auto"/>
        <w:bottom w:val="none" w:sz="0" w:space="0" w:color="auto"/>
        <w:right w:val="none" w:sz="0" w:space="0" w:color="auto"/>
      </w:divBdr>
      <w:divsChild>
        <w:div w:id="157694299">
          <w:marLeft w:val="0"/>
          <w:marRight w:val="0"/>
          <w:marTop w:val="0"/>
          <w:marBottom w:val="0"/>
          <w:divBdr>
            <w:top w:val="none" w:sz="0" w:space="0" w:color="auto"/>
            <w:left w:val="none" w:sz="0" w:space="0" w:color="auto"/>
            <w:bottom w:val="none" w:sz="0" w:space="0" w:color="auto"/>
            <w:right w:val="none" w:sz="0" w:space="0" w:color="auto"/>
          </w:divBdr>
          <w:divsChild>
            <w:div w:id="1511023506">
              <w:marLeft w:val="0"/>
              <w:marRight w:val="0"/>
              <w:marTop w:val="0"/>
              <w:marBottom w:val="0"/>
              <w:divBdr>
                <w:top w:val="none" w:sz="0" w:space="0" w:color="auto"/>
                <w:left w:val="none" w:sz="0" w:space="0" w:color="auto"/>
                <w:bottom w:val="none" w:sz="0" w:space="0" w:color="auto"/>
                <w:right w:val="none" w:sz="0" w:space="0" w:color="auto"/>
              </w:divBdr>
              <w:divsChild>
                <w:div w:id="85923887">
                  <w:marLeft w:val="0"/>
                  <w:marRight w:val="0"/>
                  <w:marTop w:val="0"/>
                  <w:marBottom w:val="0"/>
                  <w:divBdr>
                    <w:top w:val="none" w:sz="0" w:space="0" w:color="auto"/>
                    <w:left w:val="none" w:sz="0" w:space="0" w:color="auto"/>
                    <w:bottom w:val="none" w:sz="0" w:space="0" w:color="auto"/>
                    <w:right w:val="none" w:sz="0" w:space="0" w:color="auto"/>
                  </w:divBdr>
                  <w:divsChild>
                    <w:div w:id="1578975650">
                      <w:marLeft w:val="0"/>
                      <w:marRight w:val="0"/>
                      <w:marTop w:val="0"/>
                      <w:marBottom w:val="0"/>
                      <w:divBdr>
                        <w:top w:val="none" w:sz="0" w:space="0" w:color="auto"/>
                        <w:left w:val="none" w:sz="0" w:space="0" w:color="auto"/>
                        <w:bottom w:val="none" w:sz="0" w:space="0" w:color="auto"/>
                        <w:right w:val="none" w:sz="0" w:space="0" w:color="auto"/>
                      </w:divBdr>
                      <w:divsChild>
                        <w:div w:id="1299644839">
                          <w:marLeft w:val="0"/>
                          <w:marRight w:val="0"/>
                          <w:marTop w:val="0"/>
                          <w:marBottom w:val="0"/>
                          <w:divBdr>
                            <w:top w:val="none" w:sz="0" w:space="0" w:color="auto"/>
                            <w:left w:val="none" w:sz="0" w:space="0" w:color="auto"/>
                            <w:bottom w:val="none" w:sz="0" w:space="0" w:color="auto"/>
                            <w:right w:val="none" w:sz="0" w:space="0" w:color="auto"/>
                          </w:divBdr>
                          <w:divsChild>
                            <w:div w:id="1058283204">
                              <w:marLeft w:val="0"/>
                              <w:marRight w:val="0"/>
                              <w:marTop w:val="0"/>
                              <w:marBottom w:val="0"/>
                              <w:divBdr>
                                <w:top w:val="none" w:sz="0" w:space="0" w:color="auto"/>
                                <w:left w:val="none" w:sz="0" w:space="0" w:color="auto"/>
                                <w:bottom w:val="none" w:sz="0" w:space="0" w:color="auto"/>
                                <w:right w:val="none" w:sz="0" w:space="0" w:color="auto"/>
                              </w:divBdr>
                              <w:divsChild>
                                <w:div w:id="1335574734">
                                  <w:marLeft w:val="0"/>
                                  <w:marRight w:val="0"/>
                                  <w:marTop w:val="0"/>
                                  <w:marBottom w:val="0"/>
                                  <w:divBdr>
                                    <w:top w:val="none" w:sz="0" w:space="0" w:color="auto"/>
                                    <w:left w:val="none" w:sz="0" w:space="0" w:color="auto"/>
                                    <w:bottom w:val="none" w:sz="0" w:space="0" w:color="auto"/>
                                    <w:right w:val="none" w:sz="0" w:space="0" w:color="auto"/>
                                  </w:divBdr>
                                  <w:divsChild>
                                    <w:div w:id="528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3484">
                          <w:marLeft w:val="0"/>
                          <w:marRight w:val="0"/>
                          <w:marTop w:val="0"/>
                          <w:marBottom w:val="0"/>
                          <w:divBdr>
                            <w:top w:val="none" w:sz="0" w:space="0" w:color="auto"/>
                            <w:left w:val="none" w:sz="0" w:space="0" w:color="auto"/>
                            <w:bottom w:val="none" w:sz="0" w:space="0" w:color="auto"/>
                            <w:right w:val="none" w:sz="0" w:space="0" w:color="auto"/>
                          </w:divBdr>
                          <w:divsChild>
                            <w:div w:id="317535387">
                              <w:marLeft w:val="0"/>
                              <w:marRight w:val="0"/>
                              <w:marTop w:val="0"/>
                              <w:marBottom w:val="0"/>
                              <w:divBdr>
                                <w:top w:val="none" w:sz="0" w:space="0" w:color="auto"/>
                                <w:left w:val="none" w:sz="0" w:space="0" w:color="auto"/>
                                <w:bottom w:val="none" w:sz="0" w:space="0" w:color="auto"/>
                                <w:right w:val="none" w:sz="0" w:space="0" w:color="auto"/>
                              </w:divBdr>
                              <w:divsChild>
                                <w:div w:id="411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391078">
          <w:marLeft w:val="0"/>
          <w:marRight w:val="0"/>
          <w:marTop w:val="0"/>
          <w:marBottom w:val="0"/>
          <w:divBdr>
            <w:top w:val="none" w:sz="0" w:space="0" w:color="auto"/>
            <w:left w:val="none" w:sz="0" w:space="0" w:color="auto"/>
            <w:bottom w:val="none" w:sz="0" w:space="0" w:color="auto"/>
            <w:right w:val="none" w:sz="0" w:space="0" w:color="auto"/>
          </w:divBdr>
          <w:divsChild>
            <w:div w:id="58140181">
              <w:marLeft w:val="0"/>
              <w:marRight w:val="0"/>
              <w:marTop w:val="0"/>
              <w:marBottom w:val="0"/>
              <w:divBdr>
                <w:top w:val="none" w:sz="0" w:space="0" w:color="auto"/>
                <w:left w:val="none" w:sz="0" w:space="0" w:color="auto"/>
                <w:bottom w:val="none" w:sz="0" w:space="0" w:color="auto"/>
                <w:right w:val="none" w:sz="0" w:space="0" w:color="auto"/>
              </w:divBdr>
              <w:divsChild>
                <w:div w:id="515924832">
                  <w:marLeft w:val="0"/>
                  <w:marRight w:val="0"/>
                  <w:marTop w:val="0"/>
                  <w:marBottom w:val="0"/>
                  <w:divBdr>
                    <w:top w:val="none" w:sz="0" w:space="0" w:color="auto"/>
                    <w:left w:val="none" w:sz="0" w:space="0" w:color="auto"/>
                    <w:bottom w:val="none" w:sz="0" w:space="0" w:color="auto"/>
                    <w:right w:val="none" w:sz="0" w:space="0" w:color="auto"/>
                  </w:divBdr>
                  <w:divsChild>
                    <w:div w:id="94325516">
                      <w:marLeft w:val="0"/>
                      <w:marRight w:val="0"/>
                      <w:marTop w:val="0"/>
                      <w:marBottom w:val="0"/>
                      <w:divBdr>
                        <w:top w:val="none" w:sz="0" w:space="0" w:color="auto"/>
                        <w:left w:val="none" w:sz="0" w:space="0" w:color="auto"/>
                        <w:bottom w:val="none" w:sz="0" w:space="0" w:color="auto"/>
                        <w:right w:val="none" w:sz="0" w:space="0" w:color="auto"/>
                      </w:divBdr>
                      <w:divsChild>
                        <w:div w:id="1656492321">
                          <w:marLeft w:val="0"/>
                          <w:marRight w:val="0"/>
                          <w:marTop w:val="0"/>
                          <w:marBottom w:val="0"/>
                          <w:divBdr>
                            <w:top w:val="none" w:sz="0" w:space="0" w:color="auto"/>
                            <w:left w:val="none" w:sz="0" w:space="0" w:color="auto"/>
                            <w:bottom w:val="none" w:sz="0" w:space="0" w:color="auto"/>
                            <w:right w:val="none" w:sz="0" w:space="0" w:color="auto"/>
                          </w:divBdr>
                          <w:divsChild>
                            <w:div w:id="1173757803">
                              <w:marLeft w:val="0"/>
                              <w:marRight w:val="0"/>
                              <w:marTop w:val="0"/>
                              <w:marBottom w:val="0"/>
                              <w:divBdr>
                                <w:top w:val="none" w:sz="0" w:space="0" w:color="auto"/>
                                <w:left w:val="none" w:sz="0" w:space="0" w:color="auto"/>
                                <w:bottom w:val="none" w:sz="0" w:space="0" w:color="auto"/>
                                <w:right w:val="none" w:sz="0" w:space="0" w:color="auto"/>
                              </w:divBdr>
                              <w:divsChild>
                                <w:div w:id="997079136">
                                  <w:marLeft w:val="0"/>
                                  <w:marRight w:val="0"/>
                                  <w:marTop w:val="0"/>
                                  <w:marBottom w:val="0"/>
                                  <w:divBdr>
                                    <w:top w:val="none" w:sz="0" w:space="0" w:color="auto"/>
                                    <w:left w:val="none" w:sz="0" w:space="0" w:color="auto"/>
                                    <w:bottom w:val="none" w:sz="0" w:space="0" w:color="auto"/>
                                    <w:right w:val="none" w:sz="0" w:space="0" w:color="auto"/>
                                  </w:divBdr>
                                  <w:divsChild>
                                    <w:div w:id="16721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9706">
                          <w:marLeft w:val="0"/>
                          <w:marRight w:val="0"/>
                          <w:marTop w:val="0"/>
                          <w:marBottom w:val="0"/>
                          <w:divBdr>
                            <w:top w:val="none" w:sz="0" w:space="0" w:color="auto"/>
                            <w:left w:val="none" w:sz="0" w:space="0" w:color="auto"/>
                            <w:bottom w:val="none" w:sz="0" w:space="0" w:color="auto"/>
                            <w:right w:val="none" w:sz="0" w:space="0" w:color="auto"/>
                          </w:divBdr>
                          <w:divsChild>
                            <w:div w:id="1135489340">
                              <w:marLeft w:val="0"/>
                              <w:marRight w:val="0"/>
                              <w:marTop w:val="0"/>
                              <w:marBottom w:val="0"/>
                              <w:divBdr>
                                <w:top w:val="none" w:sz="0" w:space="0" w:color="auto"/>
                                <w:left w:val="none" w:sz="0" w:space="0" w:color="auto"/>
                                <w:bottom w:val="none" w:sz="0" w:space="0" w:color="auto"/>
                                <w:right w:val="none" w:sz="0" w:space="0" w:color="auto"/>
                              </w:divBdr>
                              <w:divsChild>
                                <w:div w:id="13132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Bhora</dc:creator>
  <cp:keywords/>
  <dc:description/>
  <cp:lastModifiedBy>Hetvi Bhora</cp:lastModifiedBy>
  <cp:revision>7</cp:revision>
  <dcterms:created xsi:type="dcterms:W3CDTF">2025-03-26T07:27:00Z</dcterms:created>
  <dcterms:modified xsi:type="dcterms:W3CDTF">2025-03-26T11:28:00Z</dcterms:modified>
</cp:coreProperties>
</file>