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MADAME,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DÉRIVE DE GOUVERNANCE ET STRATÉGIES D'ÉVITEMENT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dénonce des vices de conception majeurs affectant la salubrité, la sécurité et la viabilité énergétique du bâtiment, ainsi qu'une obstruction systémique visant à épuiser les délais de garantie.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Garantie Décennale et Manœuvres Dilatoires :</w:t>
      </w:r>
      <w:r w:rsidDel="00000000" w:rsidR="00000000" w:rsidRPr="00000000">
        <w:rPr>
          <w:rFonts w:ascii="Google Sans Text" w:cs="Google Sans Text" w:eastAsia="Google Sans Text" w:hAnsi="Google Sans Text"/>
          <w:color w:val="1f1f1f"/>
          <w:rtl w:val="0"/>
        </w:rPr>
        <w:t xml:space="preserve"> L'immeuble a été mis en service à la </w:t>
      </w:r>
      <w:r w:rsidDel="00000000" w:rsidR="00000000" w:rsidRPr="00000000">
        <w:rPr>
          <w:rFonts w:ascii="Google Sans Text" w:cs="Google Sans Text" w:eastAsia="Google Sans Text" w:hAnsi="Google Sans Text"/>
          <w:b w:val="1"/>
          <w:bCs w:val="1"/>
          <w:color w:val="1f1f1f"/>
          <w:rtl w:val="0"/>
        </w:rPr>
        <w:t xml:space="preserve">mi-avril 2019</w:t>
      </w:r>
      <w:r w:rsidDel="00000000" w:rsidR="00000000" w:rsidRPr="00000000">
        <w:rPr>
          <w:rFonts w:ascii="Google Sans Text" w:cs="Google Sans Text" w:eastAsia="Google Sans Text" w:hAnsi="Google Sans Text"/>
          <w:color w:val="1f1f1f"/>
          <w:rtl w:val="0"/>
        </w:rPr>
        <w:t xml:space="preserve">. Bien que la garantie décennale soit toujours en cours, le requérant dénonce une stratégie d'obstruction délibérée. Le promoteur et le Syndic multiplient les interventions superficielles sans suite technique réelle afin de "gagner du temps" et de laisser s'écouler les délais légaux de responsabilité, au mépris de l'intérêt des copropriétaires.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 Problématique de la Contamination Croisée (VMC - Vice Structurel)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 Ce design "7-en-1" provoque des conflits de pressions permanents et une absence d'indépendance sanitaire (violation des normes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 et </w:t>
      </w:r>
      <w:r w:rsidDel="00000000" w:rsidR="00000000" w:rsidRPr="00000000">
        <w:rPr>
          <w:rFonts w:ascii="Google Sans Text" w:cs="Google Sans Text" w:eastAsia="Google Sans Text" w:hAnsi="Google Sans Text"/>
          <w:b w:val="1"/>
          <w:bCs w:val="1"/>
          <w:color w:val="1f1f1f"/>
          <w:rtl w:val="0"/>
        </w:rPr>
        <w:t xml:space="preserve">NIT 258</w:t>
      </w:r>
      <w:r w:rsidDel="00000000" w:rsidR="00000000" w:rsidRPr="00000000">
        <w:rPr>
          <w:rFonts w:ascii="Google Sans Text" w:cs="Google Sans Text" w:eastAsia="Google Sans Text" w:hAnsi="Google Sans Text"/>
          <w:color w:val="1f1f1f"/>
          <w:rtl w:val="0"/>
        </w:rPr>
        <w:t xml:space="preserve">). Le promoteur a admis dès 2021 la recirculation d'air vicié avant de se rétracter par des explications infondées ("inversion des tuyaux"). Ce vice semble partagé par l'ensemble du Lot 2 et du quartier, constituant un enjeu de salubrité publique.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Non-conformité de la Chaudière à Pellets (Filtre Électrostatique) :</w:t>
      </w:r>
      <w:r w:rsidDel="00000000" w:rsidR="00000000" w:rsidRPr="00000000">
        <w:rPr>
          <w:rFonts w:ascii="Google Sans Text" w:cs="Google Sans Text" w:eastAsia="Google Sans Text" w:hAnsi="Google Sans Text"/>
          <w:color w:val="1f1f1f"/>
          <w:rtl w:val="0"/>
        </w:rPr>
        <w:t xml:space="preserve"> L'absence du </w:t>
      </w:r>
      <w:r w:rsidDel="00000000" w:rsidR="00000000" w:rsidRPr="00000000">
        <w:rPr>
          <w:rFonts w:ascii="Google Sans Text" w:cs="Google Sans Text" w:eastAsia="Google Sans Text" w:hAnsi="Google Sans Text"/>
          <w:b w:val="1"/>
          <w:bCs w:val="1"/>
          <w:color w:val="1f1f1f"/>
          <w:rtl w:val="0"/>
        </w:rPr>
        <w:t xml:space="preserve">filtre électrostatique</w:t>
      </w:r>
      <w:r w:rsidDel="00000000" w:rsidR="00000000" w:rsidRPr="00000000">
        <w:rPr>
          <w:rFonts w:ascii="Google Sans Text" w:cs="Google Sans Text" w:eastAsia="Google Sans Text" w:hAnsi="Google Sans Text"/>
          <w:color w:val="1f1f1f"/>
          <w:rtl w:val="0"/>
        </w:rPr>
        <w:t xml:space="preserve">, indispensable et reconnue par </w:t>
      </w:r>
      <w:r w:rsidDel="00000000" w:rsidR="00000000" w:rsidRPr="00000000">
        <w:rPr>
          <w:rFonts w:ascii="Google Sans Text" w:cs="Google Sans Text" w:eastAsia="Google Sans Text" w:hAnsi="Google Sans Text"/>
          <w:b w:val="1"/>
          <w:bCs w:val="1"/>
          <w:color w:val="1f1f1f"/>
          <w:rtl w:val="0"/>
        </w:rPr>
        <w:t xml:space="preserve">Bruxelles Environnement</w:t>
      </w:r>
      <w:r w:rsidDel="00000000" w:rsidR="00000000" w:rsidRPr="00000000">
        <w:rPr>
          <w:rFonts w:ascii="Google Sans Text" w:cs="Google Sans Text" w:eastAsia="Google Sans Text" w:hAnsi="Google Sans Text"/>
          <w:color w:val="1f1f1f"/>
          <w:rtl w:val="0"/>
        </w:rPr>
        <w:t xml:space="preserve"> et l'exploitant </w:t>
      </w:r>
      <w:r w:rsidDel="00000000" w:rsidR="00000000" w:rsidRPr="00000000">
        <w:rPr>
          <w:rFonts w:ascii="Google Sans Text" w:cs="Google Sans Text" w:eastAsia="Google Sans Text" w:hAnsi="Google Sans Text"/>
          <w:b w:val="1"/>
          <w:bCs w:val="1"/>
          <w:color w:val="1f1f1f"/>
          <w:rtl w:val="0"/>
        </w:rPr>
        <w:t xml:space="preserve">Wattmatters</w:t>
      </w:r>
      <w:r w:rsidDel="00000000" w:rsidR="00000000" w:rsidRPr="00000000">
        <w:rPr>
          <w:rFonts w:ascii="Google Sans Text" w:cs="Google Sans Text" w:eastAsia="Google Sans Text" w:hAnsi="Google Sans Text"/>
          <w:color w:val="1f1f1f"/>
          <w:rtl w:val="0"/>
        </w:rPr>
        <w:t xml:space="preserve">, rend l'installation de chauffage durable inutilisable. Ce manquement contractuel force un recours coûteux au gaz, créant un préjudice financier.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Précédent des Eaux Grises (Inertie Historique) :</w:t>
      </w:r>
      <w:r w:rsidDel="00000000" w:rsidR="00000000" w:rsidRPr="00000000">
        <w:rPr>
          <w:rFonts w:ascii="Google Sans Text" w:cs="Google Sans Text" w:eastAsia="Google Sans Text" w:hAnsi="Google Sans Text"/>
          <w:color w:val="1f1f1f"/>
          <w:rtl w:val="0"/>
        </w:rPr>
        <w:t xml:space="preserve"> Le dossier des eaux grises n'a progressé qu'après des années d'immobilisme forcé. Ce précédent confirme que sans une injonction judiciaire ou une pression inter-lots, le promoteur et le syndic ignorent délibérément les vices de fond.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Insalubrité et Risques Sanitaires :</w:t>
      </w:r>
      <w:r w:rsidDel="00000000" w:rsidR="00000000" w:rsidRPr="00000000">
        <w:rPr>
          <w:rFonts w:ascii="Google Sans Text" w:cs="Google Sans Text" w:eastAsia="Google Sans Text" w:hAnsi="Google Sans Text"/>
          <w:color w:val="1f1f1f"/>
          <w:rtl w:val="0"/>
        </w:rPr>
        <w:t xml:space="preserve"> Présence de boues stagnantes et de </w:t>
      </w:r>
      <w:r w:rsidDel="00000000" w:rsidR="00000000" w:rsidRPr="00000000">
        <w:rPr>
          <w:rFonts w:ascii="Google Sans Text" w:cs="Google Sans Text" w:eastAsia="Google Sans Text" w:hAnsi="Google Sans Text"/>
          <w:b w:val="1"/>
          <w:bCs w:val="1"/>
          <w:color w:val="1f1f1f"/>
          <w:rtl w:val="0"/>
        </w:rPr>
        <w:t xml:space="preserve">bactéries anaérobies</w:t>
      </w:r>
      <w:r w:rsidDel="00000000" w:rsidR="00000000" w:rsidRPr="00000000">
        <w:rPr>
          <w:rFonts w:ascii="Google Sans Text" w:cs="Google Sans Text" w:eastAsia="Google Sans Text" w:hAnsi="Google Sans Text"/>
          <w:color w:val="1f1f1f"/>
          <w:rtl w:val="0"/>
        </w:rPr>
        <w:t xml:space="preserve"> sous les dalles à proximité des aspirations VMC. Le Syndic refuse les mesures de nettoyage conservatoires, aggravant le déséquilibre du système par l'empoussièrement.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Multi-couches de la Gouvernance et "Entre-soi" :</w:t>
      </w:r>
      <w:r w:rsidDel="00000000" w:rsidR="00000000" w:rsidRPr="00000000">
        <w:rPr>
          <w:rFonts w:ascii="Google Sans Text" w:cs="Google Sans Text" w:eastAsia="Google Sans Text" w:hAnsi="Google Sans Text"/>
          <w:color w:val="1f1f1f"/>
          <w:rtl w:val="0"/>
        </w:rPr>
        <w:t xml:space="preserve"> Le requérant dénonce une alliance d'intérêts visant à neutraliser toute réclamation technique :</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Répétition des Schémas :</w:t>
      </w:r>
      <w:r w:rsidDel="00000000" w:rsidR="00000000" w:rsidRPr="00000000">
        <w:rPr>
          <w:rFonts w:ascii="Google Sans Text" w:cs="Google Sans Text" w:eastAsia="Google Sans Text" w:hAnsi="Google Sans Text"/>
          <w:color w:val="1f1f1f"/>
          <w:rtl w:val="0"/>
        </w:rPr>
        <w:t xml:space="preserve"> Les blocages observés sous l'ancien syndic (Syncura) se reproduisent à l'identique avec Homeland, malgré les espoirs de transparence portés par le requérant lors du changement de mandataire.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Inégalité de traitement :</w:t>
      </w:r>
      <w:r w:rsidDel="00000000" w:rsidR="00000000" w:rsidRPr="00000000">
        <w:rPr>
          <w:rFonts w:ascii="Google Sans Text" w:cs="Google Sans Text" w:eastAsia="Google Sans Text" w:hAnsi="Google Sans Text"/>
          <w:color w:val="1f1f1f"/>
          <w:rtl w:val="0"/>
        </w:rPr>
        <w:t xml:space="preserve"> Le Syndic privilégie une communication sélective avec certains copropriétaires (notamment du bâtiment B) pour isoler les membres du CDC demandant des comptes, sacrifiant la santé des résidents du bâtiment 2CA.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Illustration de la Carence Opérationnelle (Incident de la Porte) :</w:t>
      </w:r>
      <w:r w:rsidDel="00000000" w:rsidR="00000000" w:rsidRPr="00000000">
        <w:rPr>
          <w:rFonts w:ascii="Google Sans Text" w:cs="Google Sans Text" w:eastAsia="Google Sans Text" w:hAnsi="Google Sans Text"/>
          <w:color w:val="1f1f1f"/>
          <w:rtl w:val="0"/>
        </w:rPr>
        <w:t xml:space="preserve"> La gestion de la porte </w:t>
      </w:r>
      <w:r w:rsidDel="00000000" w:rsidR="00000000" w:rsidRPr="00000000">
        <w:rPr>
          <w:rFonts w:ascii="Google Sans Text" w:cs="Google Sans Text" w:eastAsia="Google Sans Text" w:hAnsi="Google Sans Text"/>
          <w:b w:val="1"/>
          <w:bCs w:val="1"/>
          <w:color w:val="1f1f1f"/>
          <w:rtl w:val="0"/>
        </w:rPr>
        <w:t xml:space="preserve">Andrée de Jongh 15</w:t>
      </w:r>
      <w:r w:rsidDel="00000000" w:rsidR="00000000" w:rsidRPr="00000000">
        <w:rPr>
          <w:rFonts w:ascii="Google Sans Text" w:cs="Google Sans Text" w:eastAsia="Google Sans Text" w:hAnsi="Google Sans Text"/>
          <w:color w:val="1f1f1f"/>
          <w:rtl w:val="0"/>
        </w:rPr>
        <w:t xml:space="preserve"> (octobre-décembre 2025) illustre cet amateurisme. Une intervention défaillante a </w:t>
      </w:r>
      <w:r w:rsidDel="00000000" w:rsidR="00000000" w:rsidRPr="00000000">
        <w:rPr>
          <w:rFonts w:ascii="Google Sans Text" w:cs="Google Sans Text" w:eastAsia="Google Sans Text" w:hAnsi="Google Sans Text"/>
          <w:b w:val="1"/>
          <w:bCs w:val="1"/>
          <w:color w:val="1f1f1f"/>
          <w:rtl w:val="0"/>
        </w:rPr>
        <w:t xml:space="preserve">bloqué l'issue de secours le 15/12/2025</w:t>
      </w:r>
      <w:r w:rsidDel="00000000" w:rsidR="00000000" w:rsidRPr="00000000">
        <w:rPr>
          <w:rFonts w:ascii="Google Sans Text" w:cs="Google Sans Text" w:eastAsia="Google Sans Text" w:hAnsi="Google Sans Text"/>
          <w:color w:val="1f1f1f"/>
          <w:rtl w:val="0"/>
        </w:rPr>
        <w:t xml:space="preserve">, enfermant des résidents et démontrant l'incapacité du Syndic à garantir la sécurité physique élémentaire.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ET JURIDIQUE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Urgence et Garantie :</w:t>
      </w:r>
      <w:r w:rsidDel="00000000" w:rsidR="00000000" w:rsidRPr="00000000">
        <w:rPr>
          <w:rFonts w:ascii="Google Sans Text" w:cs="Google Sans Text" w:eastAsia="Google Sans Text" w:hAnsi="Google Sans Text"/>
          <w:color w:val="1f1f1f"/>
          <w:rtl w:val="0"/>
        </w:rPr>
        <w:t xml:space="preserve"> Nécessité de cristalliser les responsabilités avant la prescription décennale.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Non-conformité VMC :</w:t>
      </w:r>
      <w:r w:rsidDel="00000000" w:rsidR="00000000" w:rsidRPr="00000000">
        <w:rPr>
          <w:rFonts w:ascii="Google Sans Text" w:cs="Google Sans Text" w:eastAsia="Google Sans Text" w:hAnsi="Google Sans Text"/>
          <w:color w:val="1f1f1f"/>
          <w:rtl w:val="0"/>
        </w:rPr>
        <w:t xml:space="preserve"> Violation des règles de l'art et risque de propagation de fumées/odeurs.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Faute de Gestion :</w:t>
      </w:r>
      <w:r w:rsidDel="00000000" w:rsidR="00000000" w:rsidRPr="00000000">
        <w:rPr>
          <w:rFonts w:ascii="Google Sans Text" w:cs="Google Sans Text" w:eastAsia="Google Sans Text" w:hAnsi="Google Sans Text"/>
          <w:color w:val="1f1f1f"/>
          <w:rtl w:val="0"/>
        </w:rPr>
        <w:t xml:space="preserve"> Le refus d'agir contre le promoteur pour des vices avérés (VMC, Filtre) constitue une faute lourde du mandataire.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DEMANDES AU TRIBUNAL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Désignation d'un </w:t>
      </w:r>
      <w:r w:rsidDel="00000000" w:rsidR="00000000" w:rsidRPr="00000000">
        <w:rPr>
          <w:rFonts w:ascii="Google Sans Text" w:cs="Google Sans Text" w:eastAsia="Google Sans Text" w:hAnsi="Google Sans Text"/>
          <w:b w:val="1"/>
          <w:bCs w:val="1"/>
          <w:color w:val="1f1f1f"/>
          <w:rtl w:val="0"/>
        </w:rPr>
        <w:t xml:space="preserve">Expert Judiciaire CVC</w:t>
      </w:r>
      <w:r w:rsidDel="00000000" w:rsidR="00000000" w:rsidRPr="00000000">
        <w:rPr>
          <w:rFonts w:ascii="Google Sans Text" w:cs="Google Sans Text" w:eastAsia="Google Sans Text" w:hAnsi="Google Sans Text"/>
          <w:color w:val="1f1f1f"/>
          <w:rtl w:val="0"/>
        </w:rPr>
        <w:t xml:space="preserve"> avec mission de :</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Analyser la conformité du système 7-en-1</w:t>
      </w:r>
      <w:r w:rsidDel="00000000" w:rsidR="00000000" w:rsidRPr="00000000">
        <w:rPr>
          <w:rFonts w:ascii="Google Sans Text" w:cs="Google Sans Text" w:eastAsia="Google Sans Text" w:hAnsi="Google Sans Text"/>
          <w:color w:val="1f1f1f"/>
          <w:rtl w:val="0"/>
        </w:rPr>
        <w:t xml:space="preserve"> (VMC) et l'impact de la contamination croisée entre logements.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l'absence du filtre électrostatique</w:t>
      </w:r>
      <w:r w:rsidDel="00000000" w:rsidR="00000000" w:rsidRPr="00000000">
        <w:rPr>
          <w:rFonts w:ascii="Google Sans Text" w:cs="Google Sans Text" w:eastAsia="Google Sans Text" w:hAnsi="Google Sans Text"/>
          <w:color w:val="1f1f1f"/>
          <w:rtl w:val="0"/>
        </w:rPr>
        <w:t xml:space="preserve"> et chiffrer le préjudice financier subi par l'ACP.</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l'état de salubrité</w:t>
      </w:r>
      <w:r w:rsidDel="00000000" w:rsidR="00000000" w:rsidRPr="00000000">
        <w:rPr>
          <w:rFonts w:ascii="Google Sans Text" w:cs="Google Sans Text" w:eastAsia="Google Sans Text" w:hAnsi="Google Sans Text"/>
          <w:color w:val="1f1f1f"/>
          <w:rtl w:val="0"/>
        </w:rPr>
        <w:t xml:space="preserve"> des structures (boues, bactéries) et l'obstruction des aspirations.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Prendre acte de la capture de gouvernance</w:t>
      </w:r>
      <w:r w:rsidDel="00000000" w:rsidR="00000000" w:rsidRPr="00000000">
        <w:rPr>
          <w:rFonts w:ascii="Google Sans Text" w:cs="Google Sans Text" w:eastAsia="Google Sans Text" w:hAnsi="Google Sans Text"/>
          <w:color w:val="1f1f1f"/>
          <w:rtl w:val="0"/>
        </w:rPr>
        <w:t xml:space="preserve"> et de l'obstruction systémique ayant empêché la résolution amiable.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du dossier PEB original et des rapports de Wattmatters.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19 Décembre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