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À MONSIEUR LE JUGE DE PAIX DU CANTON DE BRUXELLES (LAEKEN)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REQUÉRANT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M. Dante-Gabryell MONSON, domicilié Rue de Molenbeek 184 bte 17, 1020 Laeken.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CONTRE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L’ASSOCIATION DES COPROPRIÉTAIRES (ACP) TIVOLI LOT 2, représentée par son syndic, la SA HOMELAND IMMO.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SA PARBAM / KAIROS, en sa qualité de promoteur-vendeur.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 DE LA DEMANDE : DÉSIGNATION D'UN EXPERT JUDICIAIRE (Art. 584 et 585 C.J.)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LES FAITS : VICE SYSTÉMIQUE ET OPACITÉ TECHNIQUE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requérant, copropriétaire et membre du Conseil de Copropriété, dénonce un vice de conception majeur affectant le système de ventilation (VMC) du bâtiment 2CA, dont les conséquences sur la salubrité sont graves.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Problématique de la Contamination Croisée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système connecte 7 unités de ventilation individuelles à un conduit vertical commun. Par un phénomène de "conflit de pressions", l'air vicié extrait d'un appartement est refoulé dans les conduits d'air neuf des autres logements, rendant le système impropre à sa destination hygiénique.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Rétention de Documents Essentiels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Malgré plusieurs mises en demeure (août, sept, nov 2025), le Syndic et le Promoteur refusent de produire 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notes de calcul de dynamique des fluides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plans des pressions différentielles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Cette absence de transparence suggère une connaissance du vice par les parties défenderesses.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Impossibilité de Confinement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Les machines ne peuvent être éteintes par l'utilisateur, créant un risque sécuritaire en cas de pollution extérieure majeure (incendie, pollution industrielle).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II. ARGUMENTATION TECHNIQUE (VENTILATION)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L'installation viole les règles de l'art et la norme NBN D 50-001 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Déséquilibre Aéraulique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conduit partagé agit comme un collecteur instable. Lorsqu'un voisin active son mode "boost", la surpression dans le conduit écrase le débit des autres appartements, provoquant une inversion de flux.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Moisissures et Insalubrité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moisissures sont visibles aux entrées du système, témoignant d'un reflux d'air humide et vicié là où l'air devrait être sain.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III. ARGUMENTATION TECHNIQUE (CHAUFFERIE PELLETS)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L'absence de filtre électrostatique (confirmée par l'exploitant Wattmatters en 2022) rend la chaudière biomasse inutilisable au regard du permis d'environnement, causant un préjudice financier (usage forcé du gaz).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IV. DEMANDES AU TRIBUNAL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Vu l'urgence et la nécessité de fixer la preuve avant l'expiration de la garantie décennale, il est demandé au Juge de désigner un Expert Judiciaire CVC avec mission de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Analyser le conflit de pressions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dans la colonne 2CA et vérifier la conformité à la norme NBN D 50-001.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Ordonner la production forcée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notes de calcul aéraulique et du dossier PEB complet.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Vérifier l'état sanitaire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entrées d'air et l'absence de mode "arrêt" sécurisé.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Constater la non-conformité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chaufferie biomasse par manque de filtration.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Dire que les frais d'expertise seront avancés par le Promoteur ou le Syndic pour le compte de l'ACP.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Fait à Laeken, le [Date]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