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LES FAITS : VICE SYSTÉMIQUE ET DÉRIVE DE LA GOUVERNANCE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requérant dénonce un vice de conception majeur affectant le système de ventilation (VMC) du bâtiment 2CA, ainsi qu'une obstruction délibérée et historique à sa résolution.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 Problématique de la Contamination Croisée (Vice Structurel)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 Ce design "7-en-1" provoque des conflits de pressions permanents : l'air vicié d'un appartement est refoulé dans les conduits d'air neuf des autres. L'indépendance sanitaire des logements est inexistante, en violation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de la Note d’Information Technique n° 258.</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Obstruction et Bactéries :</w:t>
      </w:r>
      <w:r w:rsidDel="00000000" w:rsidR="00000000" w:rsidRPr="00000000">
        <w:rPr>
          <w:rFonts w:ascii="Google Sans Text" w:cs="Google Sans Text" w:eastAsia="Google Sans Text" w:hAnsi="Google Sans Text"/>
          <w:color w:val="1f1f1f"/>
          <w:rtl w:val="0"/>
        </w:rPr>
        <w:t xml:space="preserve"> Des boues stagnantes et des </w:t>
      </w:r>
      <w:r w:rsidDel="00000000" w:rsidR="00000000" w:rsidRPr="00000000">
        <w:rPr>
          <w:rFonts w:ascii="Google Sans Text" w:cs="Google Sans Text" w:eastAsia="Google Sans Text" w:hAnsi="Google Sans Text"/>
          <w:b w:val="1"/>
          <w:bCs w:val="1"/>
          <w:color w:val="1f1f1f"/>
          <w:rtl w:val="0"/>
        </w:rPr>
        <w:t xml:space="preserve">bactéries anaérobies</w:t>
      </w:r>
      <w:r w:rsidDel="00000000" w:rsidR="00000000" w:rsidRPr="00000000">
        <w:rPr>
          <w:rFonts w:ascii="Google Sans Text" w:cs="Google Sans Text" w:eastAsia="Google Sans Text" w:hAnsi="Google Sans Text"/>
          <w:color w:val="1f1f1f"/>
          <w:rtl w:val="0"/>
        </w:rPr>
        <w:t xml:space="preserve"> sous les dalles (parties communes). L'entrée d'air est obstruée par la poussière, aggravant le déséquilibre de pression. Le Syndic refuse les mesures conservatoires de nettoyage.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Historique de Manœuvres Dilatoires (Depuis 2021) :</w:t>
      </w:r>
      <w:r w:rsidDel="00000000" w:rsidR="00000000" w:rsidRPr="00000000">
        <w:rPr>
          <w:rFonts w:ascii="Google Sans Text" w:cs="Google Sans Text" w:eastAsia="Google Sans Text" w:hAnsi="Google Sans Text"/>
          <w:color w:val="1f1f1f"/>
          <w:rtl w:val="0"/>
        </w:rPr>
        <w:t xml:space="preserve"> Le promoteur PARBAM/KAIROS et son sous-traitant (Dauvister) ont été formellement alertés dès mai 2021 (courriels joints). Des interventions superficielles ont eu lieu pour "masquer" le problème (tentatives d'équilibrage statique impossible), mais le vice de conception n'a jamais été adressé.</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de la Gouvernance et Collusion :</w:t>
      </w:r>
      <w:r w:rsidDel="00000000" w:rsidR="00000000" w:rsidRPr="00000000">
        <w:rPr>
          <w:rFonts w:ascii="Google Sans Text" w:cs="Google Sans Text" w:eastAsia="Google Sans Text" w:hAnsi="Google Sans Text"/>
          <w:color w:val="1f1f1f"/>
          <w:rtl w:val="0"/>
        </w:rPr>
        <w:t xml:space="preserve"> * Le requérant souligne que ce blocage dure depuis plusieurs années, sous l'ancien syndic comme sous le nouveau (Homeland).</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Malgré le changement de syndic, les mêmes schémas de "capture" se reproduisent : un petit groupe de copropriétaires (notamment du bâtiment B), fonctionnant en "entre-soi", entretient une relation privilégiée avec le syndic.</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Ce groupe influence le syndic pour éviter toute action judiciaire contre le promoteur. Le syndic, en retour, n'accepte que ce groupe comme seul interlocuteur légitime, ignorant les alertes documentées du requérant (pourtant membre du CDC) et des résidents lésés du bâtiment 2CA.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Carence du Syndic :</w:t>
      </w:r>
      <w:r w:rsidDel="00000000" w:rsidR="00000000" w:rsidRPr="00000000">
        <w:rPr>
          <w:rFonts w:ascii="Google Sans Text" w:cs="Google Sans Text" w:eastAsia="Google Sans Text" w:hAnsi="Google Sans Text"/>
          <w:color w:val="1f1f1f"/>
          <w:rtl w:val="0"/>
        </w:rPr>
        <w:t xml:space="preserve"> En se retranchant derrière l'attente d'une Assemblée Générale pour agir sur des questions de salubrité et de garantie décennale, le Syndic Homeland manque à ses obligations légales de conservation (Art. 577-8 C.C.).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(VENTILATION)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Déséquilibre Aéraulique :</w:t>
      </w:r>
      <w:r w:rsidDel="00000000" w:rsidR="00000000" w:rsidRPr="00000000">
        <w:rPr>
          <w:rFonts w:ascii="Google Sans Text" w:cs="Google Sans Text" w:eastAsia="Google Sans Text" w:hAnsi="Google Sans Text"/>
          <w:color w:val="1f1f1f"/>
          <w:rtl w:val="0"/>
        </w:rPr>
        <w:t xml:space="preserve"> Violation des règles de l'art par l'absence de conduits individuels ou de système centralisé régulé (VAV).</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Sécurité :</w:t>
      </w:r>
      <w:r w:rsidDel="00000000" w:rsidR="00000000" w:rsidRPr="00000000">
        <w:rPr>
          <w:rFonts w:ascii="Google Sans Text" w:cs="Google Sans Text" w:eastAsia="Google Sans Text" w:hAnsi="Google Sans Text"/>
          <w:color w:val="1f1f1f"/>
          <w:rtl w:val="0"/>
        </w:rPr>
        <w:t xml:space="preserve"> Impossibilité de confinement en cas de pollution extérieure accidentelle.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III. ARGUMENTATION TECHNIQUE (CHAUFFERIE PELLETS)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Absence de filtre électrostatique, rendant l'installation biomasse inopérante et imposant l'usage du gaz.</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IV. DEMANDES AU TRIBUNAL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Désignation d'un Expert Judiciaire CVC avec mission de :</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Analyser le conflit de pressions</w:t>
      </w:r>
      <w:r w:rsidDel="00000000" w:rsidR="00000000" w:rsidRPr="00000000">
        <w:rPr>
          <w:rFonts w:ascii="Google Sans Text" w:cs="Google Sans Text" w:eastAsia="Google Sans Text" w:hAnsi="Google Sans Text"/>
          <w:color w:val="1f1f1f"/>
          <w:rtl w:val="0"/>
        </w:rPr>
        <w:t xml:space="preserve"> et la conformité du système 7-en-1 sur l'ensemble du Lot 2.</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l'état d'insalubrité</w:t>
      </w:r>
      <w:r w:rsidDel="00000000" w:rsidR="00000000" w:rsidRPr="00000000">
        <w:rPr>
          <w:rFonts w:ascii="Google Sans Text" w:cs="Google Sans Text" w:eastAsia="Google Sans Text" w:hAnsi="Google Sans Text"/>
          <w:color w:val="1f1f1f"/>
          <w:rtl w:val="0"/>
        </w:rPr>
        <w:t xml:space="preserve"> (boues, bactéries, poussière) et l'impact de l'obstruction sur l'aspiration.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originales et du dossier PEB.</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Établir le caractère historique du litige</w:t>
      </w:r>
      <w:r w:rsidDel="00000000" w:rsidR="00000000" w:rsidRPr="00000000">
        <w:rPr>
          <w:rFonts w:ascii="Google Sans Text" w:cs="Google Sans Text" w:eastAsia="Google Sans Text" w:hAnsi="Google Sans Text"/>
          <w:color w:val="1f1f1f"/>
          <w:rtl w:val="0"/>
        </w:rPr>
        <w:t xml:space="preserve"> et confirmer que les interventions passées de PARBAM étaient palliatives et non correctives.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Évaluer la carence de gestion du Syndic</w:t>
      </w:r>
      <w:r w:rsidDel="00000000" w:rsidR="00000000" w:rsidRPr="00000000">
        <w:rPr>
          <w:rFonts w:ascii="Google Sans Text" w:cs="Google Sans Text" w:eastAsia="Google Sans Text" w:hAnsi="Google Sans Text"/>
          <w:color w:val="1f1f1f"/>
          <w:rtl w:val="0"/>
        </w:rPr>
        <w:t xml:space="preserve"> qui, par sa collusion avec une minorité de copropriétaires, a failli à sa mission de protection de l'intérêt général et de la santé des résidents.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Fait à Laeken, le [Date]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