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À MONSIEUR LE JUGE DE PAIX DU CANTON DE BRUXELLES (LAEKEN)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REQUÉRANT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M. Dante-Gabryell MONSON, domicilié Rue de Molenbeek 184 bte 17, 1020 Laeken.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Note : Le requérant est membre élu du Conseil de Copropriété (CDC) du Lot 2.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CONTRE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L’ASSOCIATION DES COPROPRIÉTAIRES (ACP) TIVOLI LOT 2, représentée par son syndic actuel, la SA HOMELAND IMMO.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SA PARBAM / KAIROS, en sa qualité de promoteur-vendeur.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 DE LA DEMANDE : DÉSIGNATION D'UN EXPERT JUDICIAIRE (Art. 584 et 585 C.J.)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I. LES FAITS : VICE SYSTÉMIQUE, DÉRIVE DE GOUVERNANCE ET STRATÉGIES D'ÉVITEMENT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requérant dénonce un vice de conception majeur affectant le système de ventilation (VMC) du bâtiment 2CA, ainsi qu'une obstruction délibérée et historique à sa résolution.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Problématique de la Contamination Croisée (Vice Structurel)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système connecte 7 unités de ventilation individuelles (Zehnder ComfoD 350) à un conduit vertical commun. Ce design "7-en-1" provoque des conflits de pressions permanents. L'indépendance sanitaire des logements est inexistante, en violation des normes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NBN D 50-001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de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 d’Information Technique n° 258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 Systémique (Échelle du Quartier)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 vice n'est pas isolé au bâtiment 2CA mais semble être un défaut de conception structurel partagé par l'ensemble du Lot 2, et potentiellement par les 5 lots composant le quartier "Tivoli Greencity". L'enjeu dépasse le cadre individuel pour devenir une question de salubrité publique à l'échelle du quartier.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Aveu de Faute et Solutions Palliatives (Historique 2021-2024)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L'aveu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 courriel du 7 juin 2021, M. Bentebbouche (BPC/Parbam/Kairos) a admis explicitement la recirculation d'air vicié.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Masquage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lieu de traiter la cause (conduit commun), le promoteur a imposé des solutions "cosmétiques" visant à masquer les symptômes visibles tout en laissant subsister le vice interne.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Gaslighting Technique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promoteur et son sous-traitant (Dauvister/Engie) ont évoqué une "inversion des tuyaux". Le requérant dénonce ici une manœuvre de diversion : plaider l'erreur d'exécution ponctuelle pour éluder la responsabilité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 de conception structurel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(collecteur commun), lequel rend tout équilibrage dynamique impossible par définition physique.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Insalubrité, Obstruction et Bactéries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boues stagnantes et des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bactéries anaérobies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sous les dalles (parties communes). L'entrée d'air est obstruée par la poussière, aggravant le déséquilibre de pression. Le Syndic refuse les mesures conservatoires de nettoyage.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Capture de la Gouvernance et Collusion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Malgré le changement de syndic, les mêmes schémas de blocage persistent. Un "entre-soi" au sein du CDC et de l'AG influence le syndic pour éviter toute action contre le promoteur, au mépris de la santé des résidents du bâtiment 2CA.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II. ARGUMENTATION TECHNIQUE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Ventilation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Non-conformité à la NIT 258. Impossibilité de confinement en cas de pollution extérieure accidentelle (incendie), mettant en péril la vie des occupants.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Chaufferie Pellets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Absence de filtre électrostatique rendant l'installation biomasse inopérante (usage forcé du gaz), constituant un préjudice financier et écologique majeur.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Sécurité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Défaillance critique des accès (porte de secours bloquée le 15/12/2025), illustrant la carence de gestion du Syndic.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III. DEMANDES AU TRIBUNAL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Désignation d'un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Expert Judiciaire CVC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(indépendant du promoteur et du syndic) avec mission de 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Analyser la conformité du système 7-en-1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 l'ensemble du Lot 2 au regard des règles de l'art et des normes NBN.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Trancher entre vice de conception (collecteur) et erreur d'exécution (inversion)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et évaluer si les interventions de 2021 n'étaient pas purement palliatives.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Constater l'état d'insalubrité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 l'impact sanitaire des reflux d'air entre appartements.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Ordonner la production forcée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 notes de calcul aéraulique et du dossier PEB original.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Établir la carence du Syndic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qui, par sa collusion ou son inaction, a failli à sa mission de sauvegarde de la copropriété.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Fait à Laeken, le [Date]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