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À MADAME, MONSIEUR LE JUGE DE PAIX DU CANTON DE BRUXELLES (LAEKEN)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REQUÉRANT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 Dante-Gabryell MONSON, domicilié Rue de Molenbeek 184 bte 17, 1020 Laeken.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Note : Le requérant est membre élu du Conseil de Copropriété (CDC) du Lot 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CONTRE :</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L’ASSOCIATION DES COPROPRIÉTAIRES (ACP) TIVOLI LOT 2, représentée par son syndic actuel, la SA HOMELAND IMMO.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La SA PARBAM / KAIROS, en sa qualité de promoteur-vendeur.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OBJET DE LA DEMANDE : DÉSIGNATION D'UN EXPERT JUDICIAIRE (Art. 584 et 585 C.J.)</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 LES FAITS : VICE SYSTÉMIQUE ET MISE EN DANGER D'AUTRUI</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Le requérant sollicite l'intervention de votre Tribunal face à une situation de blocage structurel mettant en péril la santé et la sécurité des occupants.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Péril sur la Garantie Décennale :</w:t>
      </w:r>
      <w:r w:rsidDel="00000000" w:rsidR="00000000" w:rsidRPr="00000000">
        <w:rPr>
          <w:rFonts w:ascii="Google Sans Text" w:cs="Google Sans Text" w:eastAsia="Google Sans Text" w:hAnsi="Google Sans Text"/>
          <w:color w:val="1f1f1f"/>
          <w:rtl w:val="0"/>
        </w:rPr>
        <w:t xml:space="preserve"> L'immeuble a été mis en service en </w:t>
      </w:r>
      <w:r w:rsidDel="00000000" w:rsidR="00000000" w:rsidRPr="00000000">
        <w:rPr>
          <w:rFonts w:ascii="Google Sans Text" w:cs="Google Sans Text" w:eastAsia="Google Sans Text" w:hAnsi="Google Sans Text"/>
          <w:b w:val="1"/>
          <w:bCs w:val="1"/>
          <w:color w:val="1f1f1f"/>
          <w:rtl w:val="0"/>
        </w:rPr>
        <w:t xml:space="preserve">avril 2019</w:t>
      </w:r>
      <w:r w:rsidDel="00000000" w:rsidR="00000000" w:rsidRPr="00000000">
        <w:rPr>
          <w:rFonts w:ascii="Google Sans Text" w:cs="Google Sans Text" w:eastAsia="Google Sans Text" w:hAnsi="Google Sans Text"/>
          <w:color w:val="1f1f1f"/>
          <w:rtl w:val="0"/>
        </w:rPr>
        <w:t xml:space="preserve">. Le requérant dénonce une stratégie d'obstruction délibérée du promoteur et une passivité du Syndic visant à laisser s'écouler le délai de responsabilité décennale pour des vices structurels majeurs.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Vice de Conception VMC (Contamination Croisée) :</w:t>
      </w:r>
      <w:r w:rsidDel="00000000" w:rsidR="00000000" w:rsidRPr="00000000">
        <w:rPr>
          <w:rFonts w:ascii="Google Sans Text" w:cs="Google Sans Text" w:eastAsia="Google Sans Text" w:hAnsi="Google Sans Text"/>
          <w:color w:val="1f1f1f"/>
          <w:rtl w:val="0"/>
        </w:rPr>
        <w:t xml:space="preserve"> Le système de ventilation connecte 7 unités individuelles (Zehnder ComfoD 350) à un collecteur vertical commun.</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Défaut de "Cellule Pneumatique" :</w:t>
      </w:r>
      <w:r w:rsidDel="00000000" w:rsidR="00000000" w:rsidRPr="00000000">
        <w:rPr>
          <w:rFonts w:ascii="Google Sans Text" w:cs="Google Sans Text" w:eastAsia="Google Sans Text" w:hAnsi="Google Sans Text"/>
          <w:color w:val="1f1f1f"/>
          <w:rtl w:val="0"/>
        </w:rPr>
        <w:t xml:space="preserve"> Ce design viole le principe d'indépendance sanitaire (Norme NBN D 50-001).</w:t>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Impossibilité Physique d'Équilibrage :</w:t>
      </w:r>
      <w:r w:rsidDel="00000000" w:rsidR="00000000" w:rsidRPr="00000000">
        <w:rPr>
          <w:rFonts w:ascii="Google Sans Text" w:cs="Google Sans Text" w:eastAsia="Google Sans Text" w:hAnsi="Google Sans Text"/>
          <w:color w:val="1f1f1f"/>
          <w:rtl w:val="0"/>
        </w:rPr>
        <w:t xml:space="preserve"> Le système crée des conflits de pression permanents. Lorsqu'un voisin active sa ventilation, il sature le conduit commun, provoquant un refoulement d'air vicié (odeurs, polluants) chez les autres (Phénomène de "Stall"). L'argument du promoteur invoquant un simple réglage est une aberration physique dans un système partagé sans régulation centrale.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Insalubrité et Faute de Gestion (Boues et Moisissures) :</w:t>
      </w:r>
      <w:r w:rsidDel="00000000" w:rsidR="00000000" w:rsidRPr="00000000">
        <w:rPr>
          <w:rFonts w:ascii="Google Sans Text" w:cs="Google Sans Text" w:eastAsia="Google Sans Text" w:hAnsi="Google Sans Text"/>
          <w:color w:val="1f1f1f"/>
          <w:rtl w:val="0"/>
        </w:rPr>
        <w:t xml:space="preserve"> Des boues stagnantes et des bactéries anaérobies sont présentes sous les dalles à proximité des aspirations VMC. Le Syndic refuse les mesures conservatoires de nettoyage, aggravant l'insalubrité de l'air aspiré dans les parties privatives.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Non-conformité Énergétique (Filtre Électrostatique) :</w:t>
      </w:r>
      <w:r w:rsidDel="00000000" w:rsidR="00000000" w:rsidRPr="00000000">
        <w:rPr>
          <w:rFonts w:ascii="Google Sans Text" w:cs="Google Sans Text" w:eastAsia="Google Sans Text" w:hAnsi="Google Sans Text"/>
          <w:color w:val="1f1f1f"/>
          <w:rtl w:val="0"/>
        </w:rPr>
        <w:t xml:space="preserve"> L'absence du filtre électrostatique sur la chaudière à pellets rend l'installation inutilisable selon Bruxelles Environnement. Ce manquement force l'usage exclusif du gaz, générant un préjudice financier constant pour l'ACP.</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Urgence Sécuritaire (Incident du 15/12/2025) :</w:t>
      </w:r>
      <w:r w:rsidDel="00000000" w:rsidR="00000000" w:rsidRPr="00000000">
        <w:rPr>
          <w:rFonts w:ascii="Google Sans Text" w:cs="Google Sans Text" w:eastAsia="Google Sans Text" w:hAnsi="Google Sans Text"/>
          <w:color w:val="1f1f1f"/>
          <w:rtl w:val="0"/>
        </w:rPr>
        <w:t xml:space="preserve"> Une intervention de serrurerie défaillante a </w:t>
      </w:r>
      <w:r w:rsidDel="00000000" w:rsidR="00000000" w:rsidRPr="00000000">
        <w:rPr>
          <w:rFonts w:ascii="Google Sans Text" w:cs="Google Sans Text" w:eastAsia="Google Sans Text" w:hAnsi="Google Sans Text"/>
          <w:b w:val="1"/>
          <w:bCs w:val="1"/>
          <w:color w:val="1f1f1f"/>
          <w:rtl w:val="0"/>
        </w:rPr>
        <w:t xml:space="preserve">bloqué l'issue de secours du bâtiment 2D</w:t>
      </w:r>
      <w:r w:rsidDel="00000000" w:rsidR="00000000" w:rsidRPr="00000000">
        <w:rPr>
          <w:rFonts w:ascii="Google Sans Text" w:cs="Google Sans Text" w:eastAsia="Google Sans Text" w:hAnsi="Google Sans Text"/>
          <w:color w:val="1f1f1f"/>
          <w:rtl w:val="0"/>
        </w:rPr>
        <w:t xml:space="preserve">, enfermant les résidents et créant un risque mortel en cas d'incendie. Cet événement démontre l'incapacité du Syndic à assurer la sécurité physique de base.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 ARGUMENTATION JURIDIQUE</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Urgence :</w:t>
      </w:r>
      <w:r w:rsidDel="00000000" w:rsidR="00000000" w:rsidRPr="00000000">
        <w:rPr>
          <w:rFonts w:ascii="Google Sans Text" w:cs="Google Sans Text" w:eastAsia="Google Sans Text" w:hAnsi="Google Sans Text"/>
          <w:color w:val="1f1f1f"/>
          <w:rtl w:val="0"/>
        </w:rPr>
        <w:t xml:space="preserve"> La persistance des risques sanitaires et l'échéance proche de la garantie décennale justifient le référé.</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Carence du Mandataire :</w:t>
      </w:r>
      <w:r w:rsidDel="00000000" w:rsidR="00000000" w:rsidRPr="00000000">
        <w:rPr>
          <w:rFonts w:ascii="Google Sans Text" w:cs="Google Sans Text" w:eastAsia="Google Sans Text" w:hAnsi="Google Sans Text"/>
          <w:color w:val="1f1f1f"/>
          <w:rtl w:val="0"/>
        </w:rPr>
        <w:t xml:space="preserve"> Le Syndic, par son inertie et sa communication sélective privilégiant "l'entre-soi" de certains membres du CDC, manque à son devoir de diligence (Art. 577-8 C.C.).</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III. MISSIONS SOLLICITÉES POUR L'EXPERT JUDICIAIRE</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Vérifier la conformité aéraulique</w:t>
      </w:r>
      <w:r w:rsidDel="00000000" w:rsidR="00000000" w:rsidRPr="00000000">
        <w:rPr>
          <w:rFonts w:ascii="Google Sans Text" w:cs="Google Sans Text" w:eastAsia="Google Sans Text" w:hAnsi="Google Sans Text"/>
          <w:color w:val="1f1f1f"/>
          <w:rtl w:val="0"/>
        </w:rPr>
        <w:t xml:space="preserve"> du système "7-en-1" et confirmer l'existence de contaminations croisées.</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Trancher entre vice de conception (Promoteur)</w:t>
      </w:r>
      <w:r w:rsidDel="00000000" w:rsidR="00000000" w:rsidRPr="00000000">
        <w:rPr>
          <w:rFonts w:ascii="Google Sans Text" w:cs="Google Sans Text" w:eastAsia="Google Sans Text" w:hAnsi="Google Sans Text"/>
          <w:color w:val="1f1f1f"/>
          <w:rtl w:val="0"/>
        </w:rPr>
        <w:t xml:space="preserve"> et défaut d'entretien, tout en analysant l'impossibilité d'un équilibrage statique.</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Constater l'état sanitaire des dalles et collecteurs</w:t>
      </w:r>
      <w:r w:rsidDel="00000000" w:rsidR="00000000" w:rsidRPr="00000000">
        <w:rPr>
          <w:rFonts w:ascii="Google Sans Text" w:cs="Google Sans Text" w:eastAsia="Google Sans Text" w:hAnsi="Google Sans Text"/>
          <w:color w:val="1f1f1f"/>
          <w:rtl w:val="0"/>
        </w:rPr>
        <w:t xml:space="preserve"> (présence de pathogènes).</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Évaluer le préjudice financier</w:t>
      </w:r>
      <w:r w:rsidDel="00000000" w:rsidR="00000000" w:rsidRPr="00000000">
        <w:rPr>
          <w:rFonts w:ascii="Google Sans Text" w:cs="Google Sans Text" w:eastAsia="Google Sans Text" w:hAnsi="Google Sans Text"/>
          <w:color w:val="1f1f1f"/>
          <w:rtl w:val="0"/>
        </w:rPr>
        <w:t xml:space="preserve"> lié à l'absence du filtre électrostatique (surcoût gaz).</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Ordonner la production forcée</w:t>
      </w:r>
      <w:r w:rsidDel="00000000" w:rsidR="00000000" w:rsidRPr="00000000">
        <w:rPr>
          <w:rFonts w:ascii="Google Sans Text" w:cs="Google Sans Text" w:eastAsia="Google Sans Text" w:hAnsi="Google Sans Text"/>
          <w:color w:val="1f1f1f"/>
          <w:rtl w:val="0"/>
        </w:rPr>
        <w:t xml:space="preserve"> des notes de calcul aéraulique et du dossier d'intervention ultérieure (DIU).</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Fait à Laeken, le 19 Décembre 2025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