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MADAME,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DÉRIVE DE GOUVERNANCE ET STRATÉGIES D'ÉVITEMENT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sollicite l'intervention de votre Tribunal face à des vices de conception majeurs affectant la salubrité, la sécurité et la viabilité énergétique du bâtiment, aggravés par une obstruction systémique et une capture de la gouvernance de la copropriété.</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Péril sur la Garantie Décennale et Manœuvres Dilatoires :</w:t>
      </w:r>
      <w:r w:rsidDel="00000000" w:rsidR="00000000" w:rsidRPr="00000000">
        <w:rPr>
          <w:rFonts w:ascii="Google Sans Text" w:cs="Google Sans Text" w:eastAsia="Google Sans Text" w:hAnsi="Google Sans Text"/>
          <w:color w:val="1f1f1f"/>
          <w:rtl w:val="0"/>
        </w:rPr>
        <w:t xml:space="preserve"> L'immeuble a été mis en service à la </w:t>
      </w:r>
      <w:r w:rsidDel="00000000" w:rsidR="00000000" w:rsidRPr="00000000">
        <w:rPr>
          <w:rFonts w:ascii="Google Sans Text" w:cs="Google Sans Text" w:eastAsia="Google Sans Text" w:hAnsi="Google Sans Text"/>
          <w:b w:val="1"/>
          <w:bCs w:val="1"/>
          <w:color w:val="1f1f1f"/>
          <w:rtl w:val="0"/>
        </w:rPr>
        <w:t xml:space="preserve">mi-avril 2019</w:t>
      </w:r>
      <w:r w:rsidDel="00000000" w:rsidR="00000000" w:rsidRPr="00000000">
        <w:rPr>
          <w:rFonts w:ascii="Google Sans Text" w:cs="Google Sans Text" w:eastAsia="Google Sans Text" w:hAnsi="Google Sans Text"/>
          <w:color w:val="1f1f1f"/>
          <w:rtl w:val="0"/>
        </w:rPr>
        <w:t xml:space="preserve">. Le requérant dénonce une stratégie d'obstruction délibérée où le promoteur et le Syndic multiplient les interventions superficielles sans suite technique réelle pour laisser s'écouler les délais légaux de responsabilité décennale.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Vice de Conception VMC (Contamination Croisée)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Défaut de "Cellule Pneumatique" :</w:t>
      </w:r>
      <w:r w:rsidDel="00000000" w:rsidR="00000000" w:rsidRPr="00000000">
        <w:rPr>
          <w:rFonts w:ascii="Google Sans Text" w:cs="Google Sans Text" w:eastAsia="Google Sans Text" w:hAnsi="Google Sans Text"/>
          <w:color w:val="1f1f1f"/>
          <w:rtl w:val="0"/>
        </w:rPr>
        <w:t xml:space="preserve"> Ce design viole le principe d'indépendance sanitaire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Impossibilité Physique d'Équilibrage (Phénomène de "Stall") :</w:t>
      </w:r>
      <w:r w:rsidDel="00000000" w:rsidR="00000000" w:rsidRPr="00000000">
        <w:rPr>
          <w:rFonts w:ascii="Google Sans Text" w:cs="Google Sans Text" w:eastAsia="Google Sans Text" w:hAnsi="Google Sans Text"/>
          <w:color w:val="1f1f1f"/>
          <w:rtl w:val="0"/>
        </w:rPr>
        <w:t xml:space="preserve"> Le système crée des conflits de pressions permanents. Lorsqu'une unité sature le conduit commun, elle provoque un refoulement d'air vicié (odeurs, polluants) chez les voisins. L'argument d'un simple réglage statique est une aberration physique dans un système partagé sans régulation centrale.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Non-conformité de la Chaudière à Pellets (Filtre Électrostatique) :</w:t>
      </w:r>
      <w:r w:rsidDel="00000000" w:rsidR="00000000" w:rsidRPr="00000000">
        <w:rPr>
          <w:rFonts w:ascii="Google Sans Text" w:cs="Google Sans Text" w:eastAsia="Google Sans Text" w:hAnsi="Google Sans Text"/>
          <w:color w:val="1f1f1f"/>
          <w:rtl w:val="0"/>
        </w:rPr>
        <w:t xml:space="preserve"> L'absence du filtre indispensable rend l'installation de chauffage durable inutilisable, forçant un recours coûteux au gaz et créant un préjudice financier constant pour l'ACP.</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de Gouvernance et "Entre-soi" :</w:t>
      </w:r>
      <w:r w:rsidDel="00000000" w:rsidR="00000000" w:rsidRPr="00000000">
        <w:rPr>
          <w:rFonts w:ascii="Google Sans Text" w:cs="Google Sans Text" w:eastAsia="Google Sans Text" w:hAnsi="Google Sans Text"/>
          <w:color w:val="1f1f1f"/>
          <w:rtl w:val="0"/>
        </w:rPr>
        <w:t xml:space="preserve"> Le requérant dénonce une alliance d'intérêts visant à neutraliser toute réclamation technique :</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Répétition des Schémas :</w:t>
      </w:r>
      <w:r w:rsidDel="00000000" w:rsidR="00000000" w:rsidRPr="00000000">
        <w:rPr>
          <w:rFonts w:ascii="Google Sans Text" w:cs="Google Sans Text" w:eastAsia="Google Sans Text" w:hAnsi="Google Sans Text"/>
          <w:color w:val="1f1f1f"/>
          <w:rtl w:val="0"/>
        </w:rPr>
        <w:t xml:space="preserve"> Les blocages observés sous l'ancien syndic (Syncura) se reproduisent à l'identique avec Homeland.</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Inégalité de traitement :</w:t>
      </w:r>
      <w:r w:rsidDel="00000000" w:rsidR="00000000" w:rsidRPr="00000000">
        <w:rPr>
          <w:rFonts w:ascii="Google Sans Text" w:cs="Google Sans Text" w:eastAsia="Google Sans Text" w:hAnsi="Google Sans Text"/>
          <w:color w:val="1f1f1f"/>
          <w:rtl w:val="0"/>
        </w:rPr>
        <w:t xml:space="preserve"> Le Syndic privilégie une communication sélective avec certains copropriétaires pour isoler les membres du CDC demandant des comptes, sacrifiant la santé des résidents du bâtiment 2CA à une gestion de "complaisance" envers le promoteur.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Illustration de la Carence Opérationnelle (Incident de la Porte) :</w:t>
      </w:r>
      <w:r w:rsidDel="00000000" w:rsidR="00000000" w:rsidRPr="00000000">
        <w:rPr>
          <w:rFonts w:ascii="Google Sans Text" w:cs="Google Sans Text" w:eastAsia="Google Sans Text" w:hAnsi="Google Sans Text"/>
          <w:color w:val="1f1f1f"/>
          <w:rtl w:val="0"/>
        </w:rPr>
        <w:t xml:space="preserve"> La gestion de la porte </w:t>
      </w:r>
      <w:r w:rsidDel="00000000" w:rsidR="00000000" w:rsidRPr="00000000">
        <w:rPr>
          <w:rFonts w:ascii="Google Sans Text" w:cs="Google Sans Text" w:eastAsia="Google Sans Text" w:hAnsi="Google Sans Text"/>
          <w:b w:val="1"/>
          <w:bCs w:val="1"/>
          <w:color w:val="1f1f1f"/>
          <w:rtl w:val="0"/>
        </w:rPr>
        <w:t xml:space="preserve">Andrée de Jongh 15 (octobre-décembre 2025)</w:t>
      </w:r>
      <w:r w:rsidDel="00000000" w:rsidR="00000000" w:rsidRPr="00000000">
        <w:rPr>
          <w:rFonts w:ascii="Google Sans Text" w:cs="Google Sans Text" w:eastAsia="Google Sans Text" w:hAnsi="Google Sans Text"/>
          <w:color w:val="1f1f1f"/>
          <w:rtl w:val="0"/>
        </w:rPr>
        <w:t xml:space="preserve"> illustre cet amateurisme. Une intervention défaillante a </w:t>
      </w:r>
      <w:r w:rsidDel="00000000" w:rsidR="00000000" w:rsidRPr="00000000">
        <w:rPr>
          <w:rFonts w:ascii="Google Sans Text" w:cs="Google Sans Text" w:eastAsia="Google Sans Text" w:hAnsi="Google Sans Text"/>
          <w:b w:val="1"/>
          <w:bCs w:val="1"/>
          <w:color w:val="1f1f1f"/>
          <w:rtl w:val="0"/>
        </w:rPr>
        <w:t xml:space="preserve">bloqué l'issue de secours le 15/12/2025</w:t>
      </w:r>
      <w:r w:rsidDel="00000000" w:rsidR="00000000" w:rsidRPr="00000000">
        <w:rPr>
          <w:rFonts w:ascii="Google Sans Text" w:cs="Google Sans Text" w:eastAsia="Google Sans Text" w:hAnsi="Google Sans Text"/>
          <w:color w:val="1f1f1f"/>
          <w:rtl w:val="0"/>
        </w:rPr>
        <w:t xml:space="preserve">, enfermant des résidents et démontrant l'incapacité du Syndic à garantir la sécurité physique élémentaire malgré des semaines d'alertes préalables.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ET JURIDIQUE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Urgence et Garantie :</w:t>
      </w:r>
      <w:r w:rsidDel="00000000" w:rsidR="00000000" w:rsidRPr="00000000">
        <w:rPr>
          <w:rFonts w:ascii="Google Sans Text" w:cs="Google Sans Text" w:eastAsia="Google Sans Text" w:hAnsi="Google Sans Text"/>
          <w:color w:val="1f1f1f"/>
          <w:rtl w:val="0"/>
        </w:rPr>
        <w:t xml:space="preserve"> Nécessité de cristalliser les responsabilités avant la prescription décennale.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Faute de Gestion :</w:t>
      </w:r>
      <w:r w:rsidDel="00000000" w:rsidR="00000000" w:rsidRPr="00000000">
        <w:rPr>
          <w:rFonts w:ascii="Google Sans Text" w:cs="Google Sans Text" w:eastAsia="Google Sans Text" w:hAnsi="Google Sans Text"/>
          <w:color w:val="1f1f1f"/>
          <w:rtl w:val="0"/>
        </w:rPr>
        <w:t xml:space="preserve"> Le refus systématique d'agir contre le promoteur malgré des vices avérés et l'isolement délibéré des conseillers critiques constituent une faute lourde du mandataire (Art. 577-8 C.C.).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DEMANDES AU TRIBUNAL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Désignation d'un </w:t>
      </w:r>
      <w:r w:rsidDel="00000000" w:rsidR="00000000" w:rsidRPr="00000000">
        <w:rPr>
          <w:rFonts w:ascii="Google Sans Text" w:cs="Google Sans Text" w:eastAsia="Google Sans Text" w:hAnsi="Google Sans Text"/>
          <w:b w:val="1"/>
          <w:bCs w:val="1"/>
          <w:color w:val="1f1f1f"/>
          <w:rtl w:val="0"/>
        </w:rPr>
        <w:t xml:space="preserve">Expert Judiciaire indépendant</w:t>
      </w:r>
      <w:r w:rsidDel="00000000" w:rsidR="00000000" w:rsidRPr="00000000">
        <w:rPr>
          <w:rFonts w:ascii="Google Sans Text" w:cs="Google Sans Text" w:eastAsia="Google Sans Text" w:hAnsi="Google Sans Text"/>
          <w:color w:val="1f1f1f"/>
          <w:rtl w:val="0"/>
        </w:rPr>
        <w:t xml:space="preserve"> avec mission de :</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la conformité aéraulique</w:t>
      </w:r>
      <w:r w:rsidDel="00000000" w:rsidR="00000000" w:rsidRPr="00000000">
        <w:rPr>
          <w:rFonts w:ascii="Google Sans Text" w:cs="Google Sans Text" w:eastAsia="Google Sans Text" w:hAnsi="Google Sans Text"/>
          <w:color w:val="1f1f1f"/>
          <w:rtl w:val="0"/>
        </w:rPr>
        <w:t xml:space="preserve"> du système "7-en-1" et confirmer l'existence de contaminations croisées.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l'absence du filtre électrostatique</w:t>
      </w:r>
      <w:r w:rsidDel="00000000" w:rsidR="00000000" w:rsidRPr="00000000">
        <w:rPr>
          <w:rFonts w:ascii="Google Sans Text" w:cs="Google Sans Text" w:eastAsia="Google Sans Text" w:hAnsi="Google Sans Text"/>
          <w:color w:val="1f1f1f"/>
          <w:rtl w:val="0"/>
        </w:rPr>
        <w:t xml:space="preserve"> et chiffrer le préjudice financier (surcoût énergétique).</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l'état de salubrité</w:t>
      </w:r>
      <w:r w:rsidDel="00000000" w:rsidR="00000000" w:rsidRPr="00000000">
        <w:rPr>
          <w:rFonts w:ascii="Google Sans Text" w:cs="Google Sans Text" w:eastAsia="Google Sans Text" w:hAnsi="Google Sans Text"/>
          <w:color w:val="1f1f1f"/>
          <w:rtl w:val="0"/>
        </w:rPr>
        <w:t xml:space="preserve"> des structures (boues, bactéries anaérobies sous dalles).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Prendre acte de l'obstruction systémique</w:t>
      </w:r>
      <w:r w:rsidDel="00000000" w:rsidR="00000000" w:rsidRPr="00000000">
        <w:rPr>
          <w:rFonts w:ascii="Google Sans Text" w:cs="Google Sans Text" w:eastAsia="Google Sans Text" w:hAnsi="Google Sans Text"/>
          <w:color w:val="1f1f1f"/>
          <w:rtl w:val="0"/>
        </w:rPr>
        <w:t xml:space="preserve"> et de la capture de gouvernance ayant empêché toute résolution amiable.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et du Dossier d'Intervention Ultérieure (DIU).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19 Décembre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