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À MADAME, MONSIEUR LE JUGE DE PAIX DU CANTON DE BRUXELLES (LAEKEN)</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REQUÉRANT :</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 Dante-Gabryell MONSON, domicilié Rue de Molenbeek 184 bte 17, 1020 Laeken.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Note : Le requérant est membre élu du Conseil de Copropriété (CDC) du Lot 2.</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CONTRE :</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L’ASSOCIATION DES COPROPRIÉTAIRES (ACP) TIVOLI LOT 2, représentée par son syndic actuel, la SA HOMELAND IMMO.</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La SA PARBAM / KAIROS, en sa qualité de promoteur-vendeur.</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OBJET DE LA DEMANDE : DÉSIGNATION D'UN EXPERT JUDICIAIRE (Art. 584 et 585 C.J.)</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I. LES FAITS : VICE SYSTÉMIQUE, DÉRIVE DE GOUVERNANCE ET STRATÉGIES D'ÉVITEMENT</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Le requérant sollicite l'intervention de votre Tribunal face à des vices de conception majeurs affectant la salubrité, la sécurité et la viabilité énergétique du bâtiment, aggravés par une obstruction systémique et une capture de la gouvernance de la copropriété.</w:t>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Péril sur la Garantie Décennale et Manœuvres Dilatoires :</w:t>
      </w:r>
      <w:r w:rsidDel="00000000" w:rsidR="00000000" w:rsidRPr="00000000">
        <w:rPr>
          <w:rFonts w:ascii="Google Sans Text" w:cs="Google Sans Text" w:eastAsia="Google Sans Text" w:hAnsi="Google Sans Text"/>
          <w:color w:val="1f1f1f"/>
          <w:rtl w:val="0"/>
        </w:rPr>
        <w:t xml:space="preserve"> L'immeuble a été mis en service à la </w:t>
      </w:r>
      <w:r w:rsidDel="00000000" w:rsidR="00000000" w:rsidRPr="00000000">
        <w:rPr>
          <w:rFonts w:ascii="Google Sans Text" w:cs="Google Sans Text" w:eastAsia="Google Sans Text" w:hAnsi="Google Sans Text"/>
          <w:b w:val="1"/>
          <w:bCs w:val="1"/>
          <w:color w:val="1f1f1f"/>
          <w:rtl w:val="0"/>
        </w:rPr>
        <w:t xml:space="preserve">mi-avril 2019</w:t>
      </w:r>
      <w:r w:rsidDel="00000000" w:rsidR="00000000" w:rsidRPr="00000000">
        <w:rPr>
          <w:rFonts w:ascii="Google Sans Text" w:cs="Google Sans Text" w:eastAsia="Google Sans Text" w:hAnsi="Google Sans Text"/>
          <w:color w:val="1f1f1f"/>
          <w:rtl w:val="0"/>
        </w:rPr>
        <w:t xml:space="preserve">. Le requérant dénonce une stratégie d'obstruction délibérée où le promoteur et le Syndic multiplient les interventions superficielles sans suite technique réelle pour laisser s'écouler les délais légaux de responsabilité décennale.</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Vice de Conception VMC (Contamination Croisée et Risque Incendie) :</w:t>
      </w:r>
      <w:r w:rsidDel="00000000" w:rsidR="00000000" w:rsidRPr="00000000">
        <w:rPr>
          <w:rFonts w:ascii="Google Sans Text" w:cs="Google Sans Text" w:eastAsia="Google Sans Text" w:hAnsi="Google Sans Text"/>
          <w:color w:val="1f1f1f"/>
          <w:rtl w:val="0"/>
        </w:rPr>
        <w:t xml:space="preserve"> Le système connecte 7 unités de ventilation individuelles (Zehnder ComfoD 350) à un conduit vertical commun.</w:t>
      </w:r>
    </w:p>
    <w:p w:rsidR="00000000" w:rsidDel="00000000" w:rsidP="00000000" w:rsidRDefault="00000000" w:rsidRPr="00000000" w14:paraId="0000000D">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Violation des Normes (NBN D 50-001 et NIT 258) :</w:t>
      </w:r>
      <w:r w:rsidDel="00000000" w:rsidR="00000000" w:rsidRPr="00000000">
        <w:rPr>
          <w:rFonts w:ascii="Google Sans Text" w:cs="Google Sans Text" w:eastAsia="Google Sans Text" w:hAnsi="Google Sans Text"/>
          <w:color w:val="1f1f1f"/>
          <w:rtl w:val="0"/>
        </w:rPr>
        <w:t xml:space="preserve"> Ce design viole le principe d'indépendance sanitaire. La </w:t>
      </w:r>
      <w:r w:rsidDel="00000000" w:rsidR="00000000" w:rsidRPr="00000000">
        <w:rPr>
          <w:rFonts w:ascii="Google Sans Text" w:cs="Google Sans Text" w:eastAsia="Google Sans Text" w:hAnsi="Google Sans Text"/>
          <w:b w:val="1"/>
          <w:bCs w:val="1"/>
          <w:color w:val="1f1f1f"/>
          <w:rtl w:val="0"/>
        </w:rPr>
        <w:t xml:space="preserve">NIT 258</w:t>
      </w:r>
      <w:r w:rsidDel="00000000" w:rsidR="00000000" w:rsidRPr="00000000">
        <w:rPr>
          <w:rFonts w:ascii="Google Sans Text" w:cs="Google Sans Text" w:eastAsia="Google Sans Text" w:hAnsi="Google Sans Text"/>
          <w:color w:val="1f1f1f"/>
          <w:rtl w:val="0"/>
        </w:rPr>
        <w:t xml:space="preserve"> impose des dispositifs empêchant tout refoulement d'air vicié, ce que la configuration "7-en-1" rend structurellement impossible.</w:t>
      </w:r>
    </w:p>
    <w:p w:rsidR="00000000" w:rsidDel="00000000" w:rsidP="00000000" w:rsidRDefault="00000000" w:rsidRPr="00000000" w14:paraId="0000000E">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Impossibilité Physique d'Équilibrage (Phénomène de "Stall") :</w:t>
      </w:r>
      <w:r w:rsidDel="00000000" w:rsidR="00000000" w:rsidRPr="00000000">
        <w:rPr>
          <w:rFonts w:ascii="Google Sans Text" w:cs="Google Sans Text" w:eastAsia="Google Sans Text" w:hAnsi="Google Sans Text"/>
          <w:color w:val="1f1f1f"/>
          <w:rtl w:val="0"/>
        </w:rPr>
        <w:t xml:space="preserve"> Le système crée des conflits de pressions permanents. Lorsqu'une unité sature le conduit commun, elle provoque un refoulement d'air vicié chez les voisins.</w:t>
      </w:r>
    </w:p>
    <w:p w:rsidR="00000000" w:rsidDel="00000000" w:rsidP="00000000" w:rsidRDefault="00000000" w:rsidRPr="00000000" w14:paraId="0000000F">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Dissimulation du Vice de Fond :</w:t>
      </w:r>
      <w:r w:rsidDel="00000000" w:rsidR="00000000" w:rsidRPr="00000000">
        <w:rPr>
          <w:rFonts w:ascii="Google Sans Text" w:cs="Google Sans Text" w:eastAsia="Google Sans Text" w:hAnsi="Google Sans Text"/>
          <w:color w:val="1f1f1f"/>
          <w:rtl w:val="0"/>
        </w:rPr>
        <w:t xml:space="preserve"> Le promoteur a admis dès 2021 la recirculation d'air vicié, prétextant alors une simple erreur d'exécution ("inversion des conduits"). Le requérant soutient que cette explication constitue une stratégie d'évitement visant à masquer un défaut de conception structurel beaucoup plus lourd, rendant tout réglage de surface inopérant.</w:t>
      </w:r>
    </w:p>
    <w:p w:rsidR="00000000" w:rsidDel="00000000" w:rsidP="00000000" w:rsidRDefault="00000000" w:rsidRPr="00000000" w14:paraId="00000010">
      <w:pPr>
        <w:numPr>
          <w:ilvl w:val="1"/>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Non-conformité Sécurité Incendie :</w:t>
      </w:r>
      <w:r w:rsidDel="00000000" w:rsidR="00000000" w:rsidRPr="00000000">
        <w:rPr>
          <w:rFonts w:ascii="Google Sans Text" w:cs="Google Sans Text" w:eastAsia="Google Sans Text" w:hAnsi="Google Sans Text"/>
          <w:color w:val="1f1f1f"/>
          <w:rtl w:val="0"/>
        </w:rPr>
        <w:t xml:space="preserve"> Le système ne permet pas la coupure de la ventilation individuelle sans impacter la colonne. En cas d'incendie, l'impossibilité de confinement immédiat favorise la propagation des fumées entre appartements par le conduit partagé.</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hd w:fill="auto" w:val="clear"/>
        <w:spacing w:after="0" w:afterAutospacing="0" w:before="12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Non-conformité de la Chaudière à Pellets (Filtre Électrostatique) :</w:t>
      </w:r>
      <w:r w:rsidDel="00000000" w:rsidR="00000000" w:rsidRPr="00000000">
        <w:rPr>
          <w:rFonts w:ascii="Google Sans Text" w:cs="Google Sans Text" w:eastAsia="Google Sans Text" w:hAnsi="Google Sans Text"/>
          <w:color w:val="1f1f1f"/>
          <w:rtl w:val="0"/>
        </w:rPr>
        <w:t xml:space="preserve"> L'absence du filtre indispensable rend l'installation de chauffage durable inutilisable, forçant un recours coûteux au gaz et créant un préjudice financier constant pour l'ACP.</w:t>
      </w:r>
    </w:p>
    <w:p w:rsidR="00000000" w:rsidDel="00000000" w:rsidP="00000000" w:rsidRDefault="00000000" w:rsidRPr="00000000" w14:paraId="00000013">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Capture de Gouvernance et "Entre-soi" :</w:t>
      </w:r>
      <w:r w:rsidDel="00000000" w:rsidR="00000000" w:rsidRPr="00000000">
        <w:rPr>
          <w:rFonts w:ascii="Google Sans Text" w:cs="Google Sans Text" w:eastAsia="Google Sans Text" w:hAnsi="Google Sans Text"/>
          <w:color w:val="1f1f1f"/>
          <w:rtl w:val="0"/>
        </w:rPr>
        <w:t xml:space="preserve"> Le requérant dénonce une alliance d'intérêts neutralisant toute réclamation technique :</w:t>
      </w:r>
    </w:p>
    <w:p w:rsidR="00000000" w:rsidDel="00000000" w:rsidP="00000000" w:rsidRDefault="00000000" w:rsidRPr="00000000" w14:paraId="00000014">
      <w:pPr>
        <w:numPr>
          <w:ilvl w:val="1"/>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Répétition des Schémas :</w:t>
      </w:r>
      <w:r w:rsidDel="00000000" w:rsidR="00000000" w:rsidRPr="00000000">
        <w:rPr>
          <w:rFonts w:ascii="Google Sans Text" w:cs="Google Sans Text" w:eastAsia="Google Sans Text" w:hAnsi="Google Sans Text"/>
          <w:color w:val="1f1f1f"/>
          <w:rtl w:val="0"/>
        </w:rPr>
        <w:t xml:space="preserve"> Les blocages observés sous l'ancien syndic (Syncura) se reproduisent à l'identique avec Homeland.</w:t>
      </w:r>
    </w:p>
    <w:p w:rsidR="00000000" w:rsidDel="00000000" w:rsidP="00000000" w:rsidRDefault="00000000" w:rsidRPr="00000000" w14:paraId="00000015">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Inégalité de traitement :</w:t>
      </w:r>
      <w:r w:rsidDel="00000000" w:rsidR="00000000" w:rsidRPr="00000000">
        <w:rPr>
          <w:rFonts w:ascii="Google Sans Text" w:cs="Google Sans Text" w:eastAsia="Google Sans Text" w:hAnsi="Google Sans Text"/>
          <w:color w:val="1f1f1f"/>
          <w:rtl w:val="0"/>
        </w:rPr>
        <w:t xml:space="preserve"> Le Syndic privilégie une communication sélective pour isoler les membres du CDC critiques, sacrifiant la santé des résidents du bâtiment 2CA à une gestion de "complaisance" envers le promoteur.</w:t>
      </w:r>
    </w:p>
    <w:p w:rsidR="00000000" w:rsidDel="00000000" w:rsidP="00000000" w:rsidRDefault="00000000" w:rsidRPr="00000000" w14:paraId="00000016">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Illustration de la Carence Opérationnelle (Incident de la Porte) :</w:t>
      </w:r>
      <w:r w:rsidDel="00000000" w:rsidR="00000000" w:rsidRPr="00000000">
        <w:rPr>
          <w:rFonts w:ascii="Google Sans Text" w:cs="Google Sans Text" w:eastAsia="Google Sans Text" w:hAnsi="Google Sans Text"/>
          <w:color w:val="1f1f1f"/>
          <w:rtl w:val="0"/>
        </w:rPr>
        <w:t xml:space="preserve"> La gestion de la porte </w:t>
      </w:r>
      <w:r w:rsidDel="00000000" w:rsidR="00000000" w:rsidRPr="00000000">
        <w:rPr>
          <w:rFonts w:ascii="Google Sans Text" w:cs="Google Sans Text" w:eastAsia="Google Sans Text" w:hAnsi="Google Sans Text"/>
          <w:b w:val="1"/>
          <w:bCs w:val="1"/>
          <w:color w:val="1f1f1f"/>
          <w:rtl w:val="0"/>
        </w:rPr>
        <w:t xml:space="preserve">Andrée de Jongh 15 (octobre-décembre 2025)</w:t>
      </w:r>
      <w:r w:rsidDel="00000000" w:rsidR="00000000" w:rsidRPr="00000000">
        <w:rPr>
          <w:rFonts w:ascii="Google Sans Text" w:cs="Google Sans Text" w:eastAsia="Google Sans Text" w:hAnsi="Google Sans Text"/>
          <w:color w:val="1f1f1f"/>
          <w:rtl w:val="0"/>
        </w:rPr>
        <w:t xml:space="preserve"> illustre cet amateurisme. Une intervention défaillante a </w:t>
      </w:r>
      <w:r w:rsidDel="00000000" w:rsidR="00000000" w:rsidRPr="00000000">
        <w:rPr>
          <w:rFonts w:ascii="Google Sans Text" w:cs="Google Sans Text" w:eastAsia="Google Sans Text" w:hAnsi="Google Sans Text"/>
          <w:b w:val="1"/>
          <w:bCs w:val="1"/>
          <w:color w:val="1f1f1f"/>
          <w:rtl w:val="0"/>
        </w:rPr>
        <w:t xml:space="preserve">bloqué l'issue de secours le 15/12/2025</w:t>
      </w:r>
      <w:r w:rsidDel="00000000" w:rsidR="00000000" w:rsidRPr="00000000">
        <w:rPr>
          <w:rFonts w:ascii="Google Sans Text" w:cs="Google Sans Text" w:eastAsia="Google Sans Text" w:hAnsi="Google Sans Text"/>
          <w:color w:val="1f1f1f"/>
          <w:rtl w:val="0"/>
        </w:rPr>
        <w:t xml:space="preserve">, enfermant des résidents et démontrant l'incapacité du Syndic à garantir la sécurité physique élémentaire malgré des mois d'alertes.</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II. ARGUMENTATION TECHNIQUE ET JURIDIQUE</w:t>
      </w:r>
    </w:p>
    <w:p w:rsidR="00000000" w:rsidDel="00000000" w:rsidP="00000000" w:rsidRDefault="00000000" w:rsidRPr="00000000" w14:paraId="00000018">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Urgence et Garantie :</w:t>
      </w:r>
      <w:r w:rsidDel="00000000" w:rsidR="00000000" w:rsidRPr="00000000">
        <w:rPr>
          <w:rFonts w:ascii="Google Sans Text" w:cs="Google Sans Text" w:eastAsia="Google Sans Text" w:hAnsi="Google Sans Text"/>
          <w:color w:val="1f1f1f"/>
          <w:rtl w:val="0"/>
        </w:rPr>
        <w:t xml:space="preserve"> Nécessité de cristalliser les responsabilités avant la prescription décennale.</w:t>
      </w:r>
    </w:p>
    <w:p w:rsidR="00000000" w:rsidDel="00000000" w:rsidP="00000000" w:rsidRDefault="00000000" w:rsidRPr="00000000" w14:paraId="00000019">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Faute de Gestion :</w:t>
      </w:r>
      <w:r w:rsidDel="00000000" w:rsidR="00000000" w:rsidRPr="00000000">
        <w:rPr>
          <w:rFonts w:ascii="Google Sans Text" w:cs="Google Sans Text" w:eastAsia="Google Sans Text" w:hAnsi="Google Sans Text"/>
          <w:color w:val="1f1f1f"/>
          <w:rtl w:val="0"/>
        </w:rPr>
        <w:t xml:space="preserve"> Le refus systématique d'agir contre le promoteur pour des vices avérés constitue une faute lourde du mandataire (Art. 577-8 C.C.).</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III. DEMANDES AU TRIBUNAL</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Désignation d'un </w:t>
      </w:r>
      <w:r w:rsidDel="00000000" w:rsidR="00000000" w:rsidRPr="00000000">
        <w:rPr>
          <w:rFonts w:ascii="Google Sans Text" w:cs="Google Sans Text" w:eastAsia="Google Sans Text" w:hAnsi="Google Sans Text"/>
          <w:b w:val="1"/>
          <w:bCs w:val="1"/>
          <w:color w:val="1f1f1f"/>
          <w:rtl w:val="0"/>
        </w:rPr>
        <w:t xml:space="preserve">Expert Judiciaire indépendant</w:t>
      </w:r>
      <w:r w:rsidDel="00000000" w:rsidR="00000000" w:rsidRPr="00000000">
        <w:rPr>
          <w:rFonts w:ascii="Google Sans Text" w:cs="Google Sans Text" w:eastAsia="Google Sans Text" w:hAnsi="Google Sans Text"/>
          <w:color w:val="1f1f1f"/>
          <w:rtl w:val="0"/>
        </w:rPr>
        <w:t xml:space="preserve"> avec mission de :</w:t>
      </w:r>
    </w:p>
    <w:p w:rsidR="00000000" w:rsidDel="00000000" w:rsidP="00000000" w:rsidRDefault="00000000" w:rsidRPr="00000000" w14:paraId="0000001C">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Vérifier la conformité</w:t>
      </w:r>
      <w:r w:rsidDel="00000000" w:rsidR="00000000" w:rsidRPr="00000000">
        <w:rPr>
          <w:rFonts w:ascii="Google Sans Text" w:cs="Google Sans Text" w:eastAsia="Google Sans Text" w:hAnsi="Google Sans Text"/>
          <w:color w:val="1f1f1f"/>
          <w:rtl w:val="0"/>
        </w:rPr>
        <w:t xml:space="preserve"> du système VMC au regard des normes </w:t>
      </w:r>
      <w:r w:rsidDel="00000000" w:rsidR="00000000" w:rsidRPr="00000000">
        <w:rPr>
          <w:rFonts w:ascii="Google Sans Text" w:cs="Google Sans Text" w:eastAsia="Google Sans Text" w:hAnsi="Google Sans Text"/>
          <w:b w:val="1"/>
          <w:bCs w:val="1"/>
          <w:color w:val="1f1f1f"/>
          <w:rtl w:val="0"/>
        </w:rPr>
        <w:t xml:space="preserve">NBN D 50-001</w:t>
      </w:r>
      <w:r w:rsidDel="00000000" w:rsidR="00000000" w:rsidRPr="00000000">
        <w:rPr>
          <w:rFonts w:ascii="Google Sans Text" w:cs="Google Sans Text" w:eastAsia="Google Sans Text" w:hAnsi="Google Sans Text"/>
          <w:color w:val="1f1f1f"/>
          <w:rtl w:val="0"/>
        </w:rPr>
        <w:t xml:space="preserve"> et </w:t>
      </w:r>
      <w:r w:rsidDel="00000000" w:rsidR="00000000" w:rsidRPr="00000000">
        <w:rPr>
          <w:rFonts w:ascii="Google Sans Text" w:cs="Google Sans Text" w:eastAsia="Google Sans Text" w:hAnsi="Google Sans Text"/>
          <w:b w:val="1"/>
          <w:bCs w:val="1"/>
          <w:color w:val="1f1f1f"/>
          <w:rtl w:val="0"/>
        </w:rPr>
        <w:t xml:space="preserve">NIT 258</w:t>
      </w:r>
      <w:r w:rsidDel="00000000" w:rsidR="00000000" w:rsidRPr="00000000">
        <w:rPr>
          <w:rFonts w:ascii="Google Sans Text" w:cs="Google Sans Text" w:eastAsia="Google Sans Text" w:hAnsi="Google Sans Text"/>
          <w:color w:val="1f1f1f"/>
          <w:rtl w:val="0"/>
        </w:rPr>
        <w:t xml:space="preserve">, confirmer l'existence de contaminations croisées et évaluer le risque de propagation des fumées.</w:t>
      </w:r>
    </w:p>
    <w:p w:rsidR="00000000" w:rsidDel="00000000" w:rsidP="00000000" w:rsidRDefault="00000000" w:rsidRPr="00000000" w14:paraId="0000001D">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Déterminer si les désordres proviennent d'un vice de conception structurel</w:t>
      </w:r>
      <w:r w:rsidDel="00000000" w:rsidR="00000000" w:rsidRPr="00000000">
        <w:rPr>
          <w:rFonts w:ascii="Google Sans Text" w:cs="Google Sans Text" w:eastAsia="Google Sans Text" w:hAnsi="Google Sans Text"/>
          <w:color w:val="1f1f1f"/>
          <w:rtl w:val="0"/>
        </w:rPr>
        <w:t xml:space="preserve"> (système 7-en-1) ou d'erreurs d'exécution ponctuelles.</w:t>
      </w:r>
    </w:p>
    <w:p w:rsidR="00000000" w:rsidDel="00000000" w:rsidP="00000000" w:rsidRDefault="00000000" w:rsidRPr="00000000" w14:paraId="0000001E">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Constater l'absence du filtre électrostatique</w:t>
      </w:r>
      <w:r w:rsidDel="00000000" w:rsidR="00000000" w:rsidRPr="00000000">
        <w:rPr>
          <w:rFonts w:ascii="Google Sans Text" w:cs="Google Sans Text" w:eastAsia="Google Sans Text" w:hAnsi="Google Sans Text"/>
          <w:color w:val="1f1f1f"/>
          <w:rtl w:val="0"/>
        </w:rPr>
        <w:t xml:space="preserve"> et chiffrer le préjudice financier.</w:t>
      </w:r>
    </w:p>
    <w:p w:rsidR="00000000" w:rsidDel="00000000" w:rsidP="00000000" w:rsidRDefault="00000000" w:rsidRPr="00000000" w14:paraId="0000001F">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Vérifier l'état de salubrité</w:t>
      </w:r>
      <w:r w:rsidDel="00000000" w:rsidR="00000000" w:rsidRPr="00000000">
        <w:rPr>
          <w:rFonts w:ascii="Google Sans Text" w:cs="Google Sans Text" w:eastAsia="Google Sans Text" w:hAnsi="Google Sans Text"/>
          <w:color w:val="1f1f1f"/>
          <w:rtl w:val="0"/>
        </w:rPr>
        <w:t xml:space="preserve"> des structures (boues, bactéries anaérobies sous dalles).</w:t>
      </w:r>
    </w:p>
    <w:p w:rsidR="00000000" w:rsidDel="00000000" w:rsidP="00000000" w:rsidRDefault="00000000" w:rsidRPr="00000000" w14:paraId="00000020">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Prendre acte de l'obstruction systémique</w:t>
      </w:r>
      <w:r w:rsidDel="00000000" w:rsidR="00000000" w:rsidRPr="00000000">
        <w:rPr>
          <w:rFonts w:ascii="Google Sans Text" w:cs="Google Sans Text" w:eastAsia="Google Sans Text" w:hAnsi="Google Sans Text"/>
          <w:color w:val="1f1f1f"/>
          <w:rtl w:val="0"/>
        </w:rPr>
        <w:t xml:space="preserve"> et de la capture de gouvernance.</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Fait à Laeken, le 19 Décembre 2025</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