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Mise en Demeure</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Dante</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Addresse: </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Laeken, le 28 Novembre 2025</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 Courrier Recommandé avec Accusé de Réception et Courriel</w:t>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l'attention de :</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Homeland Immo (Gestionnaire : Eva GUERRA)</w:t>
        <w:br w:type="textWrapping"/>
        <w:t xml:space="preserve">Rue de Bretagne, 24, 1200 Woluwé-Saint-Lambert</w:t>
        <w:br w:type="textWrapping"/>
      </w:r>
    </w:p>
    <w:p w:rsidR="00000000" w:rsidDel="00000000" w:rsidP="00000000" w:rsidRDefault="00000000" w:rsidRPr="00000000" w14:paraId="0000000B">
      <w:pPr>
        <w:numPr>
          <w:ilvl w:val="0"/>
          <w:numId w:val="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b w:val="1"/>
          <w:bCs w:val="1"/>
          <w:color w:val="1f1f1f"/>
          <w:rtl w:val="0"/>
        </w:rPr>
        <w:t xml:space="preserve">Cc :</w:t>
      </w:r>
    </w:p>
    <w:p w:rsidR="00000000" w:rsidDel="00000000" w:rsidP="00000000" w:rsidRDefault="00000000" w:rsidRPr="00000000" w14:paraId="0000000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1f1f1f"/>
          <w:rtl w:val="0"/>
        </w:rPr>
        <w:t xml:space="preserve">Membres du Conseil de Copropriété (CDC) de l'ACP Lot 2</w:t>
      </w:r>
    </w:p>
    <w:p w:rsidR="00000000" w:rsidDel="00000000" w:rsidP="00000000" w:rsidRDefault="00000000" w:rsidRPr="00000000" w14:paraId="0000000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1f1f1f"/>
          <w:rtl w:val="0"/>
        </w:rPr>
        <w:t xml:space="preserve">Citydev.brussels (SDRB)</w:t>
      </w:r>
    </w:p>
    <w:p w:rsidR="00000000" w:rsidDel="00000000" w:rsidP="00000000" w:rsidRDefault="00000000" w:rsidRPr="00000000" w14:paraId="0000000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1f1f1f"/>
          <w:rtl w:val="0"/>
        </w:rPr>
        <w:t xml:space="preserve">Wattmatters</w:t>
      </w:r>
      <w:r w:rsidDel="00000000" w:rsidR="00000000" w:rsidRPr="00000000">
        <w:rPr>
          <w:color w:val="1f1f1f"/>
          <w:rtl w:val="0"/>
        </w:rPr>
        <w:t xml:space="preserve"> (Gestionnaire chauffage central)</w:t>
      </w:r>
    </w:p>
    <w:p w:rsidR="00000000" w:rsidDel="00000000" w:rsidP="00000000" w:rsidRDefault="00000000" w:rsidRPr="00000000" w14:paraId="0000000F">
      <w:pPr>
        <w:numPr>
          <w:ilvl w:val="1"/>
          <w:numId w:val="2"/>
        </w:numPr>
        <w:pBdr>
          <w:top w:color="auto" w:space="0" w:sz="0" w:val="none"/>
          <w:bottom w:color="auto" w:space="0" w:sz="0" w:val="none"/>
          <w:right w:color="auto" w:space="0" w:sz="0" w:val="none"/>
          <w:between w:color="auto" w:space="0" w:sz="0" w:val="none"/>
        </w:pBdr>
        <w:spacing w:after="600" w:before="0" w:beforeAutospacing="0" w:lineRule="auto"/>
        <w:ind w:left="1440" w:hanging="360"/>
      </w:pPr>
      <w:r w:rsidDel="00000000" w:rsidR="00000000" w:rsidRPr="00000000">
        <w:rPr>
          <w:b w:val="1"/>
          <w:bCs w:val="1"/>
          <w:color w:val="1f1f1f"/>
          <w:rtl w:val="0"/>
        </w:rPr>
        <w:t xml:space="preserve">Promoteur : Parbam / Kairos</w:t>
      </w:r>
      <w:r w:rsidDel="00000000" w:rsidR="00000000" w:rsidRPr="00000000">
        <w:rPr>
          <w:color w:val="1f1f1f"/>
          <w:rtl w:val="0"/>
        </w:rPr>
        <w:t xml:space="preserve"> (Adresse : Post X Borsbeeksebrug 22 bus 7 2600 Antwerp (Berchem)) , </w:t>
      </w:r>
      <w:r w:rsidDel="00000000" w:rsidR="00000000" w:rsidRPr="00000000">
        <w:rPr>
          <w:b w:val="1"/>
          <w:bCs w:val="1"/>
          <w:color w:val="1f1f1f"/>
          <w:rtl w:val="0"/>
        </w:rPr>
        <w:t xml:space="preserve">Roan Van Boeckel</w:t>
      </w:r>
      <w:r w:rsidDel="00000000" w:rsidR="00000000" w:rsidRPr="00000000">
        <w:rPr>
          <w:color w:val="1f1f1f"/>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Objet : </w:t>
      </w:r>
      <w:r w:rsidDel="00000000" w:rsidR="00000000" w:rsidRPr="00000000">
        <w:rPr>
          <w:b w:val="1"/>
          <w:bCs w:val="1"/>
          <w:color w:val="1f1f1f"/>
          <w:rtl w:val="0"/>
        </w:rPr>
        <w:t xml:space="preserve">MAINTIEN DE MISE EN DEMEURE – Vice de Conception VMC et Exigence d'Extension Immédiate du Mandat d'Expertise (VMC, Chaudière à Pellets, Eaux Grises). - Tivoli GreenCity Lot2</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Madame la Gestionnaire,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Nous avons pris acte de votre courrier et nous réjouissons que l'acte conservatoire visant le réseau des eaux grises ait été engagé (mandat O'Detect), conformément à vos obligations légales (Art. 3.89, §5, 2° C. Civ.).</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Cependant, votre réponse est </w:t>
      </w:r>
      <w:r w:rsidDel="00000000" w:rsidR="00000000" w:rsidRPr="00000000">
        <w:rPr>
          <w:b w:val="1"/>
          <w:bCs w:val="1"/>
          <w:color w:val="1f1f1f"/>
          <w:rtl w:val="0"/>
        </w:rPr>
        <w:t xml:space="preserve">insuffisante</w:t>
      </w:r>
      <w:r w:rsidDel="00000000" w:rsidR="00000000" w:rsidRPr="00000000">
        <w:rPr>
          <w:color w:val="1f1f1f"/>
          <w:rtl w:val="0"/>
        </w:rPr>
        <w:t xml:space="preserve"> et élude l'urgence des vices de conception VMC et Chaudière à Pellets, pour lesquels nous maintenons l'intégralité de nos mises en demeure. L'engagement de la procédure pour les eaux grises confirme d'ailleurs que vous avez le pouvoir d'agir </w:t>
      </w:r>
      <w:r w:rsidDel="00000000" w:rsidR="00000000" w:rsidRPr="00000000">
        <w:rPr>
          <w:b w:val="1"/>
          <w:bCs w:val="1"/>
          <w:color w:val="1f1f1f"/>
          <w:rtl w:val="0"/>
        </w:rPr>
        <w:t xml:space="preserve">sans vote d'AG</w:t>
      </w:r>
      <w:r w:rsidDel="00000000" w:rsidR="00000000" w:rsidRPr="00000000">
        <w:rPr>
          <w:color w:val="1f1f1f"/>
          <w:rtl w:val="0"/>
        </w:rPr>
        <w:t xml:space="preserve"> pour des actes conservatoires.</w:t>
      </w:r>
    </w:p>
    <w:p w:rsidR="00000000" w:rsidDel="00000000" w:rsidP="00000000" w:rsidRDefault="00000000" w:rsidRPr="00000000" w14:paraId="00000014">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oie2oy2uyit" w:id="0"/>
      <w:bookmarkEnd w:id="0"/>
      <w:r w:rsidDel="00000000" w:rsidR="00000000" w:rsidRPr="00000000">
        <w:rPr>
          <w:b w:val="1"/>
          <w:bCs w:val="1"/>
          <w:color w:val="1f1f1f"/>
          <w:sz w:val="34"/>
          <w:szCs w:val="34"/>
          <w:rtl w:val="0"/>
        </w:rPr>
        <w:t xml:space="preserve">I. Inadéquation du Diagnostic Actuel et Urgence Sanitaire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L'étude par test fumigène de O'Detect, bien qu'utile pour confirmer l'étanchéité et les problèmes d'odeurs du réseau d'eaux usées, ne répond en aucune manière au vice structurel du système VMC Double Flux.</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fzoo34mx1mq" w:id="1"/>
      <w:bookmarkEnd w:id="1"/>
      <w:r w:rsidDel="00000000" w:rsidR="00000000" w:rsidRPr="00000000">
        <w:rPr>
          <w:b w:val="1"/>
          <w:bCs w:val="1"/>
          <w:color w:val="1f1f1f"/>
          <w:sz w:val="26"/>
          <w:szCs w:val="26"/>
          <w:rtl w:val="0"/>
        </w:rPr>
        <w:t xml:space="preserve">1. Vice de Conception VMC (Mécanique des Fluides)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vice de conception de la VMC est un problème de </w:t>
      </w:r>
      <w:r w:rsidDel="00000000" w:rsidR="00000000" w:rsidRPr="00000000">
        <w:rPr>
          <w:b w:val="1"/>
          <w:bCs w:val="1"/>
          <w:color w:val="1f1f1f"/>
          <w:rtl w:val="0"/>
        </w:rPr>
        <w:t xml:space="preserve">mécanique des fluides</w:t>
      </w:r>
      <w:r w:rsidDel="00000000" w:rsidR="00000000" w:rsidRPr="00000000">
        <w:rPr>
          <w:color w:val="1f1f1f"/>
          <w:rtl w:val="0"/>
        </w:rPr>
        <w:t xml:space="preserve"> impliquant des contre-pressions chaotiques et une contamination croisée (air vicié dans air neuf), qui menace la salubrité de l'immeuble.</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Non-Conformité Fondamentale :</w:t>
      </w:r>
      <w:r w:rsidDel="00000000" w:rsidR="00000000" w:rsidRPr="00000000">
        <w:rPr>
          <w:color w:val="1f1f1f"/>
          <w:rtl w:val="0"/>
        </w:rPr>
        <w:t xml:space="preserve"> Le choix d'installer des unités VMC </w:t>
      </w:r>
      <w:r w:rsidDel="00000000" w:rsidR="00000000" w:rsidRPr="00000000">
        <w:rPr>
          <w:b w:val="1"/>
          <w:bCs w:val="1"/>
          <w:color w:val="1f1f1f"/>
          <w:rtl w:val="0"/>
        </w:rPr>
        <w:t xml:space="preserve">individuelles</w:t>
      </w:r>
      <w:r w:rsidDel="00000000" w:rsidR="00000000" w:rsidRPr="00000000">
        <w:rPr>
          <w:color w:val="1f1f1f"/>
          <w:rtl w:val="0"/>
        </w:rPr>
        <w:t xml:space="preserve"> impose, par principe technique et conformément à la norme, que chaque machine dispose de </w:t>
      </w:r>
      <w:r w:rsidDel="00000000" w:rsidR="00000000" w:rsidRPr="00000000">
        <w:rPr>
          <w:b w:val="1"/>
          <w:bCs w:val="1"/>
          <w:color w:val="1f1f1f"/>
          <w:rtl w:val="0"/>
        </w:rPr>
        <w:t xml:space="preserve">ses propres conduits d'amenée et d'évacuation d'air séparés</w:t>
      </w:r>
      <w:r w:rsidDel="00000000" w:rsidR="00000000" w:rsidRPr="00000000">
        <w:rPr>
          <w:color w:val="1f1f1f"/>
          <w:rtl w:val="0"/>
        </w:rPr>
        <w:t xml:space="preserve"> et dédiés, de l'appartement jusqu'au terminal de toiture. Le raccordement de ces machines individuelles à des conduits collectifs est la cause directe du "combat des pressions" et de la contamination croisée. </w:t>
        <w:br w:type="textWrapping"/>
        <w:br w:type="textWrapping"/>
        <w:t xml:space="preserve"> Le raccordement collectif de machines individuelles viole la </w:t>
      </w:r>
      <w:r w:rsidDel="00000000" w:rsidR="00000000" w:rsidRPr="00000000">
        <w:rPr>
          <w:b w:val="1"/>
          <w:bCs w:val="1"/>
          <w:color w:val="1f1f1f"/>
          <w:rtl w:val="0"/>
        </w:rPr>
        <w:t xml:space="preserve">NBN D 50-001</w:t>
      </w:r>
      <w:r w:rsidDel="00000000" w:rsidR="00000000" w:rsidRPr="00000000">
        <w:rPr>
          <w:color w:val="1f1f1f"/>
          <w:rtl w:val="0"/>
        </w:rPr>
        <w:t xml:space="preserve"> (principe d'isolation des logements) et le </w:t>
      </w:r>
      <w:r w:rsidDel="00000000" w:rsidR="00000000" w:rsidRPr="00000000">
        <w:rPr>
          <w:b w:val="1"/>
          <w:bCs w:val="1"/>
          <w:color w:val="1f1f1f"/>
          <w:rtl w:val="0"/>
        </w:rPr>
        <w:t xml:space="preserve">Règlement Régional d'Urbanisme (RRU) Titre V</w:t>
      </w:r>
      <w:r w:rsidDel="00000000" w:rsidR="00000000" w:rsidRPr="00000000">
        <w:rPr>
          <w:color w:val="1f1f1f"/>
          <w:rtl w:val="0"/>
        </w:rPr>
        <w:t xml:space="preserve"> (salubrité), car il est la cause directe du "combat des pressions" et de la contamination croisée (air vicié dans air neuf).</w:t>
        <w:br w:type="textWrapping"/>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Vice Dynamique Ignoré :</w:t>
      </w:r>
      <w:r w:rsidDel="00000000" w:rsidR="00000000" w:rsidRPr="00000000">
        <w:rPr>
          <w:color w:val="1f1f1f"/>
          <w:rtl w:val="0"/>
        </w:rPr>
        <w:t xml:space="preserve"> Le test fumigène (statique) ne peut pas détecter ce vice. Seule une expertise basée sur des mesures de débit et de pression (</w:t>
      </w:r>
      <w:r w:rsidDel="00000000" w:rsidR="00000000" w:rsidRPr="00000000">
        <w:rPr>
          <w:b w:val="1"/>
          <w:bCs w:val="1"/>
          <w:color w:val="1f1f1f"/>
          <w:rtl w:val="0"/>
        </w:rPr>
        <w:t xml:space="preserve">Norme NBN EN 14134</w:t>
      </w:r>
      <w:r w:rsidDel="00000000" w:rsidR="00000000" w:rsidRPr="00000000">
        <w:rPr>
          <w:color w:val="1f1f1f"/>
          <w:rtl w:val="0"/>
        </w:rPr>
        <w:t xml:space="preserve">) permet de prouver que les débits hygiéniques requis par la PEB ne sont pas atteints, ce qui justifie l'extension immédiate du mandat à un bureau d'étude CVC spécialisé.</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Priorité et Étendue :</w:t>
      </w:r>
      <w:r w:rsidDel="00000000" w:rsidR="00000000" w:rsidRPr="00000000">
        <w:rPr>
          <w:color w:val="1f1f1f"/>
          <w:rtl w:val="0"/>
        </w:rPr>
        <w:t xml:space="preserve"> Cette expertise doit couvrir en priorité la </w:t>
      </w:r>
      <w:r w:rsidDel="00000000" w:rsidR="00000000" w:rsidRPr="00000000">
        <w:rPr>
          <w:b w:val="1"/>
          <w:bCs w:val="1"/>
          <w:color w:val="1f1f1f"/>
          <w:rtl w:val="0"/>
        </w:rPr>
        <w:t xml:space="preserve">colonne de ventilation VMC du Lot 2 XX</w:t>
      </w:r>
      <w:r w:rsidDel="00000000" w:rsidR="00000000" w:rsidRPr="00000000">
        <w:rPr>
          <w:color w:val="1f1f1f"/>
          <w:rtl w:val="0"/>
        </w:rPr>
        <w:t xml:space="preserve"> et, par extension, toute colonne présentant une configuration similaire au sein de la copropriété.</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Refus Catégorique :</w:t>
      </w:r>
      <w:r w:rsidDel="00000000" w:rsidR="00000000" w:rsidRPr="00000000">
        <w:rPr>
          <w:color w:val="1f1f1f"/>
          <w:rtl w:val="0"/>
        </w:rPr>
        <w:t xml:space="preserve"> Nous vous mettons en garde contre toute proposition de solution palliative du Promoteur (telle que l'installation de simples </w:t>
      </w:r>
      <w:r w:rsidDel="00000000" w:rsidR="00000000" w:rsidRPr="00000000">
        <w:rPr>
          <w:b w:val="1"/>
          <w:bCs w:val="1"/>
          <w:color w:val="1f1f1f"/>
          <w:rtl w:val="0"/>
        </w:rPr>
        <w:t xml:space="preserve">clapets anti-retour</w:t>
      </w:r>
      <w:r w:rsidDel="00000000" w:rsidR="00000000" w:rsidRPr="00000000">
        <w:rPr>
          <w:color w:val="1f1f1f"/>
          <w:rtl w:val="0"/>
        </w:rPr>
        <w:t xml:space="preserve">), qui ne résoudrait ni la contre-pression, ni le risque de contamination, et serait jugée non-conforme.</w:t>
        <w:br w:type="textWrapping"/>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mjabuy2by6h" w:id="2"/>
      <w:bookmarkEnd w:id="2"/>
      <w:r w:rsidDel="00000000" w:rsidR="00000000" w:rsidRPr="00000000">
        <w:rPr>
          <w:b w:val="1"/>
          <w:bCs w:val="1"/>
          <w:color w:val="1f1f1f"/>
          <w:sz w:val="26"/>
          <w:szCs w:val="26"/>
          <w:rtl w:val="0"/>
        </w:rPr>
        <w:t xml:space="preserve">2. Vice de la Chaudière à Pellets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L'absence de </w:t>
      </w:r>
      <w:r w:rsidDel="00000000" w:rsidR="00000000" w:rsidRPr="00000000">
        <w:rPr>
          <w:b w:val="1"/>
          <w:bCs w:val="1"/>
          <w:color w:val="1f1f1f"/>
          <w:rtl w:val="0"/>
        </w:rPr>
        <w:t xml:space="preserve">filtre électrostatique</w:t>
      </w:r>
      <w:r w:rsidDel="00000000" w:rsidR="00000000" w:rsidRPr="00000000">
        <w:rPr>
          <w:color w:val="1f1f1f"/>
          <w:rtl w:val="0"/>
        </w:rPr>
        <w:t xml:space="preserve"> sur la chaudière centrale à pellet est un vice de conception qui rend l'ouvrage impropre à sa destination légale, constituant une violation des </w:t>
      </w:r>
      <w:r w:rsidDel="00000000" w:rsidR="00000000" w:rsidRPr="00000000">
        <w:rPr>
          <w:b w:val="1"/>
          <w:bCs w:val="1"/>
          <w:color w:val="1f1f1f"/>
          <w:rtl w:val="0"/>
        </w:rPr>
        <w:t xml:space="preserve">conditions sectorielles de l'Ordonnance du 5 juin 1997 relative au Permis d’Environnement</w:t>
      </w:r>
      <w:r w:rsidDel="00000000" w:rsidR="00000000" w:rsidRPr="00000000">
        <w:rPr>
          <w:color w:val="1f1f1f"/>
          <w:rtl w:val="0"/>
        </w:rPr>
        <w:t xml:space="preserve"> (exigences d'émissions de particules fines en Région de Bruxelles-Capitale).</w:t>
      </w:r>
    </w:p>
    <w:p w:rsidR="00000000" w:rsidDel="00000000" w:rsidP="00000000" w:rsidRDefault="00000000" w:rsidRPr="00000000" w14:paraId="0000001F">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a7dg812m63z" w:id="3"/>
      <w:bookmarkEnd w:id="3"/>
      <w:r w:rsidDel="00000000" w:rsidR="00000000" w:rsidRPr="00000000">
        <w:rPr>
          <w:b w:val="1"/>
          <w:bCs w:val="1"/>
          <w:color w:val="1f1f1f"/>
          <w:sz w:val="34"/>
          <w:szCs w:val="34"/>
          <w:rtl w:val="0"/>
        </w:rPr>
        <w:t xml:space="preserve">II. Gestion des Dossiers et Antécédents (GES113866)</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L'efficacité commande d'utiliser les outils informatiques disponibles pour consolider tous les éléments, d'autant que le coût de l'expertise est, </w:t>
      </w:r>
      <w:r w:rsidDel="00000000" w:rsidR="00000000" w:rsidRPr="00000000">
        <w:rPr>
          <w:i w:val="1"/>
          <w:iCs w:val="1"/>
          <w:color w:val="1f1f1f"/>
          <w:rtl w:val="0"/>
        </w:rPr>
        <w:t xml:space="preserve">in fine</w:t>
      </w:r>
      <w:r w:rsidDel="00000000" w:rsidR="00000000" w:rsidRPr="00000000">
        <w:rPr>
          <w:color w:val="1f1f1f"/>
          <w:rtl w:val="0"/>
        </w:rPr>
        <w:t xml:space="preserve">, à la charge du Promoteur (Parbam/Kairos).</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Exigence d'Accès :</w:t>
      </w:r>
      <w:r w:rsidDel="00000000" w:rsidR="00000000" w:rsidRPr="00000000">
        <w:rPr>
          <w:color w:val="1f1f1f"/>
          <w:rtl w:val="0"/>
        </w:rPr>
        <w:t xml:space="preserve"> Nous vous demandons de nous fournir </w:t>
      </w:r>
      <w:r w:rsidDel="00000000" w:rsidR="00000000" w:rsidRPr="00000000">
        <w:rPr>
          <w:b w:val="1"/>
          <w:bCs w:val="1"/>
          <w:color w:val="1f1f1f"/>
          <w:rtl w:val="0"/>
        </w:rPr>
        <w:t xml:space="preserve">sans délai</w:t>
      </w:r>
      <w:r w:rsidDel="00000000" w:rsidR="00000000" w:rsidRPr="00000000">
        <w:rPr>
          <w:color w:val="1f1f1f"/>
          <w:rtl w:val="0"/>
        </w:rPr>
        <w:t xml:space="preserve"> un accès complet au dossier </w:t>
      </w:r>
      <w:r w:rsidDel="00000000" w:rsidR="00000000" w:rsidRPr="00000000">
        <w:rPr>
          <w:b w:val="1"/>
          <w:bCs w:val="1"/>
          <w:color w:val="1f1f1f"/>
          <w:rtl w:val="0"/>
        </w:rPr>
        <w:t xml:space="preserve">GES113866</w:t>
      </w:r>
      <w:r w:rsidDel="00000000" w:rsidR="00000000" w:rsidRPr="00000000">
        <w:rPr>
          <w:color w:val="1f1f1f"/>
          <w:rtl w:val="0"/>
        </w:rPr>
        <w:t xml:space="preserve">, conformément à notre droit d'information sur les parties communes.</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Antécédents et Preuve :</w:t>
      </w:r>
      <w:r w:rsidDel="00000000" w:rsidR="00000000" w:rsidRPr="00000000">
        <w:rPr>
          <w:color w:val="1f1f1f"/>
          <w:rtl w:val="0"/>
        </w:rPr>
        <w:t xml:space="preserve"> Nous vous informons qu'il y a déjà eu, suite à un long processus, des </w:t>
      </w:r>
      <w:r w:rsidDel="00000000" w:rsidR="00000000" w:rsidRPr="00000000">
        <w:rPr>
          <w:b w:val="1"/>
          <w:bCs w:val="1"/>
          <w:color w:val="1f1f1f"/>
          <w:rtl w:val="0"/>
        </w:rPr>
        <w:t xml:space="preserve">interventions antérieures et infructueuses de Parbam sur le système VMC</w:t>
      </w:r>
      <w:r w:rsidDel="00000000" w:rsidR="00000000" w:rsidRPr="00000000">
        <w:rPr>
          <w:color w:val="1f1f1f"/>
          <w:rtl w:val="0"/>
        </w:rPr>
        <w:t xml:space="preserve"> (y compris sur la colonne 2XX), qui attestent que le problème est un défaut de conception persistant. Nous exigeons que l'historique complet de ces interventions soit immédiatement versé au dossier.</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Documentation de Conception :</w:t>
      </w:r>
      <w:r w:rsidDel="00000000" w:rsidR="00000000" w:rsidRPr="00000000">
        <w:rPr>
          <w:color w:val="1f1f1f"/>
          <w:rtl w:val="0"/>
        </w:rPr>
        <w:t xml:space="preserve"> Pour encadrer l'expertise, nous exigeons que l'étude ait pour point de départ les </w:t>
      </w:r>
      <w:r w:rsidDel="00000000" w:rsidR="00000000" w:rsidRPr="00000000">
        <w:rPr>
          <w:b w:val="1"/>
          <w:bCs w:val="1"/>
          <w:color w:val="1f1f1f"/>
          <w:rtl w:val="0"/>
        </w:rPr>
        <w:t xml:space="preserve">plans d'exécution PEB</w:t>
      </w:r>
      <w:r w:rsidDel="00000000" w:rsidR="00000000" w:rsidRPr="00000000">
        <w:rPr>
          <w:color w:val="1f1f1f"/>
          <w:rtl w:val="0"/>
        </w:rPr>
        <w:t xml:space="preserve"> et les </w:t>
      </w:r>
      <w:r w:rsidDel="00000000" w:rsidR="00000000" w:rsidRPr="00000000">
        <w:rPr>
          <w:b w:val="1"/>
          <w:bCs w:val="1"/>
          <w:color w:val="1f1f1f"/>
          <w:rtl w:val="0"/>
        </w:rPr>
        <w:t xml:space="preserve">notes de calculs (mécanique des fluides)</w:t>
      </w:r>
      <w:r w:rsidDel="00000000" w:rsidR="00000000" w:rsidRPr="00000000">
        <w:rPr>
          <w:color w:val="1f1f1f"/>
          <w:rtl w:val="0"/>
        </w:rPr>
        <w:t xml:space="preserve"> du cahier des charges.</w:t>
      </w:r>
    </w:p>
    <w:p w:rsidR="00000000" w:rsidDel="00000000" w:rsidP="00000000" w:rsidRDefault="00000000" w:rsidRPr="00000000" w14:paraId="00000025">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o48s4yod79c" w:id="4"/>
      <w:bookmarkEnd w:id="4"/>
      <w:r w:rsidDel="00000000" w:rsidR="00000000" w:rsidRPr="00000000">
        <w:rPr>
          <w:b w:val="1"/>
          <w:bCs w:val="1"/>
          <w:color w:val="1f1f1f"/>
          <w:sz w:val="34"/>
          <w:szCs w:val="34"/>
          <w:rtl w:val="0"/>
        </w:rPr>
        <w:t xml:space="preserve">III. Injonction à l'Action Globale (Délai Maintenu)</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L'urgence est d'aligner la défense de l'ACP sur tous les fronts de la Garantie Décennale </w:t>
      </w:r>
      <w:r w:rsidDel="00000000" w:rsidR="00000000" w:rsidRPr="00000000">
        <w:rPr>
          <w:b w:val="1"/>
          <w:bCs w:val="1"/>
          <w:color w:val="1f1f1f"/>
          <w:rtl w:val="0"/>
        </w:rPr>
        <w:t xml:space="preserve">avant les congés de fin d'année</w:t>
      </w:r>
      <w:r w:rsidDel="00000000" w:rsidR="00000000" w:rsidRPr="00000000">
        <w:rPr>
          <w:color w:val="1f1f1f"/>
          <w:rtl w:val="0"/>
        </w:rPr>
        <w:t xml:space="preserve">, car toute interruption de délai nous serait préjudiciable. Nous confirmons l'envoi des </w:t>
      </w:r>
      <w:r w:rsidDel="00000000" w:rsidR="00000000" w:rsidRPr="00000000">
        <w:rPr>
          <w:b w:val="1"/>
          <w:bCs w:val="1"/>
          <w:color w:val="1f1f1f"/>
          <w:rtl w:val="0"/>
        </w:rPr>
        <w:t xml:space="preserve">mises en demeure par recommandé au Promoteur</w:t>
      </w:r>
      <w:r w:rsidDel="00000000" w:rsidR="00000000" w:rsidRPr="00000000">
        <w:rPr>
          <w:color w:val="1f1f1f"/>
          <w:rtl w:val="0"/>
        </w:rPr>
        <w:t xml:space="preserve"> pour les vices VMC et Chaudière.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Votre action sur les eaux grises nous permet d'exiger l'extension immédiate du mandat pour une procédure globale :</w:t>
        <w:br w:type="textWrapping"/>
        <w:br w:type="textWrapping"/>
        <w:t xml:space="preserve">L'urgence est d'aligner la défense de l'ACP sur tous les fronts de la Garantie Décennale</w:t>
      </w:r>
    </w:p>
    <w:p w:rsidR="00000000" w:rsidDel="00000000" w:rsidP="00000000" w:rsidRDefault="00000000" w:rsidRPr="00000000" w14:paraId="00000029">
      <w:pPr>
        <w:numPr>
          <w:ilvl w:val="0"/>
          <w:numId w:val="3"/>
        </w:numPr>
        <w:pBdr>
          <w:top w:color="auto" w:space="0" w:sz="0" w:val="none"/>
          <w:bottom w:color="auto" w:space="0" w:sz="0" w:val="none"/>
          <w:between w:color="auto" w:space="0" w:sz="0" w:val="none"/>
        </w:pBdr>
        <w:spacing w:after="240" w:before="240" w:lineRule="auto"/>
        <w:ind w:left="720" w:hanging="360"/>
      </w:pPr>
      <w:r w:rsidDel="00000000" w:rsidR="00000000" w:rsidRPr="00000000">
        <w:rPr>
          <w:color w:val="1f1f1f"/>
          <w:rtl w:val="0"/>
        </w:rPr>
        <w:t xml:space="preserve">Nous vous enjoignons de </w:t>
      </w:r>
      <w:r w:rsidDel="00000000" w:rsidR="00000000" w:rsidRPr="00000000">
        <w:rPr>
          <w:b w:val="1"/>
          <w:bCs w:val="1"/>
          <w:color w:val="1f1f1f"/>
          <w:rtl w:val="0"/>
        </w:rPr>
        <w:t xml:space="preserve">procéder immédiatement à l'extension du mandat d'expertise</w:t>
      </w:r>
      <w:r w:rsidDel="00000000" w:rsidR="00000000" w:rsidRPr="00000000">
        <w:rPr>
          <w:color w:val="1f1f1f"/>
          <w:rtl w:val="0"/>
        </w:rPr>
        <w:t xml:space="preserve"> (ou de mandater un bureau d'étude pour un second acte conservatoire) pour couvrir la VMC et la Chaudière à Pellets.</w:t>
      </w:r>
    </w:p>
    <w:p w:rsidR="00000000" w:rsidDel="00000000" w:rsidP="00000000" w:rsidRDefault="00000000" w:rsidRPr="00000000" w14:paraId="0000002A">
      <w:pPr>
        <w:pStyle w:val="Heading3"/>
        <w:keepNext w:val="0"/>
        <w:keepLines w:val="0"/>
        <w:pBdr>
          <w:top w:color="auto" w:space="0" w:sz="0" w:val="none"/>
          <w:bottom w:color="auto" w:space="0" w:sz="0" w:val="none"/>
          <w:between w:color="auto" w:space="0" w:sz="0" w:val="none"/>
        </w:pBdr>
        <w:spacing w:before="280" w:lineRule="auto"/>
        <w:rPr>
          <w:b w:val="1"/>
          <w:bCs w:val="1"/>
          <w:color w:val="1f1f1f"/>
          <w:sz w:val="26"/>
          <w:szCs w:val="26"/>
        </w:rPr>
      </w:pPr>
      <w:bookmarkStart w:colFirst="0" w:colLast="0" w:name="_q74scqit4nz8" w:id="5"/>
      <w:bookmarkEnd w:id="5"/>
      <w:r w:rsidDel="00000000" w:rsidR="00000000" w:rsidRPr="00000000">
        <w:rPr>
          <w:b w:val="1"/>
          <w:bCs w:val="1"/>
          <w:color w:val="1f1f1f"/>
          <w:sz w:val="26"/>
          <w:szCs w:val="26"/>
          <w:rtl w:val="0"/>
        </w:rPr>
        <w:t xml:space="preserve">Exigence de Preuve d'Engagement Avant les Fêtes</w:t>
      </w:r>
    </w:p>
    <w:p w:rsidR="00000000" w:rsidDel="00000000" w:rsidP="00000000" w:rsidRDefault="00000000" w:rsidRPr="00000000" w14:paraId="0000002B">
      <w:pPr>
        <w:pBdr>
          <w:top w:color="auto" w:space="0" w:sz="0" w:val="none"/>
          <w:bottom w:color="auto" w:space="0" w:sz="0" w:val="none"/>
          <w:between w:color="auto" w:space="0" w:sz="0" w:val="none"/>
        </w:pBdr>
        <w:spacing w:after="240" w:before="240" w:lineRule="auto"/>
        <w:rPr>
          <w:color w:val="1f1f1f"/>
        </w:rPr>
      </w:pPr>
      <w:r w:rsidDel="00000000" w:rsidR="00000000" w:rsidRPr="00000000">
        <w:rPr>
          <w:color w:val="1f1f1f"/>
          <w:rtl w:val="0"/>
        </w:rPr>
        <w:t xml:space="preserve">Nous exigeons de recevoir la </w:t>
      </w:r>
      <w:r w:rsidDel="00000000" w:rsidR="00000000" w:rsidRPr="00000000">
        <w:rPr>
          <w:b w:val="1"/>
          <w:bCs w:val="1"/>
          <w:color w:val="1f1f1f"/>
          <w:rtl w:val="0"/>
        </w:rPr>
        <w:t xml:space="preserve">confirmation écrite</w:t>
      </w:r>
      <w:r w:rsidDel="00000000" w:rsidR="00000000" w:rsidRPr="00000000">
        <w:rPr>
          <w:color w:val="1f1f1f"/>
          <w:rtl w:val="0"/>
        </w:rPr>
        <w:t xml:space="preserve"> de la désignation de l'expert et la preuve que le Promoteur (Parbam/Kairos) a été formellement notifié de l'extension de cette expertise au plus tard le </w:t>
      </w:r>
      <w:r w:rsidDel="00000000" w:rsidR="00000000" w:rsidRPr="00000000">
        <w:rPr>
          <w:b w:val="1"/>
          <w:bCs w:val="1"/>
          <w:color w:val="1f1f1f"/>
          <w:rtl w:val="0"/>
        </w:rPr>
        <w:t xml:space="preserve">22 décembre 2025</w:t>
      </w:r>
      <w:r w:rsidDel="00000000" w:rsidR="00000000" w:rsidRPr="00000000">
        <w:rPr>
          <w:color w:val="1f1f1f"/>
          <w:rtl w:val="0"/>
        </w:rPr>
        <w:t xml:space="preserve">.</w:t>
      </w:r>
    </w:p>
    <w:p w:rsidR="00000000" w:rsidDel="00000000" w:rsidP="00000000" w:rsidRDefault="00000000" w:rsidRPr="00000000" w14:paraId="0000002C">
      <w:pPr>
        <w:pBdr>
          <w:top w:color="auto" w:space="0" w:sz="0" w:val="none"/>
          <w:bottom w:color="auto" w:space="0" w:sz="0" w:val="none"/>
          <w:between w:color="auto" w:space="0" w:sz="0" w:val="none"/>
        </w:pBdr>
        <w:spacing w:after="240" w:before="240" w:lineRule="auto"/>
        <w:rPr>
          <w:color w:val="1f1f1f"/>
        </w:rPr>
      </w:pPr>
      <w:r w:rsidDel="00000000" w:rsidR="00000000" w:rsidRPr="00000000">
        <w:rPr>
          <w:color w:val="1f1f1f"/>
          <w:rtl w:val="0"/>
        </w:rPr>
        <w:t xml:space="preserve">Ce premier délai est non négociable et a pour but de </w:t>
      </w:r>
      <w:r w:rsidDel="00000000" w:rsidR="00000000" w:rsidRPr="00000000">
        <w:rPr>
          <w:b w:val="1"/>
          <w:bCs w:val="1"/>
          <w:color w:val="1f1f1f"/>
          <w:rtl w:val="0"/>
        </w:rPr>
        <w:t xml:space="preserve">sécuriser juridiquement l'interruption des délais</w:t>
      </w:r>
      <w:r w:rsidDel="00000000" w:rsidR="00000000" w:rsidRPr="00000000">
        <w:rPr>
          <w:color w:val="1f1f1f"/>
          <w:rtl w:val="0"/>
        </w:rPr>
        <w:t xml:space="preserve"> de la Garantie Décennale avant la période d'inactivité.</w:t>
      </w:r>
    </w:p>
    <w:p w:rsidR="00000000" w:rsidDel="00000000" w:rsidP="00000000" w:rsidRDefault="00000000" w:rsidRPr="00000000" w14:paraId="0000002D">
      <w:pPr>
        <w:pStyle w:val="Heading3"/>
        <w:keepNext w:val="0"/>
        <w:keepLines w:val="0"/>
        <w:pBdr>
          <w:top w:color="auto" w:space="0" w:sz="0" w:val="none"/>
          <w:bottom w:color="auto" w:space="0" w:sz="0" w:val="none"/>
          <w:between w:color="auto" w:space="0" w:sz="0" w:val="none"/>
        </w:pBdr>
        <w:spacing w:before="280" w:lineRule="auto"/>
        <w:rPr>
          <w:b w:val="1"/>
          <w:bCs w:val="1"/>
          <w:color w:val="1f1f1f"/>
          <w:sz w:val="26"/>
          <w:szCs w:val="26"/>
        </w:rPr>
      </w:pPr>
      <w:bookmarkStart w:colFirst="0" w:colLast="0" w:name="_hoky0fgls1xd" w:id="6"/>
      <w:bookmarkEnd w:id="6"/>
      <w:r w:rsidDel="00000000" w:rsidR="00000000" w:rsidRPr="00000000">
        <w:rPr>
          <w:b w:val="1"/>
          <w:bCs w:val="1"/>
          <w:color w:val="1f1f1f"/>
          <w:sz w:val="26"/>
          <w:szCs w:val="26"/>
          <w:rtl w:val="0"/>
        </w:rPr>
        <w:t xml:space="preserve">Délai pour la Transmission de la Documentation</w:t>
      </w:r>
    </w:p>
    <w:p w:rsidR="00000000" w:rsidDel="00000000" w:rsidP="00000000" w:rsidRDefault="00000000" w:rsidRPr="00000000" w14:paraId="0000002E">
      <w:pPr>
        <w:pBdr>
          <w:top w:color="auto" w:space="0" w:sz="0" w:val="none"/>
          <w:bottom w:color="auto" w:space="0" w:sz="0" w:val="none"/>
          <w:between w:color="auto" w:space="0" w:sz="0" w:val="none"/>
        </w:pBdr>
        <w:spacing w:after="240" w:before="240" w:lineRule="auto"/>
        <w:rPr>
          <w:color w:val="1f1f1f"/>
        </w:rPr>
      </w:pPr>
      <w:r w:rsidDel="00000000" w:rsidR="00000000" w:rsidRPr="00000000">
        <w:rPr>
          <w:color w:val="1f1f1f"/>
          <w:rtl w:val="0"/>
        </w:rPr>
        <w:t xml:space="preserve">Compte tenu de la période de vacances de fin d'année et par souci de pragmatisme, nous accordons un délai supplémentaire pour la transmission complète de la documentation technique (plans PEB, notes de calculs, historique) et la planification du début de l'expertise jusqu'au </w:t>
      </w:r>
      <w:r w:rsidDel="00000000" w:rsidR="00000000" w:rsidRPr="00000000">
        <w:rPr>
          <w:b w:val="1"/>
          <w:bCs w:val="1"/>
          <w:color w:val="1f1f1f"/>
          <w:rtl w:val="0"/>
        </w:rPr>
        <w:t xml:space="preserve">16 janvier 2026</w:t>
      </w:r>
      <w:r w:rsidDel="00000000" w:rsidR="00000000" w:rsidRPr="00000000">
        <w:rPr>
          <w:color w:val="1f1f1f"/>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À défaut de preuve de </w:t>
      </w:r>
      <w:r w:rsidDel="00000000" w:rsidR="00000000" w:rsidRPr="00000000">
        <w:rPr>
          <w:b w:val="1"/>
          <w:bCs w:val="1"/>
          <w:color w:val="1f1f1f"/>
          <w:rtl w:val="0"/>
        </w:rPr>
        <w:t xml:space="preserve">bonne volonté manifestée par l'engagement immédiat de cette extension</w:t>
      </w:r>
      <w:r w:rsidDel="00000000" w:rsidR="00000000" w:rsidRPr="00000000">
        <w:rPr>
          <w:color w:val="1f1f1f"/>
          <w:rtl w:val="0"/>
        </w:rPr>
        <w:t xml:space="preserve">, nous saisirons le </w:t>
      </w:r>
      <w:r w:rsidDel="00000000" w:rsidR="00000000" w:rsidRPr="00000000">
        <w:rPr>
          <w:b w:val="1"/>
          <w:bCs w:val="1"/>
          <w:color w:val="1f1f1f"/>
          <w:rtl w:val="0"/>
        </w:rPr>
        <w:t xml:space="preserve">Juge de Paix</w:t>
      </w:r>
      <w:r w:rsidDel="00000000" w:rsidR="00000000" w:rsidRPr="00000000">
        <w:rPr>
          <w:color w:val="1f1f1f"/>
          <w:rtl w:val="0"/>
        </w:rPr>
        <w:t xml:space="preserve"> pour :</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Désignation Judiciaire d'un Expert</w:t>
      </w:r>
      <w:r w:rsidDel="00000000" w:rsidR="00000000" w:rsidRPr="00000000">
        <w:rPr>
          <w:color w:val="1f1f1f"/>
          <w:rtl w:val="0"/>
        </w:rPr>
        <w:t xml:space="preserve"> pour les vices non couverts.</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Constatation de votre </w:t>
      </w:r>
      <w:r w:rsidDel="00000000" w:rsidR="00000000" w:rsidRPr="00000000">
        <w:rPr>
          <w:b w:val="1"/>
          <w:bCs w:val="1"/>
          <w:color w:val="1f1f1f"/>
          <w:rtl w:val="0"/>
        </w:rPr>
        <w:t xml:space="preserve">carence et révocation</w:t>
      </w:r>
      <w:r w:rsidDel="00000000" w:rsidR="00000000" w:rsidRPr="00000000">
        <w:rPr>
          <w:color w:val="1f1f1f"/>
          <w:rtl w:val="0"/>
        </w:rPr>
        <w:t xml:space="preserve"> pour faute de gestion, en vous tenant responsable des frais de justice induits par votre inertie.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Veuillez agréer, Madame la Gestionnaire, l'expression de nos salutations distinguées.</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Dante</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