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( données et modes de calcul à vérifier ) </w:t>
      </w:r>
      <w:r w:rsidDel="00000000" w:rsidR="00000000" w:rsidRPr="00000000">
        <w:rPr>
          <w:rtl w:val="0"/>
        </w:rPr>
        <w:br w:type="textWrapping"/>
        <w:br w:type="textWrapping"/>
        <w:t xml:space="preserve">NOTE TECHNIQUE &amp; MÉTHODOLOGIQUE : MODÉLISATION SPATIALE H3 (RNP 07L)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MAILLAGE SPATIAL &amp; COUVERTURE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Système géodésique : Uber H3 Discrete Global Grid System (Résolutions 8 et 9).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Emprise géographique : Corridor d'approche Piste 07L / RNP (Evere, Schaerbeek, Laeken, Molenbeek-Saint-Jean).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Centrage acoustique : Ancrage sur les stations régionales certifiées BXL_Usin (Laken) et MSJ_Vdbg (Molenbeek).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Population impactée : 133.829 résidents situés dans les cellules H3 directement sous l'isophone de crête SEL &gt; 70-85 dB(A). (Source population : Statbel / Census urbain Bruxelles-Capitale).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HYPOTHÈSES DE DÉPRÉCIATION IMMOBILIÈRE (CAPITAL FONCIER)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Méthode : Modèle de prix hédonique appliqué au parc résidentiel sous le couloir 07L.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Taux de dépréciation (NSDI - Noise Sensitivity Depreciation Index) : 1,5 % à 2,2 % de perte de valeur foncière par tranche de 1 dB(A) au-dessus du seuil de confort de 55 dB Lden.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Valorisation globale : Capital foncier exposé évalué à ~155-200 Milliards €, générant une dépréciation nette accumulée estimée à 3,40 Milliards d'euros sur la zone d'impact 07L.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Sources : Études CE Delft / Commission Européenne (Economic values of environmental impacts in the aviation sector) et registres fonciers régionaux.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HYPOTHÈSES DU PRÉJUDICE DE SANTÉ PUBLIQUE (CHARGE DALY / OMS)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Indicateur : DALY (Disability-Adjusted Life Years / Années de vie ajustées sur l'incapacité).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Facteurs de risque modélisés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* Perturbation séchante du sommeil (High Sleep Disturbance - HSD).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 Risque cardiovasculaire accru et gêne majeure (High Annoyance - HA).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Monétarisation OMS / UE : Valeur d'une année DALY fixée entre 70.000 € et 100.000 € selon les barèmes de la Commission européenne pour les impacts environnementaux sanitaires.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Préjudice annuel calculé : 169,96 Millions d'euros/an pour les 133.829 habitants exposés aux déviations répétées sur la 07L.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Sources : Lignes directrices de l'OMS sur le bruit de l'environnement (WHO Environmental Noise Guidelines for the European Region) et données de survol nocturnal Mode-S EHS.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