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Maître,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i w:val="1"/>
          <w:iCs w:val="1"/>
          <w:color w:val="1f1f1f"/>
          <w:sz w:val="16"/>
          <w:szCs w:val="16"/>
        </w:rPr>
      </w:pPr>
      <w:r w:rsidDel="00000000" w:rsidR="00000000" w:rsidRPr="00000000">
        <w:rPr>
          <w:color w:val="1f1f1f"/>
          <w:rtl w:val="0"/>
        </w:rPr>
        <w:t xml:space="preserve">Je sollicite votre expertise pour une intervention urgente (procédure de référé/suspension) concernant l'ACP Tivoli Lot 2 à Bruxelles. Nous faisons face à une tentative de spoliation orchestrée par le syndic </w:t>
      </w:r>
      <w:r w:rsidDel="00000000" w:rsidR="00000000" w:rsidRPr="00000000">
        <w:rPr>
          <w:b w:val="1"/>
          <w:bCs w:val="1"/>
          <w:color w:val="1f1f1f"/>
          <w:rtl w:val="0"/>
        </w:rPr>
        <w:t xml:space="preserve">Homeland</w:t>
      </w:r>
      <w:r w:rsidDel="00000000" w:rsidR="00000000" w:rsidRPr="00000000">
        <w:rPr>
          <w:color w:val="1f1f1f"/>
          <w:rtl w:val="0"/>
        </w:rPr>
        <w:t xml:space="preserve"> et le promoteur </w:t>
      </w:r>
      <w:r w:rsidDel="00000000" w:rsidR="00000000" w:rsidRPr="00000000">
        <w:rPr>
          <w:b w:val="1"/>
          <w:bCs w:val="1"/>
          <w:color w:val="1f1f1f"/>
          <w:rtl w:val="0"/>
        </w:rPr>
        <w:t xml:space="preserve">Parbam/Kairos</w:t>
      </w:r>
      <w:r w:rsidDel="00000000" w:rsidR="00000000" w:rsidRPr="00000000">
        <w:rPr>
          <w:color w:val="1f1f1f"/>
          <w:rtl w:val="0"/>
        </w:rPr>
        <w:t xml:space="preserve"> (Groupe BAM).</w:t>
        <w:br w:type="textWrapping"/>
        <w:br w:type="textWrapping"/>
      </w:r>
      <w:r w:rsidDel="00000000" w:rsidR="00000000" w:rsidRPr="00000000">
        <w:rPr>
          <w:b w:val="1"/>
          <w:bCs w:val="1"/>
          <w:i w:val="1"/>
          <w:iCs w:val="1"/>
          <w:color w:val="1f1f1f"/>
          <w:sz w:val="16"/>
          <w:szCs w:val="16"/>
          <w:rtl w:val="0"/>
        </w:rPr>
        <w:t xml:space="preserve">Profil du requérant et démarche cognitive</w:t>
      </w:r>
      <w:r w:rsidDel="00000000" w:rsidR="00000000" w:rsidRPr="00000000">
        <w:rPr>
          <w:i w:val="1"/>
          <w:iCs w:val="1"/>
          <w:color w:val="1f1f1f"/>
          <w:sz w:val="16"/>
          <w:szCs w:val="16"/>
          <w:rtl w:val="0"/>
        </w:rPr>
        <w:t xml:space="preserve"> :  je vis cette situation avec anxiété, exacerbée par un fonctionnement cognitif atypique (</w:t>
      </w:r>
      <w:r w:rsidDel="00000000" w:rsidR="00000000" w:rsidRPr="00000000">
        <w:rPr>
          <w:b w:val="1"/>
          <w:bCs w:val="1"/>
          <w:i w:val="1"/>
          <w:iCs w:val="1"/>
          <w:color w:val="1f1f1f"/>
          <w:sz w:val="16"/>
          <w:szCs w:val="16"/>
          <w:rtl w:val="0"/>
        </w:rPr>
        <w:t xml:space="preserve">Autisme et TDAH</w:t>
      </w:r>
      <w:r w:rsidDel="00000000" w:rsidR="00000000" w:rsidRPr="00000000">
        <w:rPr>
          <w:i w:val="1"/>
          <w:iCs w:val="1"/>
          <w:color w:val="1f1f1f"/>
          <w:sz w:val="16"/>
          <w:szCs w:val="16"/>
          <w:rtl w:val="0"/>
        </w:rPr>
        <w:t xml:space="preserve">). Cette neurodivergence se traduit par un besoin impérieux de clarté logique tout en ayant des difficultés de concentration lorsque sous stress. </w:t>
      </w:r>
      <w:r w:rsidDel="00000000" w:rsidR="00000000" w:rsidRPr="00000000">
        <w:rPr>
          <w:b w:val="1"/>
          <w:bCs w:val="1"/>
          <w:i w:val="1"/>
          <w:iCs w:val="1"/>
          <w:color w:val="1f1f1f"/>
          <w:sz w:val="16"/>
          <w:szCs w:val="16"/>
          <w:rtl w:val="0"/>
        </w:rPr>
        <w:t xml:space="preserve">Je me permets donc de faire usage d'Intelligence Artificielle comme une assistance cognitive</w:t>
      </w:r>
      <w:r w:rsidDel="00000000" w:rsidR="00000000" w:rsidRPr="00000000">
        <w:rPr>
          <w:i w:val="1"/>
          <w:iCs w:val="1"/>
          <w:color w:val="1f1f1f"/>
          <w:sz w:val="16"/>
          <w:szCs w:val="16"/>
          <w:rtl w:val="0"/>
        </w:rPr>
        <w:t xml:space="preserve"> pour connecter des éléments techniques et juridiques souvent traités de façon isolée.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b w:val="1"/>
          <w:bCs w:val="1"/>
          <w:color w:val="1f1f1f"/>
          <w:rtl w:val="0"/>
        </w:rPr>
        <w:t xml:space="preserve">L’Urgence Juridique (AGE du 12 février 2026)</w:t>
      </w:r>
      <w:r w:rsidDel="00000000" w:rsidR="00000000" w:rsidRPr="00000000">
        <w:rPr>
          <w:color w:val="1f1f1f"/>
          <w:rtl w:val="0"/>
        </w:rPr>
        <w:t xml:space="preserve">  Le protocole transactionnel imposé comporte des risques majeurs :</w:t>
      </w:r>
    </w:p>
    <w:p w:rsidR="00000000" w:rsidDel="00000000" w:rsidP="00000000" w:rsidRDefault="00000000" w:rsidRPr="00000000" w14:paraId="0000000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Violation de l’Art. 3.88 du Code Civil : Tentative de faire voter à la majorité simple l'abandon d'un équipement collectif et d'une garantie décennale.</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Spoliation des Garanties :</w:t>
      </w:r>
      <w:r w:rsidDel="00000000" w:rsidR="00000000" w:rsidRPr="00000000">
        <w:rPr>
          <w:color w:val="1f1f1f"/>
          <w:rtl w:val="0"/>
        </w:rPr>
        <w:t xml:space="preserve"> Remplacement de la garantie décennale par une garantie commerciale dérisoire de </w:t>
      </w:r>
      <w:r w:rsidDel="00000000" w:rsidR="00000000" w:rsidRPr="00000000">
        <w:rPr>
          <w:b w:val="1"/>
          <w:bCs w:val="1"/>
          <w:color w:val="1f1f1f"/>
          <w:rtl w:val="0"/>
        </w:rPr>
        <w:t xml:space="preserve">2 ans</w:t>
      </w:r>
      <w:r w:rsidDel="00000000" w:rsidR="00000000" w:rsidRPr="00000000">
        <w:rPr>
          <w:color w:val="1f1f1f"/>
          <w:rtl w:val="0"/>
        </w:rPr>
        <w:t xml:space="preserve">.</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Insalubrité et Sécurité Publique :</w:t>
      </w:r>
    </w:p>
    <w:p w:rsidR="00000000" w:rsidDel="00000000" w:rsidP="00000000" w:rsidRDefault="00000000" w:rsidRPr="00000000" w14:paraId="00000007">
      <w:pPr>
        <w:numPr>
          <w:ilvl w:val="0"/>
          <w:numId w:val="1"/>
        </w:numPr>
        <w:spacing w:after="0" w:afterAutospacing="0" w:before="0" w:beforeAutospacing="0" w:lineRule="auto"/>
        <w:ind w:left="940" w:hanging="360"/>
      </w:pPr>
      <w:r w:rsidDel="00000000" w:rsidR="00000000" w:rsidRPr="00000000">
        <w:rPr>
          <w:b w:val="1"/>
          <w:bCs w:val="1"/>
          <w:color w:val="1f1f1f"/>
          <w:rtl w:val="0"/>
        </w:rPr>
        <w:t xml:space="preserve">Vices de Ventilation (VMC) &amp; Sécurité Incendie :</w:t>
      </w:r>
      <w:r w:rsidDel="00000000" w:rsidR="00000000" w:rsidRPr="00000000">
        <w:rPr>
          <w:color w:val="1f1f1f"/>
          <w:rtl w:val="0"/>
        </w:rPr>
        <w:t xml:space="preserve"> * </w:t>
      </w:r>
      <w:r w:rsidDel="00000000" w:rsidR="00000000" w:rsidRPr="00000000">
        <w:rPr>
          <w:b w:val="1"/>
          <w:bCs w:val="1"/>
          <w:color w:val="1f1f1f"/>
          <w:rtl w:val="0"/>
        </w:rPr>
        <w:t xml:space="preserve">Contamination Croisée :</w:t>
      </w:r>
      <w:r w:rsidDel="00000000" w:rsidR="00000000" w:rsidRPr="00000000">
        <w:rPr>
          <w:color w:val="1f1f1f"/>
          <w:rtl w:val="0"/>
        </w:rPr>
        <w:t xml:space="preserve"> Les systèmes Zehnder individuels provoquent des refoulement d'air vicié et d'odeurs entre les appartements, violant les normes de salubrité (NBN EN 15780, NIT 258).</w:t>
      </w:r>
    </w:p>
    <w:p w:rsidR="00000000" w:rsidDel="00000000" w:rsidP="00000000" w:rsidRDefault="00000000" w:rsidRPr="00000000" w14:paraId="00000008">
      <w:pPr>
        <w:numPr>
          <w:ilvl w:val="1"/>
          <w:numId w:val="1"/>
        </w:numPr>
        <w:spacing w:after="0" w:afterAutospacing="0" w:before="0" w:beforeAutospacing="0" w:lineRule="auto"/>
        <w:ind w:left="1880" w:hanging="360"/>
      </w:pPr>
      <w:r w:rsidDel="00000000" w:rsidR="00000000" w:rsidRPr="00000000">
        <w:rPr>
          <w:b w:val="1"/>
          <w:bCs w:val="1"/>
          <w:color w:val="1f1f1f"/>
          <w:rtl w:val="0"/>
        </w:rPr>
        <w:t xml:space="preserve">Rupture du Compartimentage Rf 60 :</w:t>
      </w:r>
      <w:r w:rsidDel="00000000" w:rsidR="00000000" w:rsidRPr="00000000">
        <w:rPr>
          <w:color w:val="1f1f1f"/>
          <w:rtl w:val="0"/>
        </w:rPr>
        <w:t xml:space="preserve"> Cette porosité des gaines indique que l'étanchéité aux fumées toxiques n'est pas assurée en cas d'incendie (non-respect de l'AR du 07/07/1994).</w:t>
      </w:r>
    </w:p>
    <w:p w:rsidR="00000000" w:rsidDel="00000000" w:rsidP="00000000" w:rsidRDefault="00000000" w:rsidRPr="00000000" w14:paraId="00000009">
      <w:pPr>
        <w:numPr>
          <w:ilvl w:val="0"/>
          <w:numId w:val="1"/>
        </w:numPr>
        <w:spacing w:after="0" w:afterAutospacing="0" w:before="0" w:beforeAutospacing="0" w:lineRule="auto"/>
        <w:ind w:left="940" w:hanging="360"/>
      </w:pPr>
      <w:r w:rsidDel="00000000" w:rsidR="00000000" w:rsidRPr="00000000">
        <w:rPr>
          <w:b w:val="1"/>
          <w:bCs w:val="1"/>
          <w:color w:val="1f1f1f"/>
          <w:rtl w:val="0"/>
        </w:rPr>
        <w:t xml:space="preserve">Non-conformité Environnementale :</w:t>
      </w:r>
    </w:p>
    <w:p w:rsidR="00000000" w:rsidDel="00000000" w:rsidP="00000000" w:rsidRDefault="00000000" w:rsidRPr="00000000" w14:paraId="0000000A">
      <w:pPr>
        <w:numPr>
          <w:ilvl w:val="1"/>
          <w:numId w:val="1"/>
        </w:numPr>
        <w:spacing w:after="0" w:afterAutospacing="0" w:before="0" w:beforeAutospacing="0" w:lineRule="auto"/>
        <w:ind w:left="1880" w:hanging="360"/>
      </w:pPr>
      <w:r w:rsidDel="00000000" w:rsidR="00000000" w:rsidRPr="00000000">
        <w:rPr>
          <w:b w:val="1"/>
          <w:bCs w:val="1"/>
          <w:color w:val="1f1f1f"/>
          <w:rtl w:val="0"/>
        </w:rPr>
        <w:t xml:space="preserve">Chaudières à Pellets :</w:t>
      </w:r>
      <w:r w:rsidDel="00000000" w:rsidR="00000000" w:rsidRPr="00000000">
        <w:rPr>
          <w:color w:val="1f1f1f"/>
          <w:rtl w:val="0"/>
        </w:rPr>
        <w:t xml:space="preserve"> Absence de filtres électrostatiques requis par la réglementation bruxelloise, exposant l'ACP à des sanctions administratives.</w:t>
      </w:r>
    </w:p>
    <w:p w:rsidR="00000000" w:rsidDel="00000000" w:rsidP="00000000" w:rsidRDefault="00000000" w:rsidRPr="00000000" w14:paraId="0000000B">
      <w:pPr>
        <w:numPr>
          <w:ilvl w:val="0"/>
          <w:numId w:val="1"/>
        </w:numPr>
        <w:spacing w:after="0" w:afterAutospacing="0" w:before="0" w:beforeAutospacing="0" w:lineRule="auto"/>
        <w:ind w:left="940" w:hanging="360"/>
      </w:pPr>
      <w:r w:rsidDel="00000000" w:rsidR="00000000" w:rsidRPr="00000000">
        <w:rPr>
          <w:b w:val="1"/>
          <w:bCs w:val="1"/>
          <w:color w:val="1f1f1f"/>
          <w:rtl w:val="0"/>
        </w:rPr>
        <w:t xml:space="preserve">Eaux Grises &amp; Spoliation Financière :</w:t>
      </w:r>
      <w:r w:rsidDel="00000000" w:rsidR="00000000" w:rsidRPr="00000000">
        <w:rPr>
          <w:color w:val="1f1f1f"/>
          <w:rtl w:val="0"/>
        </w:rPr>
        <w:t xml:space="preserve"> * </w:t>
      </w:r>
      <w:r w:rsidDel="00000000" w:rsidR="00000000" w:rsidRPr="00000000">
        <w:rPr>
          <w:b w:val="1"/>
          <w:bCs w:val="1"/>
          <w:color w:val="1f1f1f"/>
          <w:rtl w:val="0"/>
        </w:rPr>
        <w:t xml:space="preserve">Préjudice de 82.353 € :</w:t>
      </w:r>
      <w:r w:rsidDel="00000000" w:rsidR="00000000" w:rsidRPr="00000000">
        <w:rPr>
          <w:color w:val="1f1f1f"/>
          <w:rtl w:val="0"/>
        </w:rPr>
        <w:t xml:space="preserve"> PARBAM refuse de rembourser le surcoût d'eau de ville de 10K par an (70.000 €) et les frais de maintenance indus (12.353 €) liés au système défectueux.</w:t>
      </w:r>
    </w:p>
    <w:p w:rsidR="00000000" w:rsidDel="00000000" w:rsidP="00000000" w:rsidRDefault="00000000" w:rsidRPr="00000000" w14:paraId="0000000C">
      <w:pPr>
        <w:numPr>
          <w:ilvl w:val="1"/>
          <w:numId w:val="1"/>
        </w:numPr>
        <w:spacing w:after="200" w:before="0" w:beforeAutospacing="0" w:lineRule="auto"/>
        <w:ind w:left="1880" w:hanging="360"/>
      </w:pPr>
      <w:r w:rsidDel="00000000" w:rsidR="00000000" w:rsidRPr="00000000">
        <w:rPr>
          <w:b w:val="1"/>
          <w:bCs w:val="1"/>
          <w:color w:val="1f1f1f"/>
          <w:rtl w:val="0"/>
        </w:rPr>
        <w:t xml:space="preserve">Perte de Valeur Patrimoniale :</w:t>
      </w:r>
      <w:r w:rsidDel="00000000" w:rsidR="00000000" w:rsidRPr="00000000">
        <w:rPr>
          <w:color w:val="1f1f1f"/>
          <w:rtl w:val="0"/>
        </w:rPr>
        <w:t xml:space="preserve"> L'abandon de la garantie décennale au profit d'une garantie de 2 ans déprécie la valeur des biens.</w:t>
      </w:r>
    </w:p>
    <w:p w:rsidR="00000000" w:rsidDel="00000000" w:rsidP="00000000" w:rsidRDefault="00000000" w:rsidRPr="00000000" w14:paraId="0000000D">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before="280" w:lineRule="auto"/>
        <w:rPr>
          <w:b w:val="1"/>
          <w:bCs w:val="1"/>
          <w:color w:val="1f1f1f"/>
          <w:sz w:val="26"/>
          <w:szCs w:val="26"/>
        </w:rPr>
      </w:pPr>
      <w:bookmarkStart w:colFirst="0" w:colLast="0" w:name="_9t0by0px9kyn" w:id="0"/>
      <w:bookmarkEnd w:id="0"/>
      <w:r w:rsidDel="00000000" w:rsidR="00000000" w:rsidRPr="00000000">
        <w:rPr>
          <w:b w:val="1"/>
          <w:bCs w:val="1"/>
          <w:color w:val="1f1f1f"/>
          <w:sz w:val="26"/>
          <w:szCs w:val="26"/>
          <w:rtl w:val="0"/>
        </w:rPr>
        <w:t xml:space="preserve">Audit Comptable et Gouvernance (Homeland &amp; CDC)</w:t>
      </w:r>
    </w:p>
    <w:p w:rsidR="00000000" w:rsidDel="00000000" w:rsidP="00000000" w:rsidRDefault="00000000" w:rsidRPr="00000000" w14:paraId="0000000F">
      <w:pPr>
        <w:shd w:fill="ffffff" w:val="clear"/>
        <w:spacing w:after="200" w:before="200" w:lineRule="auto"/>
        <w:rPr>
          <w:color w:val="1f1f1f"/>
        </w:rPr>
      </w:pPr>
      <w:r w:rsidDel="00000000" w:rsidR="00000000" w:rsidRPr="00000000">
        <w:rPr>
          <w:color w:val="1f1f1f"/>
          <w:rtl w:val="0"/>
        </w:rPr>
        <w:t xml:space="preserve">preuves d'alertes formelles sur la gestion de </w:t>
      </w:r>
      <w:r w:rsidDel="00000000" w:rsidR="00000000" w:rsidRPr="00000000">
        <w:rPr>
          <w:b w:val="1"/>
          <w:bCs w:val="1"/>
          <w:color w:val="1f1f1f"/>
          <w:rtl w:val="0"/>
        </w:rPr>
        <w:t xml:space="preserve">Homeland</w:t>
      </w:r>
      <w:r w:rsidDel="00000000" w:rsidR="00000000" w:rsidRPr="00000000">
        <w:rPr>
          <w:color w:val="1f1f1f"/>
          <w:rtl w:val="0"/>
        </w:rPr>
        <w:t xml:space="preserve"> :</w:t>
      </w:r>
    </w:p>
    <w:p w:rsidR="00000000" w:rsidDel="00000000" w:rsidP="00000000" w:rsidRDefault="00000000" w:rsidRPr="00000000" w14:paraId="00000010">
      <w:pPr>
        <w:numPr>
          <w:ilvl w:val="0"/>
          <w:numId w:val="2"/>
        </w:numPr>
        <w:spacing w:after="0" w:afterAutospacing="0" w:before="200" w:lineRule="auto"/>
        <w:ind w:left="940" w:hanging="360"/>
      </w:pPr>
      <w:r w:rsidDel="00000000" w:rsidR="00000000" w:rsidRPr="00000000">
        <w:rPr>
          <w:b w:val="1"/>
          <w:bCs w:val="1"/>
          <w:color w:val="1f1f1f"/>
          <w:rtl w:val="0"/>
        </w:rPr>
        <w:t xml:space="preserve">Opacité des "Reprises de Solde" :</w:t>
      </w:r>
      <w:r w:rsidDel="00000000" w:rsidR="00000000" w:rsidRPr="00000000">
        <w:rPr>
          <w:color w:val="1f1f1f"/>
          <w:rtl w:val="0"/>
        </w:rPr>
        <w:t xml:space="preserve"> Des montants sont imputés sans décompte individuel justificatif de 2024, ce qui rend la créance inopposable en droit belge.</w:t>
      </w:r>
    </w:p>
    <w:p w:rsidR="00000000" w:rsidDel="00000000" w:rsidP="00000000" w:rsidRDefault="00000000" w:rsidRPr="00000000" w14:paraId="00000011">
      <w:pPr>
        <w:numPr>
          <w:ilvl w:val="0"/>
          <w:numId w:val="2"/>
        </w:numPr>
        <w:spacing w:after="0" w:afterAutospacing="0" w:before="0" w:beforeAutospacing="0" w:lineRule="auto"/>
        <w:ind w:left="940" w:hanging="360"/>
      </w:pPr>
      <w:r w:rsidDel="00000000" w:rsidR="00000000" w:rsidRPr="00000000">
        <w:rPr>
          <w:b w:val="1"/>
          <w:bCs w:val="1"/>
          <w:color w:val="1f1f1f"/>
          <w:rtl w:val="0"/>
        </w:rPr>
        <w:t xml:space="preserve">Incohérence des Supports :</w:t>
      </w:r>
      <w:r w:rsidDel="00000000" w:rsidR="00000000" w:rsidRPr="00000000">
        <w:rPr>
          <w:color w:val="1f1f1f"/>
          <w:rtl w:val="0"/>
        </w:rPr>
        <w:t xml:space="preserve"> Écarts constatés entre les soldes de l'extranet et les appels de fonds papier.</w:t>
      </w:r>
    </w:p>
    <w:p w:rsidR="00000000" w:rsidDel="00000000" w:rsidP="00000000" w:rsidRDefault="00000000" w:rsidRPr="00000000" w14:paraId="00000012">
      <w:pPr>
        <w:numPr>
          <w:ilvl w:val="0"/>
          <w:numId w:val="2"/>
        </w:numPr>
        <w:spacing w:after="0" w:afterAutospacing="0" w:before="0" w:beforeAutospacing="0" w:lineRule="auto"/>
        <w:ind w:left="940" w:hanging="360"/>
      </w:pPr>
      <w:r w:rsidDel="00000000" w:rsidR="00000000" w:rsidRPr="00000000">
        <w:rPr>
          <w:b w:val="1"/>
          <w:bCs w:val="1"/>
          <w:color w:val="1f1f1f"/>
          <w:rtl w:val="0"/>
        </w:rPr>
        <w:t xml:space="preserve">Faute de Gestion Logistique :</w:t>
      </w:r>
      <w:r w:rsidDel="00000000" w:rsidR="00000000" w:rsidRPr="00000000">
        <w:rPr>
          <w:color w:val="1f1f1f"/>
          <w:rtl w:val="0"/>
        </w:rPr>
        <w:t xml:space="preserve"> Envoi de jusqu'à 7 courriers papier séparés par appartement le même jour, générant des frais d'affranchissement massifs (estimés à 3.800 € pour les 271 lots rien que pour cet envoi ) pour des factures mensuelles rétroactives. L'accord en AG étant la communication par courriel.</w:t>
      </w:r>
    </w:p>
    <w:p w:rsidR="00000000" w:rsidDel="00000000" w:rsidP="00000000" w:rsidRDefault="00000000" w:rsidRPr="00000000" w14:paraId="00000013">
      <w:pPr>
        <w:numPr>
          <w:ilvl w:val="0"/>
          <w:numId w:val="2"/>
        </w:numPr>
        <w:spacing w:after="200" w:before="0" w:beforeAutospacing="0" w:lineRule="auto"/>
        <w:ind w:left="940" w:hanging="360"/>
      </w:pPr>
      <w:r w:rsidDel="00000000" w:rsidR="00000000" w:rsidRPr="00000000">
        <w:rPr>
          <w:b w:val="1"/>
          <w:bCs w:val="1"/>
          <w:color w:val="1f1f1f"/>
          <w:rtl w:val="0"/>
        </w:rPr>
        <w:t xml:space="preserve">Capture du Processus :</w:t>
      </w:r>
      <w:r w:rsidDel="00000000" w:rsidR="00000000" w:rsidRPr="00000000">
        <w:rPr>
          <w:color w:val="1f1f1f"/>
          <w:rtl w:val="0"/>
        </w:rPr>
        <w:t xml:space="preserve"> J'ai formellement dénoncé une "collusion" entre le Syndic et certains membres du CdC, excluant les voix dissidentes.</w:t>
      </w:r>
    </w:p>
    <w:p w:rsidR="00000000" w:rsidDel="00000000" w:rsidP="00000000" w:rsidRDefault="00000000" w:rsidRPr="00000000" w14:paraId="00000014">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hd w:fill="ffffff" w:val="clear"/>
        <w:spacing w:before="280" w:lineRule="auto"/>
        <w:rPr>
          <w:b w:val="1"/>
          <w:bCs w:val="1"/>
          <w:color w:val="1f1f1f"/>
          <w:sz w:val="26"/>
          <w:szCs w:val="26"/>
        </w:rPr>
      </w:pPr>
      <w:bookmarkStart w:colFirst="0" w:colLast="0" w:name="_skcohnvxllsg" w:id="1"/>
      <w:bookmarkEnd w:id="1"/>
      <w:r w:rsidDel="00000000" w:rsidR="00000000" w:rsidRPr="00000000">
        <w:rPr>
          <w:b w:val="1"/>
          <w:bCs w:val="1"/>
          <w:color w:val="1f1f1f"/>
          <w:sz w:val="26"/>
          <w:szCs w:val="26"/>
          <w:rtl w:val="0"/>
        </w:rPr>
        <w:t xml:space="preserve">Interruption de Prescription : L'enjeu de 2029</w:t>
      </w:r>
    </w:p>
    <w:p w:rsidR="00000000" w:rsidDel="00000000" w:rsidP="00000000" w:rsidRDefault="00000000" w:rsidRPr="00000000" w14:paraId="00000016">
      <w:pPr>
        <w:shd w:fill="ffffff" w:val="clear"/>
        <w:spacing w:after="200" w:before="200" w:lineRule="auto"/>
        <w:rPr>
          <w:color w:val="1f1f1f"/>
        </w:rPr>
      </w:pPr>
      <w:r w:rsidDel="00000000" w:rsidR="00000000" w:rsidRPr="00000000">
        <w:rPr>
          <w:color w:val="1f1f1f"/>
          <w:rtl w:val="0"/>
        </w:rPr>
        <w:t xml:space="preserve">J'ai sommé Homeland par mise en demeure le </w:t>
      </w:r>
      <w:r w:rsidDel="00000000" w:rsidR="00000000" w:rsidRPr="00000000">
        <w:rPr>
          <w:b w:val="1"/>
          <w:bCs w:val="1"/>
          <w:color w:val="1f1f1f"/>
          <w:rtl w:val="0"/>
        </w:rPr>
        <w:t xml:space="preserve">14 janvier 2026</w:t>
      </w:r>
      <w:r w:rsidDel="00000000" w:rsidR="00000000" w:rsidRPr="00000000">
        <w:rPr>
          <w:color w:val="1f1f1f"/>
          <w:rtl w:val="0"/>
        </w:rPr>
        <w:t xml:space="preserve"> d'interrompre la prescription décennale (Art. 2244 C. Civ.) avant l'échéance de </w:t>
      </w:r>
      <w:r w:rsidDel="00000000" w:rsidR="00000000" w:rsidRPr="00000000">
        <w:rPr>
          <w:b w:val="1"/>
          <w:bCs w:val="1"/>
          <w:color w:val="1f1f1f"/>
          <w:rtl w:val="0"/>
        </w:rPr>
        <w:t xml:space="preserve">2029</w:t>
      </w:r>
      <w:r w:rsidDel="00000000" w:rsidR="00000000" w:rsidRPr="00000000">
        <w:rPr>
          <w:color w:val="1f1f1f"/>
          <w:rtl w:val="0"/>
        </w:rPr>
        <w:t xml:space="preserve">. Le refus du syndic d'agir sous prétexte d'un "dialogue constructif" constitue une faute de gestion grave.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Compte tenu de l'extrême urgence, je sollicite parallèlement quelques cabinets spécialisés afin de garantir une intervention rapide et de lever toute question de conflit d'intérêts.</w:t>
        <w:br w:type="textWrapping"/>
        <w:br w:type="textWrapping"/>
      </w:r>
      <w:r w:rsidDel="00000000" w:rsidR="00000000" w:rsidRPr="00000000">
        <w:rPr>
          <w:b w:val="1"/>
          <w:bCs w:val="1"/>
          <w:color w:val="1f1f1f"/>
          <w:rtl w:val="0"/>
        </w:rPr>
        <w:t xml:space="preserve">Une stratégie d'usure délibérée (Stalling)</w:t>
      </w:r>
      <w:r w:rsidDel="00000000" w:rsidR="00000000" w:rsidRPr="00000000">
        <w:rPr>
          <w:color w:val="1f1f1f"/>
          <w:rtl w:val="0"/>
        </w:rPr>
        <w:t xml:space="preserve"> : Il est fondamental de noter que le promoteur a délibérément fait traîner les échanges pendant des années. Cette </w:t>
      </w:r>
      <w:r w:rsidDel="00000000" w:rsidR="00000000" w:rsidRPr="00000000">
        <w:rPr>
          <w:b w:val="1"/>
          <w:bCs w:val="1"/>
          <w:color w:val="1f1f1f"/>
          <w:rtl w:val="0"/>
        </w:rPr>
        <w:t xml:space="preserve">stratégie d'attente</w:t>
      </w:r>
      <w:r w:rsidDel="00000000" w:rsidR="00000000" w:rsidRPr="00000000">
        <w:rPr>
          <w:color w:val="1f1f1f"/>
          <w:rtl w:val="0"/>
        </w:rPr>
        <w:t xml:space="preserve"> visait à épuiser la résistance des copropriétaires et à nous amener au pied du mur, à quelques jours d'une assemblée générale cruciale mise sur place en dernière minute en AG extraordinaire, pour nous imposer un accord au rabais alors que les délais de prescription approchent.  </w:t>
        <w:br w:type="textWrapping"/>
        <w:br w:type="textWrapping"/>
        <w:br w:type="textWrapping"/>
        <w:t xml:space="preserve">  Il ne s'agit pas d'un litige isolé. Le Lot 2 compte à lui seul près de 80</w:t>
      </w:r>
      <w:r w:rsidDel="00000000" w:rsidR="00000000" w:rsidRPr="00000000">
        <w:rPr>
          <w:b w:val="1"/>
          <w:bCs w:val="1"/>
          <w:color w:val="1f1f1f"/>
          <w:rtl w:val="0"/>
        </w:rPr>
        <w:t xml:space="preserve"> appartements</w:t>
      </w:r>
      <w:r w:rsidDel="00000000" w:rsidR="00000000" w:rsidRPr="00000000">
        <w:rPr>
          <w:color w:val="1f1f1f"/>
          <w:rtl w:val="0"/>
        </w:rPr>
        <w:t xml:space="preserve">, et le complexe Tivoli Greencity dans son ensemble regroupe </w:t>
      </w:r>
      <w:r w:rsidDel="00000000" w:rsidR="00000000" w:rsidRPr="00000000">
        <w:rPr>
          <w:b w:val="1"/>
          <w:bCs w:val="1"/>
          <w:color w:val="1f1f1f"/>
          <w:rtl w:val="0"/>
        </w:rPr>
        <w:t xml:space="preserve">près de 397 logements</w:t>
      </w:r>
      <w:r w:rsidDel="00000000" w:rsidR="00000000" w:rsidRPr="00000000">
        <w:rPr>
          <w:color w:val="1f1f1f"/>
          <w:rtl w:val="0"/>
        </w:rPr>
        <w:t xml:space="preserve"> répartis sur 5 lots. Les défaillances que je dénonce (VMC, eaux grises, ...) sont structurelles et systémiques à l'ensemble du quartier. Le préjudice financier, s'il est cumulé sur l'ensemble des lots, est particulièrement important, ce qui explique probablement l'acharnement du promoteur et du syndic à imposer ce protocole pour éteindre toute responsabilité décennale sur un parc immobilier de cette envergure.  </w:t>
        <w:br w:type="textWrapping"/>
      </w:r>
    </w:p>
    <w:p w:rsidR="00000000" w:rsidDel="00000000" w:rsidP="00000000" w:rsidRDefault="00000000" w:rsidRPr="00000000" w14:paraId="00000018">
      <w:pPr>
        <w:shd w:fill="ffffff" w:val="clear"/>
        <w:spacing w:after="200" w:before="200" w:lineRule="auto"/>
        <w:rPr>
          <w:i w:val="1"/>
          <w:iCs w:val="1"/>
          <w:color w:val="1f1f1f"/>
        </w:rPr>
      </w:pPr>
      <w:r w:rsidDel="00000000" w:rsidR="00000000" w:rsidRPr="00000000">
        <w:rPr>
          <w:i w:val="1"/>
          <w:iCs w:val="1"/>
          <w:color w:val="1f1f1f"/>
          <w:rtl w:val="0"/>
        </w:rPr>
        <w:t xml:space="preserve">Je peux joindre d’autres documents y compris une présentation PowerPoint préparée par l'Inter-CdC des 5 copropriétés pour la séance d'information. Ce document m'inquiète au plus haut point car il illustre une stratégie manifeste de </w:t>
      </w:r>
      <w:r w:rsidDel="00000000" w:rsidR="00000000" w:rsidRPr="00000000">
        <w:rPr>
          <w:b w:val="1"/>
          <w:bCs w:val="1"/>
          <w:i w:val="1"/>
          <w:iCs w:val="1"/>
          <w:color w:val="1f1f1f"/>
          <w:rtl w:val="0"/>
        </w:rPr>
        <w:t xml:space="preserve">'gaslighting' des copropriétaires</w:t>
      </w:r>
      <w:r w:rsidDel="00000000" w:rsidR="00000000" w:rsidRPr="00000000">
        <w:rPr>
          <w:i w:val="1"/>
          <w:iCs w:val="1"/>
          <w:color w:val="1f1f1f"/>
          <w:rtl w:val="0"/>
        </w:rPr>
        <w:t xml:space="preserve"> :</w:t>
      </w:r>
    </w:p>
    <w:p w:rsidR="00000000" w:rsidDel="00000000" w:rsidP="00000000" w:rsidRDefault="00000000" w:rsidRPr="00000000" w14:paraId="00000019">
      <w:pPr>
        <w:numPr>
          <w:ilvl w:val="0"/>
          <w:numId w:val="3"/>
        </w:numPr>
        <w:spacing w:after="0" w:afterAutospacing="0" w:before="200" w:lineRule="auto"/>
        <w:ind w:left="940" w:hanging="360"/>
      </w:pPr>
      <w:r w:rsidDel="00000000" w:rsidR="00000000" w:rsidRPr="00000000">
        <w:rPr>
          <w:i w:val="1"/>
          <w:iCs w:val="1"/>
          <w:color w:val="1f1f1f"/>
          <w:rtl w:val="0"/>
        </w:rPr>
        <w:t xml:space="preserve">On présente une 'solution' technique comme un progrès, alors qu'elle acte l'abandon définitif de prestations contractuelles (le recyclage des eaux grises).</w:t>
      </w:r>
    </w:p>
    <w:p w:rsidR="00000000" w:rsidDel="00000000" w:rsidP="00000000" w:rsidRDefault="00000000" w:rsidRPr="00000000" w14:paraId="0000001A">
      <w:pPr>
        <w:numPr>
          <w:ilvl w:val="0"/>
          <w:numId w:val="3"/>
        </w:numPr>
        <w:spacing w:after="0" w:afterAutospacing="0" w:before="0" w:beforeAutospacing="0" w:lineRule="auto"/>
        <w:ind w:left="940" w:hanging="360"/>
      </w:pPr>
      <w:r w:rsidDel="00000000" w:rsidR="00000000" w:rsidRPr="00000000">
        <w:rPr>
          <w:i w:val="1"/>
          <w:iCs w:val="1"/>
          <w:color w:val="1f1f1f"/>
          <w:rtl w:val="0"/>
        </w:rPr>
        <w:t xml:space="preserve">On minimise la perte de la garantie décennale en la présentant comme une 'extension' de garantie, alors qu'elle est réduite à seulement 2 ans.</w:t>
      </w:r>
    </w:p>
    <w:p w:rsidR="00000000" w:rsidDel="00000000" w:rsidP="00000000" w:rsidRDefault="00000000" w:rsidRPr="00000000" w14:paraId="0000001B">
      <w:pPr>
        <w:numPr>
          <w:ilvl w:val="0"/>
          <w:numId w:val="3"/>
        </w:numPr>
        <w:spacing w:after="200" w:before="0" w:beforeAutospacing="0" w:lineRule="auto"/>
        <w:ind w:left="940" w:hanging="360"/>
      </w:pPr>
      <w:r w:rsidDel="00000000" w:rsidR="00000000" w:rsidRPr="00000000">
        <w:rPr>
          <w:i w:val="1"/>
          <w:iCs w:val="1"/>
          <w:color w:val="1f1f1f"/>
          <w:rtl w:val="0"/>
        </w:rPr>
        <w:t xml:space="preserve">On utilise une complexité technique apparente pour masquer une spoliation financière (abandon de créance et fin du comptage individuel).</w:t>
      </w:r>
    </w:p>
    <w:p w:rsidR="00000000" w:rsidDel="00000000" w:rsidP="00000000" w:rsidRDefault="00000000" w:rsidRPr="00000000" w14:paraId="0000001C">
      <w:pPr>
        <w:shd w:fill="ffffff" w:val="clear"/>
        <w:spacing w:after="200" w:before="200" w:lineRule="auto"/>
        <w:rPr>
          <w:i w:val="1"/>
          <w:iCs w:val="1"/>
          <w:color w:val="1f1f1f"/>
        </w:rPr>
      </w:pPr>
      <w:r w:rsidDel="00000000" w:rsidR="00000000" w:rsidRPr="00000000">
        <w:rPr>
          <w:i w:val="1"/>
          <w:iCs w:val="1"/>
          <w:color w:val="1f1f1f"/>
          <w:rtl w:val="0"/>
        </w:rPr>
        <w:t xml:space="preserve">Ma crainte est que les propriétaires, sous pression et mal informés, ne votent ce protocole sans en comprendre les conséquences juridiques irréversibles. Ce document est la preuve matérielle de la stratégie de diversion opérée.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b w:val="1"/>
          <w:bCs w:val="1"/>
          <w:color w:val="1f1f1f"/>
          <w:rtl w:val="0"/>
        </w:rPr>
        <w:t xml:space="preserve">Contexte de "Power Play" et Enjeux Politiques</w:t>
      </w:r>
      <w:r w:rsidDel="00000000" w:rsidR="00000000" w:rsidRPr="00000000">
        <w:rPr>
          <w:color w:val="1f1f1f"/>
          <w:rtl w:val="0"/>
        </w:rPr>
        <w:t xml:space="preserve">  Le quartier Tivoli présente une configuration de pouvoir complexe : le </w:t>
      </w:r>
      <w:r w:rsidDel="00000000" w:rsidR="00000000" w:rsidRPr="00000000">
        <w:rPr>
          <w:b w:val="1"/>
          <w:bCs w:val="1"/>
          <w:color w:val="1f1f1f"/>
          <w:rtl w:val="0"/>
        </w:rPr>
        <w:t xml:space="preserve">Foyer Laekenois</w:t>
      </w:r>
      <w:r w:rsidDel="00000000" w:rsidR="00000000" w:rsidRPr="00000000">
        <w:rPr>
          <w:color w:val="1f1f1f"/>
          <w:rtl w:val="0"/>
        </w:rPr>
        <w:t xml:space="preserve"> détient près de 30 % des voix, créant un blocage institutionnel. Après avoir lutté six ans pour révoquer l'ancien syndic (Syncura) — combat documenté par la </w:t>
      </w:r>
      <w:r w:rsidDel="00000000" w:rsidR="00000000" w:rsidRPr="00000000">
        <w:rPr>
          <w:b w:val="1"/>
          <w:bCs w:val="1"/>
          <w:color w:val="1f1f1f"/>
          <w:rtl w:val="0"/>
        </w:rPr>
        <w:t xml:space="preserve">RTBF (émission "Investigation" en 2025 )</w:t>
      </w:r>
      <w:r w:rsidDel="00000000" w:rsidR="00000000" w:rsidRPr="00000000">
        <w:rPr>
          <w:color w:val="1f1f1f"/>
          <w:rtl w:val="0"/>
        </w:rPr>
        <w:t xml:space="preserve"> — le nouveau syndic, Homeland, semble reproduire les mêmes dynamiques d'opacité.</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b w:val="1"/>
          <w:bCs w:val="1"/>
          <w:color w:val="1f1f1f"/>
          <w:rtl w:val="0"/>
        </w:rPr>
        <w:t xml:space="preserve">Le Devoir d’Exemplarité de Citydev</w:t>
      </w:r>
      <w:r w:rsidDel="00000000" w:rsidR="00000000" w:rsidRPr="00000000">
        <w:rPr>
          <w:color w:val="1f1f1f"/>
          <w:rtl w:val="0"/>
        </w:rPr>
        <w:t xml:space="preserve"> Projet lauréat des prix "MIPIM Awards" et "Be Exemplary", Tivoli Greencity est soumis à un </w:t>
      </w:r>
      <w:r w:rsidDel="00000000" w:rsidR="00000000" w:rsidRPr="00000000">
        <w:rPr>
          <w:b w:val="1"/>
          <w:bCs w:val="1"/>
          <w:color w:val="1f1f1f"/>
          <w:rtl w:val="0"/>
        </w:rPr>
        <w:t xml:space="preserve">devoir d'exemplarité</w:t>
      </w:r>
      <w:r w:rsidDel="00000000" w:rsidR="00000000" w:rsidRPr="00000000">
        <w:rPr>
          <w:color w:val="1f1f1f"/>
          <w:rtl w:val="0"/>
        </w:rPr>
        <w:t xml:space="preserve">. Ce qui se joue ici est la validation ou l'échec d'un modèle urbain reproductible. Accepter l'abandon des garanties sur une telle "vitrine" publique créerait un précédent dangereux.</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rtl w:val="0"/>
        </w:rPr>
      </w:r>
    </w:p>
    <w:p w:rsidR="00000000" w:rsidDel="00000000" w:rsidP="00000000" w:rsidRDefault="00000000" w:rsidRPr="00000000" w14:paraId="00000021">
      <w:pPr>
        <w:shd w:fill="ffffff" w:val="clear"/>
        <w:spacing w:after="200" w:before="200" w:lineRule="auto"/>
        <w:rPr>
          <w:color w:val="1f1f1f"/>
        </w:rPr>
      </w:pPr>
      <w:r w:rsidDel="00000000" w:rsidR="00000000" w:rsidRPr="00000000">
        <w:rPr>
          <w:b w:val="1"/>
          <w:bCs w:val="1"/>
          <w:color w:val="1f1f1f"/>
          <w:rtl w:val="0"/>
        </w:rPr>
        <w:t xml:space="preserve">Éligibilité et Aide Juridique (BAJ) :</w:t>
      </w:r>
      <w:r w:rsidDel="00000000" w:rsidR="00000000" w:rsidRPr="00000000">
        <w:rPr>
          <w:color w:val="1f1f1f"/>
          <w:rtl w:val="0"/>
        </w:rPr>
        <w:t xml:space="preserve"> Étant éligible à l’aide juridique de deuxième ligne, je sollicite une désignation pour ce dossier. Je tiens à votre disposition mon dossier administratif complet (identité, revenus, composition de ménage) dès que vous m'aurez confirmé pouvoir prendre en charge cette urgence.</w:t>
      </w:r>
    </w:p>
    <w:p w:rsidR="00000000" w:rsidDel="00000000" w:rsidP="00000000" w:rsidRDefault="00000000" w:rsidRPr="00000000" w14:paraId="00000022">
      <w:pPr>
        <w:shd w:fill="ffffff" w:val="clear"/>
        <w:spacing w:after="200" w:before="200" w:lineRule="auto"/>
        <w:rPr>
          <w:color w:val="1f1f1f"/>
        </w:rPr>
      </w:pPr>
      <w:r w:rsidDel="00000000" w:rsidR="00000000" w:rsidRPr="00000000">
        <w:rPr>
          <w:b w:val="1"/>
          <w:bCs w:val="1"/>
          <w:color w:val="1f1f1f"/>
          <w:rtl w:val="0"/>
        </w:rPr>
        <w:t xml:space="preserve">Disponibilités :</w:t>
      </w:r>
      <w:r w:rsidDel="00000000" w:rsidR="00000000" w:rsidRPr="00000000">
        <w:rPr>
          <w:color w:val="1f1f1f"/>
          <w:rtl w:val="0"/>
        </w:rPr>
        <w:t xml:space="preserve"> Conscient de l'échéance du 12 février, je suis disponible pour un entretien téléphonique ou une rencontre en vos bureaux dès demain afin de vous remettre l'intégralité des pièces (mises en demeure, rapports techniques, échanges avec le syndic).</w:t>
      </w:r>
    </w:p>
    <w:p w:rsidR="00000000" w:rsidDel="00000000" w:rsidP="00000000" w:rsidRDefault="00000000" w:rsidRPr="00000000" w14:paraId="00000023">
      <w:pPr>
        <w:shd w:fill="ffffff" w:val="clear"/>
        <w:spacing w:after="200" w:before="200" w:lineRule="auto"/>
        <w:rPr>
          <w:color w:val="1f1f1f"/>
        </w:rPr>
      </w:pPr>
      <w:r w:rsidDel="00000000" w:rsidR="00000000" w:rsidRPr="00000000">
        <w:rPr>
          <w:color w:val="1f1f1f"/>
          <w:rtl w:val="0"/>
        </w:rPr>
        <w:t xml:space="preserve">Dans l'attente de votre réponse que j'espère favorable, je vous prie d'agréer, Maître, l'expression de mes sentiments distingués.</w:t>
      </w:r>
    </w:p>
    <w:p w:rsidR="00000000" w:rsidDel="00000000" w:rsidP="00000000" w:rsidRDefault="00000000" w:rsidRPr="00000000" w14:paraId="00000024">
      <w:pPr>
        <w:shd w:fill="ffffff" w:val="clear"/>
        <w:spacing w:after="200" w:before="200" w:lineRule="auto"/>
        <w:rPr>
          <w:color w:val="1f1f1f"/>
        </w:rPr>
      </w:pPr>
      <w:r w:rsidDel="00000000" w:rsidR="00000000" w:rsidRPr="00000000">
        <w:rPr>
          <w:b w:val="1"/>
          <w:bCs w:val="1"/>
          <w:color w:val="1f1f1f"/>
          <w:rtl w:val="0"/>
        </w:rPr>
        <w:t xml:space="preserve">Dante-Gabryell MONSON</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Whatsapp : +32 488120597</w:t>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rFonts w:ascii="Arial" w:cs="Arial" w:eastAsia="Arial" w:hAnsi="Arial"/>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