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À l’attention de Monsieur/Madame le Juge de Paix du 4ème canton de Bruxelles (Laeken)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OBJET : REQUÊTE EN EXTRÊME URGENCE (PROCÉDURE EN RÉFÉRÉ)</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Suspension de l’Assemblée Générale Extraordinaire du 12 février 2026</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Suspension du Syndic HOMELAND pour fautes graves et désignation d'un administrateur provisoire</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Injonction de cessation d'immixtion et de respect de la collégialité</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Communication de documents techniques sous astreinte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DEMANDEUR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MONSON, Dante-Gabryell</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Rue de Molenbeek 184 bte 17, 1020 Laeken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Membre élu du Conseil de Copropriété (CdC) de l’ACP Lot 2 - Tivoli Greencity.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PARTIE DÉFENDERESSE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L'Association des Copropriétaires (ACP) du Lot 2 – Tivoli Greencity, représentée par son syndic, la société </w:t>
      </w:r>
      <w:r w:rsidDel="00000000" w:rsidR="00000000" w:rsidRPr="00000000">
        <w:rPr>
          <w:b w:val="1"/>
          <w:bCs w:val="1"/>
          <w:color w:val="1f1f1f"/>
          <w:rtl w:val="0"/>
        </w:rPr>
        <w:t xml:space="preserve">HOMELAND IMMO</w:t>
      </w:r>
      <w:r w:rsidDel="00000000" w:rsidR="00000000" w:rsidRPr="00000000">
        <w:rPr>
          <w:color w:val="1f1f1f"/>
          <w:rtl w:val="0"/>
        </w:rPr>
        <w:t xml:space="preserve">, Rue de Bretagne 24, 1200 Woluwé-Saint-Lambert.</w:t>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Monsieur/Madame le Juge,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Je sollicite votre intervention immédiate pour interrompre une dérive de gouvernance et de gestion qui dure depuis la livraison du projet "Tivoli Greencity" en 2018. En ma qualité de membre élu de l'organe de contrôle, je dénonce une tentative de spoliation orchestrée par une collusion entre le syndic et le promoteur, visant à éteindre les responsabilités décennales avant leur échéance en 2029.</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1. SUR L’URGENCE ET LA RECEVABILITÉ</w:t>
      </w:r>
      <w:r w:rsidDel="00000000" w:rsidR="00000000" w:rsidRPr="00000000">
        <w:rPr>
          <w:color w:val="1f1f1f"/>
          <w:rtl w:val="0"/>
        </w:rPr>
        <w:t xml:space="preserve"> L'urgence est caractérisée par la convocation d'une AGE le </w:t>
      </w:r>
      <w:r w:rsidDel="00000000" w:rsidR="00000000" w:rsidRPr="00000000">
        <w:rPr>
          <w:b w:val="1"/>
          <w:bCs w:val="1"/>
          <w:color w:val="1f1f1f"/>
          <w:rtl w:val="0"/>
        </w:rPr>
        <w:t xml:space="preserve">12 février 2026</w:t>
      </w:r>
      <w:r w:rsidDel="00000000" w:rsidR="00000000" w:rsidRPr="00000000">
        <w:rPr>
          <w:color w:val="1f1f1f"/>
          <w:rtl w:val="0"/>
        </w:rPr>
        <w:t xml:space="preserve"> visant à imposer un "protocole transactionnel" irréversible. Étant éligible à l'aide juridique (BAJ) mais n'ayant rendez-vous que le </w:t>
      </w:r>
      <w:r w:rsidDel="00000000" w:rsidR="00000000" w:rsidRPr="00000000">
        <w:rPr>
          <w:b w:val="1"/>
          <w:bCs w:val="1"/>
          <w:color w:val="1f1f1f"/>
          <w:rtl w:val="0"/>
        </w:rPr>
        <w:t xml:space="preserve">19 février 2026</w:t>
      </w:r>
      <w:r w:rsidDel="00000000" w:rsidR="00000000" w:rsidRPr="00000000">
        <w:rPr>
          <w:color w:val="1f1f1f"/>
          <w:rtl w:val="0"/>
        </w:rPr>
        <w:t xml:space="preserve">, votre ordonnance est le seul rempart contre un préjudice définitif.</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2. SUR LA PERSISTANCE DES VICES CACHÉS (VMC &amp; SÉCURITÉ)</w:t>
      </w:r>
      <w:r w:rsidDel="00000000" w:rsidR="00000000" w:rsidRPr="00000000">
        <w:rPr>
          <w:color w:val="1f1f1f"/>
          <w:rtl w:val="0"/>
        </w:rPr>
        <w:t xml:space="preserve"> Depuis 2021, des audits signalent des </w:t>
      </w:r>
      <w:r w:rsidDel="00000000" w:rsidR="00000000" w:rsidRPr="00000000">
        <w:rPr>
          <w:b w:val="1"/>
          <w:bCs w:val="1"/>
          <w:color w:val="1f1f1f"/>
          <w:rtl w:val="0"/>
        </w:rPr>
        <w:t xml:space="preserve">déséquilibres de pression critiques</w:t>
      </w:r>
      <w:r w:rsidDel="00000000" w:rsidR="00000000" w:rsidRPr="00000000">
        <w:rPr>
          <w:color w:val="1f1f1f"/>
          <w:rtl w:val="0"/>
        </w:rPr>
        <w:t xml:space="preserve"> entre les appartements.</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Risque Incendie :</w:t>
      </w:r>
      <w:r w:rsidDel="00000000" w:rsidR="00000000" w:rsidRPr="00000000">
        <w:rPr>
          <w:color w:val="1f1f1f"/>
          <w:rtl w:val="0"/>
        </w:rPr>
        <w:t xml:space="preserve"> Ces défauts compromettent le compartimentage Rf 60, risquant d'aspirer les fumées toxiques entre les appartements en violation des normes de sécurité (AR 07/07/1994).</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Dissimulation :</w:t>
      </w:r>
      <w:r w:rsidDel="00000000" w:rsidR="00000000" w:rsidRPr="00000000">
        <w:rPr>
          <w:color w:val="1f1f1f"/>
          <w:rtl w:val="0"/>
        </w:rPr>
        <w:t xml:space="preserve"> Le syndic Homeland, comme son prédécesseur Syncura, maintient une opacité sur ces rapports techniques pour favoriser un accord au rabais avec PARBAM/KAIROS.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3. SUR LA SPOLIATION FINANCIÈRE (EAUX GRISES &amp; FACTURES)</w:t>
      </w:r>
      <w:r w:rsidDel="00000000" w:rsidR="00000000" w:rsidRPr="00000000">
        <w:rPr>
          <w:color w:val="1f1f1f"/>
          <w:rtl w:val="0"/>
        </w:rPr>
        <w:t xml:space="preserve"> Le système de récupération des eaux grises, pilier du projet "Exemplaire", est en panne depuis 2019, générant des factures d'eau de ville massives.</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Préjudice de 82.353 € :</w:t>
      </w:r>
      <w:r w:rsidDel="00000000" w:rsidR="00000000" w:rsidRPr="00000000">
        <w:rPr>
          <w:color w:val="1f1f1f"/>
          <w:rtl w:val="0"/>
        </w:rPr>
        <w:t xml:space="preserve"> PARBAM refuse de rembourser le surcoût de 70.000 € d'eau de ville et les frais de maintenance indus.</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Risque Sanitaire :</w:t>
      </w:r>
      <w:r w:rsidDel="00000000" w:rsidR="00000000" w:rsidRPr="00000000">
        <w:rPr>
          <w:color w:val="1f1f1f"/>
          <w:rtl w:val="0"/>
        </w:rPr>
        <w:t xml:space="preserve"> Les dysfonctionnements exposent l'ACP à un risque de </w:t>
      </w:r>
      <w:r w:rsidDel="00000000" w:rsidR="00000000" w:rsidRPr="00000000">
        <w:rPr>
          <w:b w:val="1"/>
          <w:bCs w:val="1"/>
          <w:color w:val="1f1f1f"/>
          <w:rtl w:val="0"/>
        </w:rPr>
        <w:t xml:space="preserve">contamination croisée</w:t>
      </w:r>
      <w:r w:rsidDel="00000000" w:rsidR="00000000" w:rsidRPr="00000000">
        <w:rPr>
          <w:color w:val="1f1f1f"/>
          <w:rtl w:val="0"/>
        </w:rPr>
        <w:t xml:space="preserve"> (Norme NBN EN 1717), que le syndic omet de signaler dans le protocole de désactivation du système.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4. SUR L'ABUS DE GOUVERNANCE ET LA RUPTURE DE COLLÉGIALITÉ</w:t>
      </w:r>
      <w:r w:rsidDel="00000000" w:rsidR="00000000" w:rsidRPr="00000000">
        <w:rPr>
          <w:color w:val="1f1f1f"/>
          <w:rtl w:val="0"/>
        </w:rPr>
        <w:t xml:space="preserve"> Depuis la reprise de gestion en juin 2025, Homeland reproduit les schémas d'exclusion pratiqués par Syncura.</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Immixtion :</w:t>
      </w:r>
      <w:r w:rsidDel="00000000" w:rsidR="00000000" w:rsidRPr="00000000">
        <w:rPr>
          <w:color w:val="1f1f1f"/>
          <w:rtl w:val="0"/>
        </w:rPr>
        <w:t xml:space="preserve"> Des négociations secrètes ont lieu entre le syndic et certains membres du CdC (notamment Mme Vanderleen), excluant les voix dissidentes du processus décisionnel.</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Manquements Comptables :</w:t>
      </w:r>
      <w:r w:rsidDel="00000000" w:rsidR="00000000" w:rsidRPr="00000000">
        <w:rPr>
          <w:color w:val="1f1f1f"/>
          <w:rtl w:val="0"/>
        </w:rPr>
        <w:t xml:space="preserve"> Des montants sont imputés sans décomptes justificatifs, et le syndic génère des frais postaux massifs pour les 5ACP (3.800 €) en envoyant jusqu'à 7 courriers papier par jour par lot, au mépris des accords de communication électronique.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5. SUR L'ILLÉGALITÉ DU VOTE ET LA STRATÉGIE D'USURE</w:t>
      </w:r>
      <w:r w:rsidDel="00000000" w:rsidR="00000000" w:rsidRPr="00000000">
        <w:rPr>
          <w:color w:val="1f1f1f"/>
          <w:rtl w:val="0"/>
        </w:rPr>
        <w:t xml:space="preserve"> Le promoteur a délibérément fait traîner les échanges pendant des années pour nous amener au pied du mur. Le syndic tente aujourd'hui de faire voter à </w:t>
      </w:r>
      <w:r w:rsidDel="00000000" w:rsidR="00000000" w:rsidRPr="00000000">
        <w:rPr>
          <w:b w:val="1"/>
          <w:bCs w:val="1"/>
          <w:color w:val="1f1f1f"/>
          <w:rtl w:val="0"/>
        </w:rPr>
        <w:t xml:space="preserve">50%</w:t>
      </w:r>
      <w:r w:rsidDel="00000000" w:rsidR="00000000" w:rsidRPr="00000000">
        <w:rPr>
          <w:color w:val="1f1f1f"/>
          <w:rtl w:val="0"/>
        </w:rPr>
        <w:t xml:space="preserve"> l'abandon d'équipements collectifs et de garanties décennales, alors que la loi exige </w:t>
      </w:r>
      <w:r w:rsidDel="00000000" w:rsidR="00000000" w:rsidRPr="00000000">
        <w:rPr>
          <w:b w:val="1"/>
          <w:bCs w:val="1"/>
          <w:color w:val="1f1f1f"/>
          <w:rtl w:val="0"/>
        </w:rPr>
        <w:t xml:space="preserve">80%</w:t>
      </w:r>
      <w:r w:rsidDel="00000000" w:rsidR="00000000" w:rsidRPr="00000000">
        <w:rPr>
          <w:color w:val="1f1f1f"/>
          <w:rtl w:val="0"/>
        </w:rPr>
        <w:t xml:space="preserve"> (Art. 3.88).</w:t>
      </w:r>
    </w:p>
    <w:p w:rsidR="00000000" w:rsidDel="00000000" w:rsidP="00000000" w:rsidRDefault="00000000" w:rsidRPr="00000000" w14:paraId="0000001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PAR CES MOTIFS, PLAISE À MONSIEUR/MADAME LE JUGE DE :</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ORDONNER LA SUSPENSION</w:t>
      </w:r>
      <w:r w:rsidDel="00000000" w:rsidR="00000000" w:rsidRPr="00000000">
        <w:rPr>
          <w:color w:val="1f1f1f"/>
          <w:rtl w:val="0"/>
        </w:rPr>
        <w:t xml:space="preserve"> de l’Assemblée Générale prévue le 12 février 2026.</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PRONONCER LA SUSPENSION PROVISOIRE DU SYNDIC HOMELAND IMMO</w:t>
      </w:r>
      <w:r w:rsidDel="00000000" w:rsidR="00000000" w:rsidRPr="00000000">
        <w:rPr>
          <w:color w:val="1f1f1f"/>
          <w:rtl w:val="0"/>
        </w:rPr>
        <w:t xml:space="preserve"> pour fautes graves et désigner un </w:t>
      </w:r>
      <w:r w:rsidDel="00000000" w:rsidR="00000000" w:rsidRPr="00000000">
        <w:rPr>
          <w:b w:val="1"/>
          <w:bCs w:val="1"/>
          <w:color w:val="1f1f1f"/>
          <w:rtl w:val="0"/>
        </w:rPr>
        <w:t xml:space="preserve">administrateur provisoire</w:t>
      </w:r>
      <w:r w:rsidDel="00000000" w:rsidR="00000000" w:rsidRPr="00000000">
        <w:rPr>
          <w:color w:val="1f1f1f"/>
          <w:rtl w:val="0"/>
        </w:rPr>
        <w:t xml:space="preserve">.</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ORDONNER</w:t>
      </w:r>
      <w:r w:rsidDel="00000000" w:rsidR="00000000" w:rsidRPr="00000000">
        <w:rPr>
          <w:color w:val="1f1f1f"/>
          <w:rtl w:val="0"/>
        </w:rPr>
        <w:t xml:space="preserve"> la communication, sous astreinte de 500 €/jour, du rapport VMC 2021 et des certificats de conformité sanitaire.</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INTERROMPRE LA PRESCRIPTION DÉCENNALE</w:t>
      </w:r>
      <w:r w:rsidDel="00000000" w:rsidR="00000000" w:rsidRPr="00000000">
        <w:rPr>
          <w:color w:val="1f1f1f"/>
          <w:rtl w:val="0"/>
        </w:rPr>
        <w:t xml:space="preserve"> par injonction au syndic d'agir (Art. 2244 C. Civ.) avant la perte définitive de nos droits en 2029.</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color w:val="1f1f1f"/>
          <w:rtl w:val="0"/>
        </w:rPr>
        <w:t xml:space="preserve">Fait à Laeken, le 31 janvier 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