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À l’attention de Monsieur/Madame le Juge de Paix du 4ème canton de Bruxelles (Laeken)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 : REQUÊTE EN EXTRÊME URGENCE (PROCÉDURE EN RÉFÉRÉ)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DEMANDEUR :</w:t>
      </w:r>
      <w:r w:rsidDel="00000000" w:rsidR="00000000" w:rsidRPr="00000000">
        <w:rPr>
          <w:color w:val="1f1f1f"/>
          <w:rtl w:val="0"/>
        </w:rPr>
        <w:t xml:space="preserve"> MONSON, Dante-Gabryell - Rue de Molenbeek 184 bte17 , 1020 Laeken Membre élu du Conseil de Copropriété (CdC) de l’ACP Lot 2 - Tivoli Greencity.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PARTIE DÉFENDERESSE : </w:t>
      </w:r>
      <w:r w:rsidDel="00000000" w:rsidR="00000000" w:rsidRPr="00000000">
        <w:rPr>
          <w:color w:val="1f1f1f"/>
          <w:rtl w:val="0"/>
        </w:rPr>
        <w:t xml:space="preserve"> L'Association des Copropriétaires (ACP) du Lot 2 – Tivoli Greencity, représentée par son syndic, la société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HOMELAND IMMO</w:t>
      </w:r>
      <w:r w:rsidDel="00000000" w:rsidR="00000000" w:rsidRPr="00000000">
        <w:rPr>
          <w:color w:val="1f1f1f"/>
          <w:rtl w:val="0"/>
        </w:rPr>
        <w:t xml:space="preserve">, Rue de Bretagne 24, 1200 Woluwé-Saint-Lambert.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Monsieur/Madame le Juge,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Je sollicite votre intervention pour interrompre une stratégie d'usure visant à éteindre les responsabilités des constructeurs du projet "Tivoli Greencity".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SUR L’URGENCE ET LA PRÉCIPITATION SUSPECTE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 syndic a convoqué l'AGE du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 février 2026</w:t>
      </w:r>
      <w:r w:rsidDel="00000000" w:rsidR="00000000" w:rsidRPr="00000000">
        <w:rPr>
          <w:color w:val="1f1f1f"/>
          <w:rtl w:val="0"/>
        </w:rPr>
        <w:t xml:space="preserve"> avec un délai minimaliste, laissant aux 271 familles un temps dérisoire pour analyser un protocole transactionnel complexe engageant des millions d'euros. Cette précipitation, couplée à mon rendez-vous BAJ 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19 février</w:t>
      </w:r>
      <w:r w:rsidDel="00000000" w:rsidR="00000000" w:rsidRPr="00000000">
        <w:rPr>
          <w:color w:val="1f1f1f"/>
          <w:rtl w:val="0"/>
        </w:rPr>
        <w:t xml:space="preserve">, rend votre intervention indispensable pour éviter un fait accompli.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SUR LA NOTORIÉTÉ DES DYSFONCTIONNEMENTS (RTBF 2025)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L'inertie et les fautes de gestion que je dénonce ne sont pas isolées : elles ont fait l'objet d'une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enquête documentaire de la RTBF en 2025</w:t>
      </w:r>
      <w:r w:rsidDel="00000000" w:rsidR="00000000" w:rsidRPr="00000000">
        <w:rPr>
          <w:color w:val="1f1f1f"/>
          <w:rtl w:val="0"/>
        </w:rPr>
        <w:t xml:space="preserve">, soulignant l'ampleur des malfaçons et l'opacité de la gestion du site. Cette passivité organisée profite directement au promoteur PARBAM/KAIROS.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SUR LA STRATÉGIE D'USURE ET L'ÉCHELLE DU PRÉJUDICE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 syndic Homeland reproduit aujourd'hui les méthodes d'exclusion du précédent syndic (Syncura) pour atteindre l'échéance de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garantie décennale en 2029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L'enjeu est massif : le protocole impose un abandon de créance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82.353 €</w:t>
      </w:r>
      <w:r w:rsidDel="00000000" w:rsidR="00000000" w:rsidRPr="00000000">
        <w:rPr>
          <w:color w:val="1f1f1f"/>
          <w:rtl w:val="0"/>
        </w:rPr>
        <w:t xml:space="preserve"> (Lot 2) et vise à couvrir des défauts de conception (VMC, Eaux Grises) dont la remise aux normes est estimée 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400.000 € pour le Lot 2</w:t>
      </w:r>
      <w:r w:rsidDel="00000000" w:rsidR="00000000" w:rsidRPr="00000000">
        <w:rPr>
          <w:color w:val="1f1f1f"/>
          <w:rtl w:val="0"/>
        </w:rPr>
        <w:t xml:space="preserve">, et près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2.000.000 € pour l'ensemble du site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SUR LES FAUTES GRAVES ET LA RUPTURE DE COLLÉGIALITÉ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Sécurité :</w:t>
      </w:r>
      <w:r w:rsidDel="00000000" w:rsidR="00000000" w:rsidRPr="00000000">
        <w:rPr>
          <w:color w:val="1f1f1f"/>
          <w:rtl w:val="0"/>
        </w:rPr>
        <w:t xml:space="preserve"> Dissimulation du rapport VMC 2021 (risques incendie et compartimentage).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Santé :</w:t>
      </w:r>
      <w:r w:rsidDel="00000000" w:rsidR="00000000" w:rsidRPr="00000000">
        <w:rPr>
          <w:color w:val="1f1f1f"/>
          <w:rtl w:val="0"/>
        </w:rPr>
        <w:t xml:space="preserve"> Risque de contamination des eaux (Norme NBN EN 1717).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Gouvernance :</w:t>
      </w:r>
      <w:r w:rsidDel="00000000" w:rsidR="00000000" w:rsidRPr="00000000">
        <w:rPr>
          <w:color w:val="1f1f1f"/>
          <w:rtl w:val="0"/>
        </w:rPr>
        <w:t xml:space="preserve"> Système d'entre-soi avec une interlocutrice unique (Mme Vanderleen), excluant le contrôle collégial du CdC et censurant mes points à l'ordre du jour (Art. 3.87 C.Civ).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SUR L’ILLÉGALITÉ DU VOTE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Tentative d'obtenir 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50%</w:t>
      </w:r>
      <w:r w:rsidDel="00000000" w:rsidR="00000000" w:rsidRPr="00000000">
        <w:rPr>
          <w:color w:val="1f1f1f"/>
          <w:rtl w:val="0"/>
        </w:rPr>
        <w:t xml:space="preserve"> un abandon de droits exigeant légalement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80%</w:t>
      </w:r>
      <w:r w:rsidDel="00000000" w:rsidR="00000000" w:rsidRPr="00000000">
        <w:rPr>
          <w:color w:val="1f1f1f"/>
          <w:rtl w:val="0"/>
        </w:rPr>
        <w:t xml:space="preserve"> (Art. 3.88 C.Civ).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 CES MOTIFS, PLAISE À MONSIEUR/MADAME LE JUGE DE 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ORDONNER LA SUSPENSION</w:t>
      </w:r>
      <w:r w:rsidDel="00000000" w:rsidR="00000000" w:rsidRPr="00000000">
        <w:rPr>
          <w:color w:val="1f1f1f"/>
          <w:rtl w:val="0"/>
        </w:rPr>
        <w:t xml:space="preserve"> de l’AG du 12 février 2026.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PRONONCER LA SUSPENSION PROVISOIRE DU SYNDIC HOMELAND</w:t>
      </w:r>
      <w:r w:rsidDel="00000000" w:rsidR="00000000" w:rsidRPr="00000000">
        <w:rPr>
          <w:color w:val="1f1f1f"/>
          <w:rtl w:val="0"/>
        </w:rPr>
        <w:t xml:space="preserve"> et désigner un administrateur provisoire.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ORDONNER</w:t>
      </w:r>
      <w:r w:rsidDel="00000000" w:rsidR="00000000" w:rsidRPr="00000000">
        <w:rPr>
          <w:color w:val="1f1f1f"/>
          <w:rtl w:val="0"/>
        </w:rPr>
        <w:t xml:space="preserve"> la communication sous astreinte (500€/jour) du rapport VMC 2021.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INTERROMPRE LA PRESCRIPTION DÉCENNALE</w:t>
      </w:r>
      <w:r w:rsidDel="00000000" w:rsidR="00000000" w:rsidRPr="00000000">
        <w:rPr>
          <w:color w:val="1f1f1f"/>
          <w:rtl w:val="0"/>
        </w:rPr>
        <w:t xml:space="preserve"> (Art. 2244 C. Civ.) face au promoteur.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Fait à Bruxelles, le 31 janvier 2026.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