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ohjvjunqden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NOTE DE SYNTHÈSE : CHRONOLOGIE DE LA CARENCE ET DE LA STRATÉGIE D'USURE (2020-2026)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À l’attention de Monsieur/Madame le Juge de Paix,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Afin de ne pas encombrer les débats tout en éclairant le Tribunal sur l'origine du litige, le demandeur a sélectionné les pièces historiques démontrant que les défauts de conception (VMC/Santé/Égouttage) sont connus du promoteur (PARBAM/KAIROS) et des syndics successifs depuis la livraison, sans résolution effective à ce jour.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L’intégralité de la correspondance (plus de 500 échanges) est tenue à la disposition du tribunal.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u6hea28hf0y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L'aveu des malfaçons structurelles (2021)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 fév. 2021 :</w:t>
      </w:r>
      <w:r w:rsidDel="00000000" w:rsidR="00000000" w:rsidRPr="00000000">
        <w:rPr>
          <w:color w:val="1f1f1f"/>
          <w:rtl w:val="0"/>
        </w:rPr>
        <w:t xml:space="preserve"> Le promoteur (R. Van Boeckel - KAIROS) admet par écrit des doutes sur la conformité de l'égouttage et propose une transaction financière immédiate pour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"éviter un blocage judiciaire"</w:t>
      </w:r>
      <w:r w:rsidDel="00000000" w:rsidR="00000000" w:rsidRPr="00000000">
        <w:rPr>
          <w:color w:val="1f1f1f"/>
          <w:rtl w:val="0"/>
        </w:rPr>
        <w:t xml:space="preserve">. Le syndic de l'époque (Syncura) confirme des contre-pentes d'égouttage graves.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Pièce H1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29 oct. 2021 :</w:t>
      </w:r>
      <w:r w:rsidDel="00000000" w:rsidR="00000000" w:rsidRPr="00000000">
        <w:rPr>
          <w:color w:val="1f1f1f"/>
          <w:rtl w:val="0"/>
        </w:rPr>
        <w:t xml:space="preserve"> Aveu écrit du promoteur reconnaissant un défaut majeur de conception 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les fumées de la chaudière collective sont aspirées par la ventilation (VMC) des logements</w:t>
      </w:r>
      <w:r w:rsidDel="00000000" w:rsidR="00000000" w:rsidRPr="00000000">
        <w:rPr>
          <w:color w:val="1f1f1f"/>
          <w:rtl w:val="0"/>
        </w:rPr>
        <w:t xml:space="preserve">.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Pièce H3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t8hysugjiy1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L'échec des solutions palliatives et les risques sanitaires (2022-2025)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Tentatives inopérantes :</w:t>
      </w:r>
      <w:r w:rsidDel="00000000" w:rsidR="00000000" w:rsidRPr="00000000">
        <w:rPr>
          <w:color w:val="1f1f1f"/>
          <w:rtl w:val="0"/>
        </w:rPr>
        <w:t xml:space="preserve"> Le promoteur a déplacé la prise d'air sans étude d'impact sérieuse. Cette mesure purement cosmétique n'a pas résolu la pollution croisée.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Maintien à l'arrêt du filtre électrostatique (Pièce H5) :</w:t>
      </w:r>
      <w:r w:rsidDel="00000000" w:rsidR="00000000" w:rsidRPr="00000000">
        <w:rPr>
          <w:color w:val="1f1f1f"/>
          <w:rtl w:val="0"/>
        </w:rPr>
        <w:t xml:space="preserve"> Malgré la pollution aux particules fines avérée, le filtre de la cheminée à pellets n'est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délibérément pas activé ni entretenu</w:t>
      </w:r>
      <w:r w:rsidDel="00000000" w:rsidR="00000000" w:rsidRPr="00000000">
        <w:rPr>
          <w:color w:val="1f1f1f"/>
          <w:rtl w:val="0"/>
        </w:rPr>
        <w:t xml:space="preserve"> (raisons d'économie/maintenance), condamnant les habitants à respirer un air vicié aspiré par leur propre VMC.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Persistance des nuisances :</w:t>
      </w:r>
      <w:r w:rsidDel="00000000" w:rsidR="00000000" w:rsidRPr="00000000">
        <w:rPr>
          <w:color w:val="1f1f1f"/>
          <w:rtl w:val="0"/>
        </w:rPr>
        <w:t xml:space="preserve"> Les rapports de maintenance (Dauvister) confirment que les odeurs et reflux persistent malgré les interventions "pansements".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Pièce H2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0g9fdstjzkg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La volonté de l'ACP de judiciariser dès 2021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 juin 2021 :</w:t>
      </w:r>
      <w:r w:rsidDel="00000000" w:rsidR="00000000" w:rsidRPr="00000000">
        <w:rPr>
          <w:color w:val="1f1f1f"/>
          <w:rtl w:val="0"/>
        </w:rPr>
        <w:t xml:space="preserve"> Le PV de l'Assemblée Générale mentionne le vote d'une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provision de 5.000 €</w:t>
      </w:r>
      <w:r w:rsidDel="00000000" w:rsidR="00000000" w:rsidRPr="00000000">
        <w:rPr>
          <w:color w:val="1f1f1f"/>
          <w:rtl w:val="0"/>
        </w:rPr>
        <w:t xml:space="preserve"> spécifiquement destinée à un recours juridique contre le promoteur. Ceci prouve que le litige est structurel et que les copropriétaires ont été maintenus dans l'attente par une stratégie de pourrissement.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Pièce H4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peh4e6ezaep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La "Capture" du processus par le Syndic actuel (2025-2026)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 passage au syndic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Homeland</w:t>
      </w:r>
      <w:r w:rsidDel="00000000" w:rsidR="00000000" w:rsidRPr="00000000">
        <w:rPr>
          <w:color w:val="1f1f1f"/>
          <w:rtl w:val="0"/>
        </w:rPr>
        <w:t xml:space="preserve"> n'a fait qu'accentuer le péril. Le syndic tente aujourd'hui de forcer le vote d'un "Protocole Global" (Point 5 de l'AG du 12/02) qui 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Liquide les droits de l'ACP</w:t>
      </w:r>
      <w:r w:rsidDel="00000000" w:rsidR="00000000" w:rsidRPr="00000000">
        <w:rPr>
          <w:color w:val="1f1f1f"/>
          <w:rtl w:val="0"/>
        </w:rPr>
        <w:t xml:space="preserve"> contre un montant dérisoire face aux 2 millions d'euros d'enjeux identifiés.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S'appuie sur une majorité illégale de 50%</w:t>
      </w:r>
      <w:r w:rsidDel="00000000" w:rsidR="00000000" w:rsidRPr="00000000">
        <w:rPr>
          <w:color w:val="1f1f1f"/>
          <w:rtl w:val="0"/>
        </w:rPr>
        <w:t xml:space="preserve"> pour un abandon de créance et des travaux de modification structurelle (exigeant 80% selon l'Art. 3.88).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Ignore les alertes de sécurité incendie</w:t>
      </w:r>
      <w:r w:rsidDel="00000000" w:rsidR="00000000" w:rsidRPr="00000000">
        <w:rPr>
          <w:color w:val="1f1f1f"/>
          <w:rtl w:val="0"/>
        </w:rPr>
        <w:t xml:space="preserve"> (Rapport VMC 2021 dissimulé et absence de DIU conforme).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Conclusion :</w:t>
      </w:r>
      <w:r w:rsidDel="00000000" w:rsidR="00000000" w:rsidRPr="00000000">
        <w:rPr>
          <w:color w:val="1f1f1f"/>
          <w:rtl w:val="0"/>
        </w:rPr>
        <w:t xml:space="preserve"> La suspension de l'AG du 12 février est la seule mesure permettant de protéger la santé des occupants et l'intégrité financière de l'ACP face à une stratégie d'usure visant la prescription décennale (2029).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