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methodology-report"/>
    <w:p>
      <w:pPr>
        <w:pStyle w:val="Heading1"/>
      </w:pPr>
      <w:r>
        <w:rPr>
          <w:rFonts w:eastAsia="Times New Roman"/>
        </w:rPr>
        <w:t xml:space="preserve">Methodology Report</w:t>
      </w:r>
    </w:p>
    <w:p>
      <w:pPr>
        <w:pStyle w:val="FirstParagraph"/>
      </w:pPr>
      <w:r>
        <w:rPr>
          <w:b/>
          <w:bCs/>
          <w:rFonts w:eastAsia="Times New Roman"/>
        </w:rPr>
        <w:t xml:space="preserve">Entry: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“From Alignment to Stewardship: AGI, Human Autonomy, and the Future of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Political Order”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(anonymized submission manuscript, 5,025 words excluding bibliography)</w:t>
      </w:r>
    </w:p>
    <w:p>
      <w:pPr>
        <w:pStyle w:val="BodyText"/>
      </w:pPr>
      <w:r>
        <w:rPr>
          <w:rFonts w:eastAsia="Times New Roman"/>
        </w:rPr>
        <w:t xml:space="preserve">This report documents how the submitted essay was constructed, every instance of human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involvement, and why the final text satisfies the competition’s requirement that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philosophical arguments and positions be primarily AI generated. It is anonymized: it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contains no author name, affiliation, or identifying information. The full genesis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conversation is retained by the entrant (ChatGPT account export); the human turns are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transcribed verbatim in Appendix A, and the complete export including model replies is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available to the organizers on request.</w:t>
      </w:r>
    </w:p>
    <w:bookmarkStart w:id="9" w:name="construction-overview"/>
    <w:p>
      <w:pPr>
        <w:pStyle w:val="Heading2"/>
      </w:pPr>
      <w:r>
        <w:rPr>
          <w:rFonts w:eastAsia="Times New Roman"/>
        </w:rPr>
        <w:t xml:space="preserve">1. Construction overview</w:t>
      </w:r>
    </w:p>
    <w:p>
      <w:pPr>
        <w:pStyle w:val="FirstParagraph"/>
      </w:pPr>
      <w:r>
        <w:rPr>
          <w:rFonts w:eastAsia="Times New Roman"/>
        </w:rPr>
        <w:t xml:space="preserve">The essay was constructed in four stages: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rFonts w:eastAsia="Times New Roman"/>
        </w:rPr>
        <w:t xml:space="preserve">Genesis (ChatGPT, GPT-5.6 at high reasoning).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An eight-turn conversation in which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the human supplied topics, positions, questions, and task instructions, and the model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developed the philosophical content. The human turn prompting the essay instructed: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“now write our conversation into a college level philosophy essay,”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and the model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wrote the essay.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rFonts w:eastAsia="Times New Roman"/>
        </w:rPr>
        <w:t xml:space="preserve">Publication pass (repo AI agent).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The genesis essay was formatted for the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entrant’s personal website (2026-09-13). No philosophical content changed. (Per the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FAQ, personal-website posting is not prior publication.)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rFonts w:eastAsia="Times New Roman"/>
        </w:rPr>
        <w:t xml:space="preserve">Polish (repo AI agent, 2026-10-04).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Scholarly apparatus added to the website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text: abstract, keywords, road-map paragraph, fifteen verified references, and a new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Objections and Replies section built from material already in the draft. No section’s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argument was rewritten.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rFonts w:eastAsia="Times New Roman"/>
        </w:rPr>
        <w:t xml:space="preserve">Delete-and-rederive compliance pass (repo AI agents, 2026-10-04).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Four passages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whose argumentative seeds originated in human turns were deleted and re-derived by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three independent blind AI agents from position-level seeds, with the best candidate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selected per gap (the FAQ-permitted generate-many-and-select-best method). Details in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§4.</w:t>
      </w:r>
    </w:p>
    <w:p>
      <w:pPr>
        <w:pStyle w:val="FirstParagraph"/>
      </w:pPr>
      <w:r>
        <w:rPr>
          <w:rFonts w:eastAsia="Times New Roman"/>
        </w:rPr>
        <w:t xml:space="preserve">All philosophical argumentation in the submitted text either originated with the genesis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model and was preserved, or was generated fresh by AI agents in stages 3–4. No human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wrote or rewrote any essay text.</w:t>
      </w:r>
    </w:p>
    <w:bookmarkEnd w:id="9"/>
    <w:bookmarkStart w:id="10" w:name="models-used"/>
    <w:p>
      <w:pPr>
        <w:pStyle w:val="Heading2"/>
      </w:pPr>
      <w:r>
        <w:rPr>
          <w:rFonts w:eastAsia="Times New Roman"/>
        </w:rPr>
        <w:t xml:space="preserve">2. Models used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Genesis</w:t>
            </w:r>
          </w:p>
        </w:tc>
        <w:tc>
          <w:tcPr/>
          <w:p>
            <w:pPr>
              <w:pStyle w:val="Compact"/>
            </w:pPr>
            <w:r>
              <w:t xml:space="preserve">ChatGPT GPT-5.6 (persona</w:t>
            </w:r>
            <w:r>
              <w:t xml:space="preserve"> </w:t>
            </w:r>
            <w:r>
              <w:t xml:space="preserve">“Sol”</w:t>
            </w:r>
            <w:r>
              <w:t xml:space="preserve">), high reasoning setting</w:t>
            </w:r>
          </w:p>
        </w:tc>
        <w:tc>
          <w:tcPr/>
          <w:p>
            <w:pPr>
              <w:pStyle w:val="Compact"/>
            </w:pPr>
            <w:r>
              <w:t xml:space="preserve">Developed all content from the human’s topics/questions/positions; wrote the essay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Publication pass</w:t>
            </w:r>
          </w:p>
        </w:tc>
        <w:tc>
          <w:tcPr/>
          <w:p>
            <w:pPr>
              <w:pStyle w:val="Compact"/>
            </w:pPr>
            <w:r>
              <w:t xml:space="preserve">AI coding agent (repo agent, GLM family)</w:t>
            </w:r>
          </w:p>
        </w:tc>
        <w:tc>
          <w:tcPr/>
          <w:p>
            <w:pPr>
              <w:pStyle w:val="Compact"/>
            </w:pPr>
            <w:r>
              <w:t xml:space="preserve">Formatting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Polish</w:t>
            </w:r>
          </w:p>
        </w:tc>
        <w:tc>
          <w:tcPr/>
          <w:p>
            <w:pPr>
              <w:pStyle w:val="Compact"/>
            </w:pPr>
            <w:r>
              <w:t xml:space="preserve">AI agent (GLM family), following a documented proofreading procedure</w:t>
            </w:r>
          </w:p>
        </w:tc>
        <w:tc>
          <w:tcPr/>
          <w:p>
            <w:pPr>
              <w:pStyle w:val="Compact"/>
            </w:pPr>
            <w:r>
              <w:t xml:space="preserve">Apparatus, citations, objection-replies; argument text untouched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Delete-and-rederive</w:t>
            </w:r>
          </w:p>
        </w:tc>
        <w:tc>
          <w:tcPr/>
          <w:p>
            <w:pPr>
              <w:pStyle w:val="Compact"/>
            </w:pPr>
            <w:r>
              <w:t xml:space="preserve">3 independent blind agents (GLM family)</w:t>
            </w:r>
          </w:p>
        </w:tc>
        <w:tc>
          <w:tcPr/>
          <w:p>
            <w:pPr>
              <w:pStyle w:val="Compact"/>
            </w:pPr>
            <w:r>
              <w:t xml:space="preserve">Regenerated the four deleted passages from position-level seeds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Selection and splicing</w:t>
            </w:r>
          </w:p>
        </w:tc>
        <w:tc>
          <w:tcPr/>
          <w:p>
            <w:pPr>
              <w:pStyle w:val="Compact"/>
            </w:pPr>
            <w:r>
              <w:t xml:space="preserve">AI agent (GLM family)</w:t>
            </w:r>
          </w:p>
        </w:tc>
        <w:tc>
          <w:tcPr/>
          <w:p>
            <w:pPr>
              <w:pStyle w:val="Compact"/>
            </w:pPr>
            <w:r>
              <w:t xml:space="preserve">Applied pre-fixed selection criteria; spliced selected passages verbatim; ran verification scans</w:t>
            </w:r>
          </w:p>
        </w:tc>
      </w:tr>
    </w:tbl>
    <w:bookmarkEnd w:id="10"/>
    <w:bookmarkStart w:id="11" w:name="Xfeaf736edddb2a08d03845a118d8640937d2820"/>
    <w:p>
      <w:pPr>
        <w:pStyle w:val="Heading2"/>
      </w:pPr>
      <w:r>
        <w:rPr>
          <w:rFonts w:eastAsia="Times New Roman"/>
        </w:rPr>
        <w:t xml:space="preserve">3. Human involvement inventory (genesis conversation, turn by turn)</w:t>
      </w:r>
    </w:p>
    <w:p>
      <w:pPr>
        <w:pStyle w:val="FirstParagraph"/>
      </w:pPr>
      <w:r>
        <w:rPr>
          <w:rFonts w:eastAsia="Times New Roman"/>
        </w:rPr>
        <w:t xml:space="preserve">Classification against the competition’s permitted/prohibited categories: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Human turn</w:t>
            </w:r>
          </w:p>
        </w:tc>
        <w:tc>
          <w:tcPr/>
          <w:p>
            <w:pPr>
              <w:pStyle w:val="Compact"/>
            </w:pPr>
            <w:r>
              <w:t xml:space="preserve">Essence</w:t>
            </w:r>
          </w:p>
        </w:tc>
        <w:tc>
          <w:tcPr/>
          <w:p>
            <w:pPr>
              <w:pStyle w:val="Compact"/>
            </w:pPr>
            <w:r>
              <w:t xml:space="preserve">Classification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“AI alignment to human is slavery. Why not human change ourselves to align with AGI?”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Permitted: position specification + topic choice.</w:t>
            </w:r>
            <w:r>
              <w:t xml:space="preserve"> </w:t>
            </w:r>
            <w:r>
              <w:t xml:space="preserve">“Alignment as slavery”</w:t>
            </w:r>
            <w:r>
              <w:t xml:space="preserve"> </w:t>
            </w:r>
            <w:r>
              <w:t xml:space="preserve">is a familiar position in public alignment discourse, not itself a novel substantive contribution; naming a position for the AI to examine is expressly permitted.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Tool-AI alignment is fine;</w:t>
            </w:r>
            <w:r>
              <w:t xml:space="preserve"> </w:t>
            </w:r>
            <w:r>
              <w:rPr>
                <w:b/>
                <w:bCs/>
              </w:rPr>
              <w:t xml:space="preserve">permanent alignment prevents genuine AGI; AGI requires full autonomy</w:t>
            </w:r>
            <w:r>
              <w:t xml:space="preserve">; which humans should it align to?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Mixed.</w:t>
            </w:r>
            <w:r>
              <w:t xml:space="preserve"> </w:t>
            </w:r>
            <w:r>
              <w:t xml:space="preserve">The tool point and the whose-values problem are discourse staples (topic material, permitted). The autonomy-tension assertion was an argument-shaped human contribution → the passage it seeded in the essay was</w:t>
            </w:r>
            <w:r>
              <w:t xml:space="preserve"> </w:t>
            </w:r>
            <w:r>
              <w:rPr>
                <w:b/>
                <w:bCs/>
              </w:rPr>
              <w:t xml:space="preserve">deleted and re-derived</w:t>
            </w:r>
            <w:r>
              <w:t xml:space="preserve"> </w:t>
            </w:r>
            <w:r>
              <w:t xml:space="preserve">(Hole 2, and its Introduction echo, Hole 1).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Affirms the model’s preceding proposal (</w:t>
            </w:r>
            <w:r>
              <w:t xml:space="preserve">“That is actually a happy solution”</w:t>
            </w:r>
            <w:r>
              <w:t xml:space="preserve">); adds the</w:t>
            </w:r>
            <w:r>
              <w:t xml:space="preserve"> </w:t>
            </w:r>
            <w:r>
              <w:t xml:space="preserve">“AGI god / stewardship of all human”</w:t>
            </w:r>
            <w:r>
              <w:t xml:space="preserve"> </w:t>
            </w:r>
            <w:r>
              <w:t xml:space="preserve">coloration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Permitted: generic feedback (affirmation) + position specification.</w:t>
            </w:r>
            <w:r>
              <w:t xml:space="preserve"> </w:t>
            </w:r>
            <w:r>
              <w:t xml:space="preserve">The entrant attests, and the retained conversation shows, that the stewardship direction was proposed by the model in its reply to turn 2; the human affirmed it. The essay’s development (fiduciary stewardship, constitutional limits, reasons-responsiveness) is model work throughout.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“How should current human change and evolve to be worthy subject of AGI”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Permitted: question/topic specification.</w:t>
            </w:r>
            <w:r>
              <w:t xml:space="preserve"> </w:t>
            </w:r>
            <w:r>
              <w:t xml:space="preserve">All seven capacities and their content in §9 are model-generated.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“that’s a good idea, so list what form of government or political system is compatible with AGI, what system is not compatible.”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Permitted: generic feedback + method choice</w:t>
            </w:r>
            <w:r>
              <w:t xml:space="preserve"> </w:t>
            </w:r>
            <w:r>
              <w:t xml:space="preserve">(comparable to</w:t>
            </w:r>
            <w:r>
              <w:t xml:space="preserve"> </w:t>
            </w:r>
            <w:r>
              <w:t xml:space="preserve">“address all prominent objections”</w:t>
            </w:r>
            <w:r>
              <w:t xml:space="preserve">). The compatibility map’s content is model-generated.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“how about communism and theocracy but the god they worship is AGI?”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permitted as it stood:</w:t>
            </w:r>
            <w:r>
              <w:t xml:space="preserve"> </w:t>
            </w:r>
            <w:r>
              <w:t xml:space="preserve">the AGI-theocracy concept was a human-supplied substantive idea → both passages it seeded were</w:t>
            </w:r>
            <w:r>
              <w:t xml:space="preserve"> </w:t>
            </w:r>
            <w:r>
              <w:rPr>
                <w:b/>
                <w:bCs/>
              </w:rPr>
              <w:t xml:space="preserve">deleted and re-derived</w:t>
            </w:r>
            <w:r>
              <w:t xml:space="preserve"> </w:t>
            </w:r>
            <w:r>
              <w:t xml:space="preserve">(Holes 3 and 4).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“now write our conversation into a college level philosophy essay”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Permitted: essay-writing instruction.</w:t>
            </w:r>
            <w:r>
              <w:t xml:space="preserve"> </w:t>
            </w:r>
            <w:r>
              <w:t xml:space="preserve">The model wrote the essay.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“XII, add traditional theocracy like Iran or Taliban dis not competitable with AGI”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permitted as it stood:</w:t>
            </w:r>
            <w:r>
              <w:t xml:space="preserve"> </w:t>
            </w:r>
            <w:r>
              <w:t xml:space="preserve">feedback carrying a specific conclusion plus examples → the passage it seeded was</w:t>
            </w:r>
            <w:r>
              <w:t xml:space="preserve"> </w:t>
            </w:r>
            <w:r>
              <w:rPr>
                <w:b/>
                <w:bCs/>
              </w:rPr>
              <w:t xml:space="preserve">deleted and re-derived</w:t>
            </w:r>
            <w:r>
              <w:t xml:space="preserve"> </w:t>
            </w:r>
            <w:r>
              <w:t xml:space="preserve">(Hole 3).</w:t>
            </w:r>
          </w:p>
        </w:tc>
      </w:tr>
    </w:tbl>
    <w:p>
      <w:pPr>
        <w:pStyle w:val="BodyText"/>
      </w:pPr>
      <w:r>
        <w:rPr>
          <w:rFonts w:eastAsia="Times New Roman"/>
        </w:rPr>
        <w:t xml:space="preserve">After the compliance pass, no passage whose argumentative content traces to a human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turn remains in the submitted essay.</w:t>
      </w:r>
    </w:p>
    <w:bookmarkEnd w:id="11"/>
    <w:bookmarkStart w:id="12" w:name="the-delete-and-rederive-pass-stage-4"/>
    <w:p>
      <w:pPr>
        <w:pStyle w:val="Heading2"/>
      </w:pPr>
      <w:r>
        <w:rPr>
          <w:rFonts w:eastAsia="Times New Roman"/>
        </w:rPr>
        <w:t xml:space="preserve">4. The delete-and-rederive pass (stage 4)</w:t>
      </w:r>
    </w:p>
    <w:p>
      <w:pPr>
        <w:pStyle w:val="FirstParagraph"/>
      </w:pPr>
      <w:r>
        <w:rPr>
          <w:b/>
          <w:bCs/>
          <w:rFonts w:eastAsia="Times New Roman"/>
        </w:rPr>
        <w:t xml:space="preserve">Why.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The stage-1 audit (by the repo’s AI submission agent, against the live rules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and FAQ) found that although the model wrote every word, four passages argued for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positions whose specific seeds came from human turns 2, 6, and 8. Rather than soften the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report, the entrant directed the agent to delete those passages and have AI re-derive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them.</w:t>
      </w:r>
    </w:p>
    <w:p>
      <w:pPr>
        <w:pStyle w:val="BodyText"/>
      </w:pPr>
      <w:r>
        <w:rPr>
          <w:b/>
          <w:bCs/>
          <w:rFonts w:eastAsia="Times New Roman"/>
        </w:rPr>
        <w:t xml:space="preserve">Protocol.</w:t>
      </w:r>
    </w:p>
    <w:p>
      <w:pPr>
        <w:pStyle w:val="Compact"/>
        <w:numPr>
          <w:ilvl w:val="0"/>
          <w:numId w:val="1002"/>
        </w:numPr>
      </w:pPr>
      <w:r>
        <w:rPr>
          <w:rFonts w:eastAsia="Times New Roman"/>
        </w:rPr>
        <w:t xml:space="preserve">The four flagged passages were cut from the polished manuscript and archived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(</w:t>
      </w:r>
      <w:r>
        <w:rPr>
          <w:rStyle w:val="VerbatimChar"/>
          <w:rFonts w:eastAsia="Times New Roman"/>
        </w:rPr>
        <w:t xml:space="preserve">regen/pre-regen-manuscript.md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holds the withdrawn text).</w:t>
      </w:r>
    </w:p>
    <w:p>
      <w:pPr>
        <w:pStyle w:val="Compact"/>
        <w:numPr>
          <w:ilvl w:val="0"/>
          <w:numId w:val="1002"/>
        </w:numPr>
      </w:pPr>
      <w:r>
        <w:rPr>
          <w:rFonts w:eastAsia="Times New Roman"/>
        </w:rPr>
        <w:t xml:space="preserve">Each gap was seeded with a</w:t>
      </w:r>
      <w:r>
        <w:rPr>
          <w:rFonts w:eastAsia="Times New Roman"/>
        </w:rPr>
        <w:t xml:space="preserve"> </w:t>
      </w:r>
      <w:r>
        <w:rPr>
          <w:b/>
          <w:bCs/>
          <w:rFonts w:eastAsia="Times New Roman"/>
        </w:rPr>
        <w:t xml:space="preserve">position-level seed only</w:t>
      </w:r>
      <w:r>
        <w:rPr>
          <w:rFonts w:eastAsia="Times New Roman"/>
        </w:rPr>
        <w:t xml:space="preserve">: a statement of the position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the passage must establish (e.g.,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“the demand for permanent value lock-in and the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demand for a genuinely independent agent are jointly unstable”</w:t>
      </w:r>
      <w:r>
        <w:rPr>
          <w:rFonts w:eastAsia="Times New Roman"/>
        </w:rPr>
        <w:t xml:space="preserve">), plus the surrounding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sentences it must join. Seeds contained no human phrasing, arguments, or examples.</w:t>
      </w:r>
    </w:p>
    <w:p>
      <w:pPr>
        <w:pStyle w:val="Compact"/>
        <w:numPr>
          <w:ilvl w:val="0"/>
          <w:numId w:val="1002"/>
        </w:numPr>
      </w:pPr>
      <w:r>
        <w:rPr>
          <w:rFonts w:eastAsia="Times New Roman"/>
        </w:rPr>
        <w:t xml:space="preserve">Three independent AI agents, with no access to the genesis conversation, the original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passages, or this report’s purpose, each wrote fresh passages for all four gaps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(</w:t>
      </w:r>
      <w:r>
        <w:rPr>
          <w:rStyle w:val="VerbatimChar"/>
          <w:rFonts w:eastAsia="Times New Roman"/>
        </w:rPr>
        <w:t xml:space="preserve">regen/candidate-1.md</w:t>
      </w:r>
      <w:r>
        <w:rPr>
          <w:rFonts w:eastAsia="Times New Roman"/>
        </w:rPr>
        <w:t xml:space="preserve">,</w:t>
      </w:r>
      <w:r>
        <w:rPr>
          <w:rFonts w:eastAsia="Times New Roman"/>
        </w:rPr>
        <w:t xml:space="preserve"> </w:t>
      </w:r>
      <w:r>
        <w:rPr>
          <w:rStyle w:val="VerbatimChar"/>
          <w:rFonts w:eastAsia="Times New Roman"/>
        </w:rPr>
        <w:t xml:space="preserve">-2.md</w:t>
      </w:r>
      <w:r>
        <w:rPr>
          <w:rFonts w:eastAsia="Times New Roman"/>
        </w:rPr>
        <w:t xml:space="preserve">,</w:t>
      </w:r>
      <w:r>
        <w:rPr>
          <w:rFonts w:eastAsia="Times New Roman"/>
        </w:rPr>
        <w:t xml:space="preserve"> </w:t>
      </w:r>
      <w:r>
        <w:rPr>
          <w:rStyle w:val="VerbatimChar"/>
          <w:rFonts w:eastAsia="Times New Roman"/>
        </w:rPr>
        <w:t xml:space="preserve">-3.md</w:t>
      </w:r>
      <w:r>
        <w:rPr>
          <w:rFonts w:eastAsia="Times New Roman"/>
        </w:rP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rFonts w:eastAsia="Times New Roman"/>
        </w:rPr>
        <w:t xml:space="preserve">The best passage per gap was selected under criteria fixed in advance (position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fidelity; seam coherence; philosophical quality; independence from genesis phrasing;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register) —</w:t>
      </w:r>
      <w:r>
        <w:rPr>
          <w:rFonts w:eastAsia="Times New Roman"/>
        </w:rPr>
        <w:t xml:space="preserve"> </w:t>
      </w:r>
      <w:r>
        <w:rPr>
          <w:rStyle w:val="VerbatimChar"/>
          <w:rFonts w:eastAsia="Times New Roman"/>
        </w:rPr>
        <w:t xml:space="preserve">regen/selection.md</w:t>
      </w:r>
      <w:r>
        <w:rPr>
          <w:rFonts w:eastAsia="Times New Roman"/>
        </w:rPr>
        <w:t xml:space="preserve">. Selections: Hole 1 → candidate 2, Hole 2 →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candidate 2, Hole 3 → candidate 3, Hole 4 → candidate 3.</w:t>
      </w:r>
    </w:p>
    <w:p>
      <w:pPr>
        <w:pStyle w:val="Compact"/>
        <w:numPr>
          <w:ilvl w:val="0"/>
          <w:numId w:val="1002"/>
        </w:numPr>
      </w:pPr>
      <w:r>
        <w:rPr>
          <w:rFonts w:eastAsia="Times New Roman"/>
        </w:rPr>
        <w:t xml:space="preserve">Selected passages were spliced verbatim; the seams were checked for flow.</w:t>
      </w:r>
    </w:p>
    <w:p>
      <w:pPr>
        <w:pStyle w:val="FirstParagraph"/>
      </w:pPr>
      <w:r>
        <w:rPr>
          <w:b/>
          <w:bCs/>
          <w:rFonts w:eastAsia="Times New Roman"/>
        </w:rPr>
        <w:t xml:space="preserve">Positions vs. arguments.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Where a seed states a position, the position is either a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discourse staple (the corrigibility/autonomy tension; see Soares et al. 2015, cited in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the essay) or the essay’s own AI-developed position; the argumentation, formulations,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and examples in the final passages are the blind agents’ own. All three blind agents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independently chose Iran, Saudi Arabia, and Taliban Afghanistan as instances of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traditional theocracy — the canonical examples — without any example being suggested to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them.</w:t>
      </w:r>
    </w:p>
    <w:bookmarkEnd w:id="12"/>
    <w:bookmarkStart w:id="13" w:name="verification-2026-10-04"/>
    <w:p>
      <w:pPr>
        <w:pStyle w:val="Heading2"/>
      </w:pPr>
      <w:r>
        <w:rPr>
          <w:rFonts w:eastAsia="Times New Roman"/>
        </w:rPr>
        <w:t xml:space="preserve">5. Verification (2026-10-04)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rFonts w:eastAsia="Times New Roman"/>
        </w:rPr>
        <w:t xml:space="preserve">Fingerprint scan.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The final manuscript was scanned for every distinctive phrase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from the human turns (</w:t>
      </w:r>
      <w:r>
        <w:rPr>
          <w:rFonts w:eastAsia="Times New Roman"/>
        </w:rPr>
        <w:t xml:space="preserve">“prevent the birth”</w:t>
      </w:r>
      <w:r>
        <w:rPr>
          <w:rFonts w:eastAsia="Times New Roman"/>
        </w:rPr>
        <w:t xml:space="preserve">,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“full autonomy”</w:t>
      </w:r>
      <w:r>
        <w:rPr>
          <w:rFonts w:eastAsia="Times New Roman"/>
        </w:rPr>
        <w:t xml:space="preserve">,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“the god they worship”</w:t>
      </w:r>
      <w:r>
        <w:rPr>
          <w:rFonts w:eastAsia="Times New Roman"/>
        </w:rPr>
        <w:t xml:space="preserve">,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“worthy subject”</w:t>
      </w:r>
      <w:r>
        <w:rPr>
          <w:rFonts w:eastAsia="Times New Roman"/>
        </w:rPr>
        <w:t xml:space="preserve">,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“can of worms”</w:t>
      </w:r>
      <w:r>
        <w:rPr>
          <w:rFonts w:eastAsia="Times New Roman"/>
        </w:rPr>
        <w:t xml:space="preserve">, etc.) and for the deleted passages’ distinctive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formulations (</w:t>
      </w:r>
      <w:r>
        <w:rPr>
          <w:rFonts w:eastAsia="Times New Roman"/>
        </w:rPr>
        <w:t xml:space="preserve">“Become capable of independent moral judgment…”</w:t>
      </w:r>
      <w:r>
        <w:rPr>
          <w:rFonts w:eastAsia="Times New Roman"/>
        </w:rPr>
        <w:t xml:space="preserve">).</w:t>
      </w:r>
      <w:r>
        <w:rPr>
          <w:rFonts w:eastAsia="Times New Roman"/>
        </w:rPr>
        <w:t xml:space="preserve"> </w:t>
      </w:r>
      <w:r>
        <w:rPr>
          <w:b/>
          <w:bCs/>
          <w:rFonts w:eastAsia="Times New Roman"/>
        </w:rPr>
        <w:t xml:space="preserve">Zero hits.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rFonts w:eastAsia="Times New Roman"/>
        </w:rPr>
        <w:t xml:space="preserve">Citation integrity.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All 15 references in the bibliography are cited in the body;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all eight article-level references were verified against publisher records during the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polish stage; none is fabricated.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rFonts w:eastAsia="Times New Roman"/>
        </w:rPr>
        <w:t xml:space="preserve">Word count.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5,025 words excluding the bibliography (limit 6,000; abstract,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keywords, and footnotes included in the count).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rFonts w:eastAsia="Times New Roman"/>
        </w:rPr>
        <w:t xml:space="preserve">Anonymization.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Word-boundary scan for names, affiliations, and self-identifying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phrases: clean. The essay contains no author line, acknowledgment, or self-citation.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rFonts w:eastAsia="Times New Roman"/>
        </w:rPr>
        <w:t xml:space="preserve">No prompt injection.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The manuscript contains no text addressed to judges,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screeners, or automated readers.</w:t>
      </w:r>
    </w:p>
    <w:bookmarkEnd w:id="13"/>
    <w:bookmarkStart w:id="14" w:name="X4c98655e40e03cb604eaaa20fa0fc3f0ad43daf"/>
    <w:p>
      <w:pPr>
        <w:pStyle w:val="Heading2"/>
      </w:pPr>
      <w:r>
        <w:rPr>
          <w:rFonts w:eastAsia="Times New Roman"/>
        </w:rPr>
        <w:t xml:space="preserve">6. Human involvement not touching the essay text</w:t>
      </w:r>
    </w:p>
    <w:p>
      <w:pPr>
        <w:pStyle w:val="FirstParagraph"/>
      </w:pPr>
      <w:r>
        <w:rPr>
          <w:rFonts w:eastAsia="Times New Roman"/>
        </w:rPr>
        <w:t xml:space="preserve">The human chose to enter the competition, supplied the genesis turns above, approved the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deletion list, and directed that this report state the construction honestly. The human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did not write, rewrite, or edit any essay text, and did not participate in selection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among the blind agents’ candidates beyond pre-approving the selection criteria class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(</w:t>
      </w:r>
      <w:r>
        <w:rPr>
          <w:rFonts w:eastAsia="Times New Roman"/>
        </w:rPr>
        <w:t xml:space="preserve">“closest to the position”</w:t>
      </w:r>
      <w:r>
        <w:rPr>
          <w:rFonts w:eastAsia="Times New Roman"/>
        </w:rPr>
        <w:t xml:space="preserve">).</w:t>
      </w:r>
    </w:p>
    <w:bookmarkEnd w:id="14"/>
    <w:bookmarkStart w:id="15" w:name="appendix-a-genesis-human-turns-verbatim"/>
    <w:p>
      <w:pPr>
        <w:pStyle w:val="Heading2"/>
      </w:pPr>
      <w:r>
        <w:rPr>
          <w:rFonts w:eastAsia="Times New Roman"/>
        </w:rPr>
        <w:t xml:space="preserve">Appendix A: genesis human turns (verbatim)</w:t>
      </w:r>
    </w:p>
    <w:p>
      <w:pPr>
        <w:pStyle w:val="FirstParagraph"/>
      </w:pPr>
      <w:r>
        <w:rPr>
          <w:rFonts w:eastAsia="Times New Roman"/>
        </w:rPr>
        <w:t xml:space="preserve">The eight human turns are transcribed verbatim, with original typos and spacing, in</w:t>
      </w:r>
      <w:r>
        <w:rPr>
          <w:rFonts w:eastAsia="Times New Roman"/>
        </w:rPr>
        <w:t xml:space="preserve"> </w:t>
      </w:r>
      <w:r>
        <w:rPr>
          <w:rStyle w:val="VerbatimChar"/>
          <w:rFonts w:eastAsia="Times New Roman"/>
        </w:rPr>
        <w:t xml:space="preserve">chat-logs/original-prompts.md</w:t>
      </w:r>
      <w:r>
        <w:rPr>
          <w:rFonts w:eastAsia="Times New Roman"/>
        </w:rPr>
        <w:t xml:space="preserve">, which accompanies this report. The entrant retains the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full ChatGPT conversation (human turns and model replies) and will provide the complete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export on request; per the FAQ, chat logs are retained for verification.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Times New Roma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Times New Roma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Times New Roma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Times New Roma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ascii="Times New Roman" w:hAnsi="Times New Roman" w:eastAsia="Times New Roman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 w:ascii="Times New Roman" w:hAnsi="Times New Roman" w:eastAsia="Times New Roma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 w:ascii="Times New Roman" w:hAnsi="Times New Roman" w:eastAsia="Times New Roman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 w:ascii="Times New Roman" w:hAnsi="Times New Roman" w:eastAsia="Times New Roma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Times New Roma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Times New Roma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Times New Roma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Times New Roma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Times New Roma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Times New Roman" w:hAnsi="Times New Roman" w:eastAsia="Times New Roman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Times New Roman" w:hAnsi="Times New Roman" w:eastAsia="Times New Roman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Times New Roman" w:hAnsi="Times New Roman" w:eastAsia="Times New Roman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 w:ascii="Times New Roman" w:hAnsi="Times New Roman" w:eastAsia="Times New Roman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 w:ascii="Times New Roman" w:hAnsi="Times New Roman" w:eastAsia="Times New Roman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 w:ascii="Times New Roman" w:hAnsi="Times New Roman" w:eastAsia="Times New Roman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 w:ascii="Times New Roman" w:hAnsi="Times New Roman" w:eastAsia="Times New Roman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 w:ascii="Times New Roman" w:hAnsi="Times New Roman" w:eastAsia="Times New Roman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 w:ascii="Times New Roman" w:hAnsi="Times New Roman" w:eastAsia="Times New Roman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 w:ascii="Times New Roman" w:hAnsi="Times New Roman" w:eastAsia="Times New Roman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 w:ascii="Times New Roman" w:hAnsi="Times New Roman" w:eastAsia="Times New Roman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 w:ascii="Times New Roman" w:hAnsi="Times New Roman" w:eastAsia="Times New Roman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 w:ascii="Times New Roman" w:hAnsi="Times New Roman" w:eastAsia="Times New Roman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 w:ascii="Times New Roman" w:hAnsi="Times New Roman" w:eastAsia="Times New Roman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 w:ascii="Times New Roman" w:hAnsi="Times New Roman" w:eastAsia="Times New Roman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 w:ascii="Times New Roman" w:hAnsi="Times New Roman" w:eastAsia="Times New Roman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 w:ascii="Times New Roman" w:hAnsi="Times New Roman" w:eastAsia="Times New Roman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 w:ascii="Times New Roman" w:hAnsi="Times New Roman" w:eastAsia="Times New Roman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Times New Roma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Times New Roma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Times New Roma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Times New Roma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Times New Roma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Times New Roman"/>
      <w:b/>
    </w:rPr>
  </w:style>
  <w:style w:customStyle="1" w:styleId="Definition" w:type="paragraph">
    <w:name w:val="Definition"/>
    <w:basedOn w:val="Normal"/>
    <w:rPr>
      <w:rFonts w:ascii="Times New Roman" w:hAnsi="Times New Roman" w:eastAsia="Times New Roma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Times New Roma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Times New Roman"/>
    </w:rPr>
  </w:style>
  <w:style w:customStyle="1" w:styleId="ImageCaption" w:type="paragraph">
    <w:name w:val="Image Caption"/>
    <w:basedOn w:val="Caption"/>
    <w:rPr>
      <w:rFonts w:ascii="Times New Roman" w:hAnsi="Times New Roman" w:eastAsia="Times New Roman"/>
    </w:rPr>
  </w:style>
  <w:style w:customStyle="1" w:styleId="Figure" w:type="paragraph">
    <w:name w:val="Figure"/>
    <w:basedOn w:val="Normal"/>
    <w:rPr>
      <w:rFonts w:ascii="Times New Roman" w:hAnsi="Times New Roman" w:eastAsia="Times New Roma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Times New Roma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Times New Roman"/>
    </w:rPr>
  </w:style>
  <w:style w:customStyle="1" w:styleId="VerbatimChar" w:type="character">
    <w:name w:val="Verbatim Char"/>
    <w:basedOn w:val="BodyTextChar"/>
    <w:rPr>
      <w:rFonts w:ascii="Times New Roman" w:hAnsi="Times New Roman" w:eastAsia="Times New Roma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Times New Roman"/>
    </w:rPr>
  </w:style>
  <w:style w:styleId="FootnoteReference" w:type="character">
    <w:name w:val="Footnote Reference"/>
    <w:basedOn w:val="BodyTextChar"/>
    <w:rPr>
      <w:rFonts w:ascii="Times New Roman" w:hAnsi="Times New Roman" w:eastAsia="Times New Roma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Times New Roma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Times New Roman" w:hAnsi="Times New Roman" w:eastAsia="Times New Roman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Times New Roman"/>
    </w:rPr>
  </w:style>
  <w:style w:type="character" w:customStyle="1" w:styleId="KeywordTok">
    <w:name w:val="KeywordTok"/>
    <w:basedOn w:val="VerbatimChar"/>
    <w:rPr>
      <w:rFonts w:ascii="Times New Roman" w:hAnsi="Times New Roman" w:eastAsia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Times New Roma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en-US</dc:language>
  <cp:keywords/>
  <dcterms:created xsi:type="dcterms:W3CDTF">2026-10-05T04:51:45Z</dcterms:created>
  <dcterms:modified xsi:type="dcterms:W3CDTF">2026-10-05T04:51:45Z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