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title-page"/>
    <w:p>
      <w:pPr>
        <w:pStyle w:val="Heading1"/>
      </w:pPr>
      <w:r>
        <w:rPr>
          <w:rFonts w:eastAsia="Times New Roman"/>
        </w:rPr>
        <w:t xml:space="preserve">Title Page</w:t>
      </w:r>
    </w:p>
    <w:bookmarkStart w:id="10" w:name="X801314b09e336bc25dea5ca1325d0dc43bf4593"/>
    <w:p>
      <w:pPr>
        <w:pStyle w:val="Heading2"/>
      </w:pPr>
      <w:r>
        <w:rPr>
          <w:rFonts w:eastAsia="Times New Roman"/>
        </w:rPr>
        <w:t xml:space="preserve">The Summit Is Not the Climb: AI, Creative Value, and the Displacement Fallacy</w:t>
      </w:r>
    </w:p>
    <w:bookmarkStart w:id="9" w:name="Xb1e1a1c108822cd94a702aec1829ccbb95a0d86"/>
    <w:p>
      <w:pPr>
        <w:pStyle w:val="Heading3"/>
      </w:pPr>
      <w:r>
        <w:rPr>
          <w:rFonts w:eastAsia="Times New Roman"/>
        </w:rPr>
        <w:t xml:space="preserve">A Reply to Jordan MacKenzie on AI and Valuing Practices</w:t>
      </w:r>
    </w:p>
    <w:p>
      <w:pPr>
        <w:pStyle w:val="FirstParagraph"/>
      </w:pPr>
      <w:r>
        <w:rPr>
          <w:b/>
          <w:bCs/>
          <w:rFonts w:eastAsia="Times New Roman"/>
        </w:rPr>
        <w:t xml:space="preserve">Author:</w:t>
      </w:r>
      <w:r>
        <w:rPr>
          <w:rFonts w:eastAsia="Times New Roman"/>
        </w:rPr>
        <w:t xml:space="preserve"> </w:t>
      </w:r>
      <w:r>
        <w:rPr>
          <w:rFonts w:eastAsia="Times New Roman"/>
        </w:rPr>
        <w:t xml:space="preserve">Horace Chan</w:t>
      </w:r>
    </w:p>
    <w:p>
      <w:pPr>
        <w:pStyle w:val="BodyText"/>
      </w:pPr>
      <w:r>
        <w:rPr>
          <w:b/>
          <w:bCs/>
          <w:rFonts w:eastAsia="Times New Roman"/>
        </w:rPr>
        <w:t xml:space="preserve">Affiliation:</w:t>
      </w:r>
      <w:r>
        <w:rPr>
          <w:rFonts w:eastAsia="Times New Roman"/>
        </w:rPr>
        <w:t xml:space="preserve"> </w:t>
      </w:r>
      <w:r>
        <w:rPr>
          <w:rFonts w:eastAsia="Times New Roman"/>
        </w:rPr>
        <w:t xml:space="preserve">Independent philosopher</w:t>
      </w:r>
    </w:p>
    <w:p>
      <w:pPr>
        <w:pStyle w:val="BodyText"/>
      </w:pPr>
      <w:r>
        <w:rPr>
          <w:b/>
          <w:bCs/>
          <w:rFonts w:eastAsia="Times New Roman"/>
        </w:rPr>
        <w:t xml:space="preserve">Email for correspondence:</w:t>
      </w:r>
      <w:r>
        <w:rPr>
          <w:rFonts w:eastAsia="Times New Roman"/>
        </w:rPr>
        <w:t xml:space="preserve"> </w:t>
      </w:r>
      <w:r>
        <w:rPr>
          <w:rFonts w:eastAsia="Times New Roman"/>
        </w:rPr>
        <w:t xml:space="preserve">horace.chan@amd.com</w:t>
      </w:r>
    </w:p>
    <w:p>
      <w:pPr>
        <w:pStyle w:val="BodyText"/>
      </w:pPr>
      <w:r>
        <w:rPr>
          <w:b/>
          <w:bCs/>
          <w:rFonts w:eastAsia="Times New Roman"/>
        </w:rPr>
        <w:t xml:space="preserve">Article type:</w:t>
      </w:r>
      <w:r>
        <w:rPr>
          <w:rFonts w:eastAsia="Times New Roman"/>
        </w:rPr>
        <w:t xml:space="preserve"> </w:t>
      </w:r>
      <w:r>
        <w:rPr>
          <w:rFonts w:eastAsia="Times New Roman"/>
        </w:rPr>
        <w:t xml:space="preserve">Article (critical discussion)</w:t>
      </w:r>
    </w:p>
    <w:p>
      <w:pPr>
        <w:pStyle w:val="BodyText"/>
      </w:pPr>
      <w:r>
        <w:rPr>
          <w:b/>
          <w:bCs/>
          <w:rFonts w:eastAsia="Times New Roman"/>
        </w:rPr>
        <w:t xml:space="preserve">Word count:</w:t>
      </w:r>
      <w:r>
        <w:rPr>
          <w:rFonts w:eastAsia="Times New Roman"/>
        </w:rPr>
        <w:t xml:space="preserve"> </w:t>
      </w:r>
      <w:r>
        <w:rPr>
          <w:rFonts w:eastAsia="Times New Roman"/>
        </w:rPr>
        <w:t xml:space="preserve">approx. 7,100 words including references</w:t>
      </w:r>
    </w:p>
    <w:p>
      <w:pPr>
        <w:pStyle w:val="BodyText"/>
      </w:pPr>
      <w:r>
        <w:rPr>
          <w:b/>
          <w:bCs/>
          <w:rFonts w:eastAsia="Times New Roman"/>
        </w:rPr>
        <w:t xml:space="preserve">Abstract</w:t>
      </w:r>
    </w:p>
    <w:p>
      <w:pPr>
        <w:pStyle w:val="BodyText"/>
      </w:pPr>
      <w:r>
        <w:rPr>
          <w:rFonts w:eastAsia="Times New Roman"/>
        </w:rPr>
        <w:t xml:space="preserve">Jordan MacKenzie argues that generative artificial intelligence poses two existential threats to human valuing practices: a forward-looking threat in which meaningful creative processes are displaced by merely functional products, and a backward-looking threat in which audiences’ indifference to creative provenance reveals a troubling discord in values. This paper challenges the inferences underlying both claims. I argue that technological automation does not necessarily destroy the values associated with established practices, because the historical necessity of an activity must be distinguished from its constitutive significance. Drawing on the coexistence of the Grouse Grind hiking trail and mechanized access to Grouse Mountain, I develop an account of instrumental and constitutive difficulty that explains how automation can preserve intrinsically valued activities while expanding access to their outcomes. I then distinguish productive, receptive, relational, and institutional values, defending a principle of evaluative relevance against the inference from audience preference to indifference toward human creative achievement. Examples involving culinary technology, fan fiction, personal communication, and literary evaluation demonstrate how meaningful agency can survive or expand through technological mediation. Finally, drawing on Foucault and Bourdieu, I distinguish the loss of cultural exclusivity from the loss of intrinsic value. The resulting argument does not deny the possibility of technological harm. Rather, it places a justificatory burden on claims that automation constitutes value destruction and offers a framework for evaluating technological change according to the human goods it preserves, transforms, or enables.</w:t>
      </w:r>
    </w:p>
    <w:p>
      <w:pPr>
        <w:pStyle w:val="BodyText"/>
      </w:pPr>
      <w:r>
        <w:rPr>
          <w:b/>
          <w:bCs/>
          <w:rFonts w:eastAsia="Times New Roman"/>
        </w:rPr>
        <w:t xml:space="preserve">Keywords:</w:t>
      </w:r>
      <w:r>
        <w:rPr>
          <w:rFonts w:eastAsia="Times New Roman"/>
        </w:rPr>
        <w:t xml:space="preserve"> </w:t>
      </w:r>
      <w:r>
        <w:rPr>
          <w:rFonts w:eastAsia="Times New Roman"/>
        </w:rPr>
        <w:t xml:space="preserve">artificial intelligence; creative agency; philosophy of technology; process value; aesthetics; automation; technological progress; cultural capital; valuing practices</w:t>
      </w:r>
    </w:p>
    <w:p>
      <w:pPr>
        <w:pStyle w:val="BodyText"/>
      </w:pPr>
      <w:r>
        <w:rPr>
          <w:b/>
          <w:bCs/>
          <w:rFonts w:eastAsia="Times New Roman"/>
        </w:rPr>
        <w:t xml:space="preserve">Declarations</w:t>
      </w:r>
    </w:p>
    <w:p>
      <w:pPr>
        <w:pStyle w:val="Compact"/>
        <w:numPr>
          <w:ilvl w:val="0"/>
          <w:numId w:val="1001"/>
        </w:numPr>
      </w:pPr>
      <w:r>
        <w:rPr>
          <w:rFonts w:eastAsia="Times New Roman"/>
        </w:rPr>
        <w:t xml:space="preserve">The manuscript is original, unpublished, and not under consideration elsewhere. A preprint of the identical text (apart from this title page) is deposited in PhilArchive.</w:t>
      </w:r>
    </w:p>
    <w:p>
      <w:pPr>
        <w:pStyle w:val="Compact"/>
        <w:numPr>
          <w:ilvl w:val="0"/>
          <w:numId w:val="1001"/>
        </w:numPr>
      </w:pPr>
      <w:r>
        <w:rPr>
          <w:rFonts w:eastAsia="Times New Roman"/>
        </w:rPr>
        <w:t xml:space="preserve">Disclosure of AI use: the paper was prepared with substantial AI assistance under the author’s direction, as acknowledged in the manuscript’s Acknowledgements section and detailed in the accompanying disclosure statement; the author takes full responsibility for its factual accuracy and originality.</w:t>
      </w:r>
    </w:p>
    <w:p>
      <w:pPr>
        <w:pStyle w:val="Compact"/>
        <w:numPr>
          <w:ilvl w:val="0"/>
          <w:numId w:val="1001"/>
        </w:numPr>
      </w:pPr>
      <w:r>
        <w:rPr>
          <w:rFonts w:eastAsia="Times New Roman"/>
        </w:rPr>
        <w:t xml:space="preserve">The author declares no conflict of interest.</w:t>
      </w:r>
    </w:p>
    <w:bookmarkEnd w:id="9"/>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rPr>
  </w:style>
  <w:style w:styleId="BodyText" w:type="paragraph">
    <w:name w:val="Body Text"/>
    <w:basedOn w:val="Normal"/>
    <w:link w:val="BodyTextChar"/>
    <w:qFormat/>
    <w:pPr>
      <w:spacing w:after="180" w:before="180"/>
    </w:pPr>
    <w:rPr>
      <w:rFonts w:ascii="Times New Roman" w:hAnsi="Times New Roman" w:eastAsia="Times New Roman"/>
    </w:rPr>
  </w:style>
  <w:style w:customStyle="1" w:styleId="FirstParagraph" w:type="paragraph">
    <w:name w:val="First Paragraph"/>
    <w:basedOn w:val="BodyText"/>
    <w:next w:val="BodyText"/>
    <w:qFormat/>
    <w:rPr>
      <w:rFonts w:ascii="Times New Roman" w:hAnsi="Times New Roman" w:eastAsia="Times New Roman"/>
    </w:rPr>
  </w:style>
  <w:style w:customStyle="1" w:styleId="Compact" w:type="paragraph">
    <w:name w:val="Compact"/>
    <w:basedOn w:val="BodyText"/>
    <w:qFormat/>
    <w:pPr>
      <w:spacing w:after="36" w:before="36"/>
    </w:pPr>
    <w:rPr>
      <w:rFonts w:ascii="Times New Roman" w:hAnsi="Times New Roman" w:eastAsia="Times New Roman"/>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eastAsia="Times New Roman"/>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ascii="Times New Roman" w:hAnsi="Times New Roman" w:eastAsia="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Times New Roman" w:hAnsi="Times New Roman" w:eastAsia="Times New Roman"/>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ascii="Times New Roman" w:hAnsi="Times New Roman" w:eastAsia="Times New Roma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eastAsia="Times New Roman"/>
      <w:sz w:val="24"/>
      <w:szCs w:val="24"/>
    </w:rPr>
  </w:style>
  <w:style w:styleId="Date" w:type="paragraph">
    <w:name w:val="Date"/>
    <w:basedOn w:val="Title"/>
    <w:next w:val="BodyText"/>
    <w:qFormat/>
    <w:pPr>
      <w:keepNext/>
      <w:keepLines/>
    </w:pPr>
    <w:rPr>
      <w:rFonts w:ascii="Times New Roman" w:hAnsi="Times New Roman" w:eastAsia="Times New Roman"/>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eastAsia="Times New Roman"/>
      <w:b/>
      <w:sz w:val="20"/>
      <w:szCs w:val="20"/>
    </w:rPr>
  </w:style>
  <w:style w:customStyle="1" w:styleId="Abstract" w:type="paragraph">
    <w:name w:val="Abstract"/>
    <w:basedOn w:val="Normal"/>
    <w:next w:val="BodyText"/>
    <w:qFormat/>
    <w:pPr>
      <w:keepNext/>
      <w:keepLines/>
      <w:spacing w:after="300" w:before="100"/>
    </w:pPr>
    <w:rPr>
      <w:rFonts w:ascii="Times New Roman" w:hAnsi="Times New Roman" w:eastAsia="Times New Roman"/>
      <w:sz w:val="20"/>
      <w:szCs w:val="20"/>
    </w:rPr>
  </w:style>
  <w:style w:styleId="Bibliography" w:type="paragraph">
    <w:name w:val="Bibliography"/>
    <w:basedOn w:val="Normal"/>
    <w:next w:val="Bibliography"/>
    <w:qFormat/>
    <w:pPr/>
    <w:rPr>
      <w:rFonts w:ascii="Times New Roman" w:hAnsi="Times New Roman" w:eastAsia="Times New Roman"/>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eastAsia="Times New Roman"/>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eastAsia="Times New Roman"/>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eastAsia="Times New Roman"/>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Times New Roman" w:hAnsi="Times New Roman" w:eastAsia="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Times New Roman" w:hAnsi="Times New Roman" w:eastAsia="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Times New Roman" w:hAnsi="Times New Roman" w:eastAsia="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ascii="Times New Roman" w:hAnsi="Times New Roman" w:eastAsia="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ascii="Times New Roman" w:hAnsi="Times New Roman" w:eastAsia="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ascii="Times New Roman" w:hAnsi="Times New Roman" w:eastAsia="Times New Roman"/>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ascii="Times New Roman" w:hAnsi="Times New Roman" w:eastAsia="Times New Roman"/>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ascii="Times New Roman" w:hAnsi="Times New Roman" w:eastAsia="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ascii="Times New Roman" w:hAnsi="Times New Roman" w:eastAsia="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ascii="Times New Roman" w:hAnsi="Times New Roman" w:eastAsia="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ascii="Times New Roman" w:hAnsi="Times New Roman" w:eastAsia="Times New Roman"/>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ascii="Times New Roman" w:hAnsi="Times New Roman" w:eastAsia="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ascii="Times New Roman" w:hAnsi="Times New Roman" w:eastAsia="Times New Roman"/>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ascii="Times New Roman" w:hAnsi="Times New Roman" w:eastAsia="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ascii="Times New Roman" w:hAnsi="Times New Roman" w:eastAsia="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Times New Roman"/>
    </w:rPr>
  </w:style>
  <w:style w:styleId="FootnoteText" w:type="paragraph">
    <w:name w:val="Footnote Text"/>
    <w:basedOn w:val="Normal"/>
    <w:next w:val="FootnoteText"/>
    <w:uiPriority w:val="9"/>
    <w:unhideWhenUsed/>
    <w:qFormat/>
    <w:rPr>
      <w:rFonts w:ascii="Times New Roman" w:hAnsi="Times New Roman" w:eastAsia="Times New Roma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eastAsia="Times New Roman"/>
    </w:rPr>
  </w:style>
  <w:style w:default="1" w:styleId="DefaultParagraphFont" w:type="character">
    <w:name w:val="Default Paragraph Font"/>
    <w:semiHidden/>
    <w:unhideWhenUsed/>
    <w:rPr>
      <w:rFonts w:ascii="Times New Roman" w:hAnsi="Times New Roman" w:eastAsia="Times New Roman"/>
    </w:rPr>
  </w:style>
  <w:style w:default="1" w:styleId="Table" w:type="table">
    <w:name w:val="Table"/>
    <w:basedOn w:val="TableNormal"/>
    <w:semiHidden/>
    <w:unhideWhenUsed/>
    <w:qFormat/>
    <w:rPr>
      <w:rFonts w:ascii="Times New Roman" w:hAnsi="Times New Roman" w:eastAsia="Times New Roman"/>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eastAsia="Times New Roman"/>
      <w:b/>
    </w:rPr>
  </w:style>
  <w:style w:customStyle="1" w:styleId="Definition" w:type="paragraph">
    <w:name w:val="Definition"/>
    <w:basedOn w:val="Normal"/>
    <w:rPr>
      <w:rFonts w:ascii="Times New Roman" w:hAnsi="Times New Roman" w:eastAsia="Times New Roman"/>
    </w:rPr>
  </w:style>
  <w:style w:styleId="Caption" w:type="paragraph">
    <w:name w:val="Caption"/>
    <w:basedOn w:val="Normal"/>
    <w:link w:val="BodyTextChar"/>
    <w:pPr>
      <w:spacing w:after="120" w:before="0"/>
    </w:pPr>
    <w:rPr>
      <w:rFonts w:ascii="Times New Roman" w:hAnsi="Times New Roman" w:eastAsia="Times New Roman"/>
      <w:i/>
    </w:rPr>
  </w:style>
  <w:style w:customStyle="1" w:styleId="TableCaption" w:type="paragraph">
    <w:name w:val="Table Caption"/>
    <w:basedOn w:val="Caption"/>
    <w:pPr>
      <w:keepNext/>
    </w:pPr>
    <w:rPr>
      <w:rFonts w:ascii="Times New Roman" w:hAnsi="Times New Roman" w:eastAsia="Times New Roman"/>
    </w:rPr>
  </w:style>
  <w:style w:customStyle="1" w:styleId="ImageCaption" w:type="paragraph">
    <w:name w:val="Image Caption"/>
    <w:basedOn w:val="Caption"/>
    <w:rPr>
      <w:rFonts w:ascii="Times New Roman" w:hAnsi="Times New Roman" w:eastAsia="Times New Roman"/>
    </w:rPr>
  </w:style>
  <w:style w:customStyle="1" w:styleId="Figure" w:type="paragraph">
    <w:name w:val="Figure"/>
    <w:basedOn w:val="Normal"/>
    <w:rPr>
      <w:rFonts w:ascii="Times New Roman" w:hAnsi="Times New Roman" w:eastAsia="Times New Roman"/>
    </w:rPr>
  </w:style>
  <w:style w:customStyle="1" w:styleId="CaptionedFigure" w:type="paragraph">
    <w:name w:val="Captioned Figure"/>
    <w:basedOn w:val="Figure"/>
    <w:pPr>
      <w:keepNext/>
    </w:pPr>
    <w:rPr>
      <w:rFonts w:ascii="Times New Roman" w:hAnsi="Times New Roman" w:eastAsia="Times New Roman"/>
    </w:rPr>
  </w:style>
  <w:style w:customStyle="1" w:styleId="BodyTextChar" w:type="character">
    <w:name w:val="Body Text Char"/>
    <w:basedOn w:val="DefaultParagraphFont"/>
    <w:link w:val="BodyText"/>
    <w:rPr>
      <w:rFonts w:ascii="Times New Roman" w:hAnsi="Times New Roman" w:eastAsia="Times New Roman"/>
    </w:rPr>
  </w:style>
  <w:style w:customStyle="1" w:styleId="VerbatimChar" w:type="character">
    <w:name w:val="Verbatim Char"/>
    <w:basedOn w:val="BodyTextChar"/>
    <w:rPr>
      <w:rFonts w:ascii="Times New Roman" w:hAnsi="Times New Roman" w:eastAsia="Times New Roman"/>
      <w:sz w:val="22"/>
    </w:rPr>
  </w:style>
  <w:style w:customStyle="1" w:styleId="SectionNumber" w:type="character">
    <w:name w:val="Section Number"/>
    <w:basedOn w:val="BodyTextChar"/>
    <w:rPr>
      <w:rFonts w:ascii="Times New Roman" w:hAnsi="Times New Roman" w:eastAsia="Times New Roman"/>
    </w:rPr>
  </w:style>
  <w:style w:styleId="FootnoteReference" w:type="character">
    <w:name w:val="Footnote Reference"/>
    <w:basedOn w:val="BodyTextChar"/>
    <w:rPr>
      <w:rFonts w:ascii="Times New Roman" w:hAnsi="Times New Roman" w:eastAsia="Times New Roman"/>
      <w:vertAlign w:val="superscript"/>
    </w:rPr>
  </w:style>
  <w:style w:styleId="Hyperlink" w:type="character">
    <w:name w:val="Hyperlink"/>
    <w:basedOn w:val="BodyTextChar"/>
    <w:rPr>
      <w:rFonts w:ascii="Times New Roman" w:hAnsi="Times New Roman" w:eastAsia="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eastAsia="Times New Roman"/>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eastAsia="Times New Roman"/>
    </w:rPr>
  </w:style>
  <w:style w:type="character" w:customStyle="1" w:styleId="KeywordTok">
    <w:name w:val="KeywordTok"/>
    <w:basedOn w:val="VerbatimChar"/>
    <w:rPr>
      <w:rFonts w:ascii="Times New Roman" w:hAnsi="Times New Roman" w:eastAsia="Times New Roman"/>
      <w:b/>
      <w:color w:val="007020"/>
    </w:rPr>
  </w:style>
  <w:style w:type="character" w:customStyle="1" w:styleId="DataTypeTok">
    <w:name w:val="DataTypeTok"/>
    <w:basedOn w:val="VerbatimChar"/>
    <w:rPr>
      <w:rFonts w:ascii="Times New Roman" w:hAnsi="Times New Roman" w:eastAsia="Times New Roman"/>
      <w:color w:val="902000"/>
    </w:rPr>
  </w:style>
  <w:style w:type="character" w:customStyle="1" w:styleId="DecValTok">
    <w:name w:val="DecValTok"/>
    <w:basedOn w:val="VerbatimChar"/>
    <w:rPr>
      <w:rFonts w:ascii="Times New Roman" w:hAnsi="Times New Roman" w:eastAsia="Times New Roman"/>
      <w:color w:val="40a070"/>
    </w:rPr>
  </w:style>
  <w:style w:type="character" w:customStyle="1" w:styleId="BaseNTok">
    <w:name w:val="BaseNTok"/>
    <w:basedOn w:val="VerbatimChar"/>
    <w:rPr>
      <w:rFonts w:ascii="Times New Roman" w:hAnsi="Times New Roman" w:eastAsia="Times New Roman"/>
      <w:color w:val="40a070"/>
    </w:rPr>
  </w:style>
  <w:style w:type="character" w:customStyle="1" w:styleId="FloatTok">
    <w:name w:val="FloatTok"/>
    <w:basedOn w:val="VerbatimChar"/>
    <w:rPr>
      <w:rFonts w:ascii="Times New Roman" w:hAnsi="Times New Roman" w:eastAsia="Times New Roman"/>
      <w:color w:val="40a070"/>
    </w:rPr>
  </w:style>
  <w:style w:type="character" w:customStyle="1" w:styleId="ConstantTok">
    <w:name w:val="ConstantTok"/>
    <w:basedOn w:val="VerbatimChar"/>
    <w:rPr>
      <w:rFonts w:ascii="Times New Roman" w:hAnsi="Times New Roman" w:eastAsia="Times New Roman"/>
      <w:color w:val="880000"/>
    </w:rPr>
  </w:style>
  <w:style w:type="character" w:customStyle="1" w:styleId="CharTok">
    <w:name w:val="CharTok"/>
    <w:basedOn w:val="VerbatimChar"/>
    <w:rPr>
      <w:rFonts w:ascii="Times New Roman" w:hAnsi="Times New Roman" w:eastAsia="Times New Roman"/>
      <w:color w:val="4070a0"/>
    </w:rPr>
  </w:style>
  <w:style w:type="character" w:customStyle="1" w:styleId="SpecialCharTok">
    <w:name w:val="SpecialCharTok"/>
    <w:basedOn w:val="VerbatimChar"/>
    <w:rPr>
      <w:rFonts w:ascii="Times New Roman" w:hAnsi="Times New Roman" w:eastAsia="Times New Roman"/>
      <w:color w:val="4070a0"/>
    </w:rPr>
  </w:style>
  <w:style w:type="character" w:customStyle="1" w:styleId="StringTok">
    <w:name w:val="StringTok"/>
    <w:basedOn w:val="VerbatimChar"/>
    <w:rPr>
      <w:rFonts w:ascii="Times New Roman" w:hAnsi="Times New Roman" w:eastAsia="Times New Roman"/>
      <w:color w:val="4070a0"/>
    </w:rPr>
  </w:style>
  <w:style w:type="character" w:customStyle="1" w:styleId="VerbatimStringTok">
    <w:name w:val="VerbatimStringTok"/>
    <w:basedOn w:val="VerbatimChar"/>
    <w:rPr>
      <w:rFonts w:ascii="Times New Roman" w:hAnsi="Times New Roman" w:eastAsia="Times New Roman"/>
      <w:color w:val="4070a0"/>
    </w:rPr>
  </w:style>
  <w:style w:type="character" w:customStyle="1" w:styleId="SpecialStringTok">
    <w:name w:val="SpecialStringTok"/>
    <w:basedOn w:val="VerbatimChar"/>
    <w:rPr>
      <w:rFonts w:ascii="Times New Roman" w:hAnsi="Times New Roman" w:eastAsia="Times New Roman"/>
      <w:color w:val="bb6688"/>
    </w:rPr>
  </w:style>
  <w:style w:type="character" w:customStyle="1" w:styleId="ImportTok">
    <w:name w:val="ImportTok"/>
    <w:basedOn w:val="VerbatimChar"/>
    <w:rPr>
      <w:rFonts w:ascii="Times New Roman" w:hAnsi="Times New Roman" w:eastAsia="Times New Roman"/>
      <w:b/>
      <w:color w:val="008000"/>
    </w:rPr>
  </w:style>
  <w:style w:type="character" w:customStyle="1" w:styleId="CommentTok">
    <w:name w:val="CommentTok"/>
    <w:basedOn w:val="VerbatimChar"/>
    <w:rPr>
      <w:rFonts w:ascii="Times New Roman" w:hAnsi="Times New Roman" w:eastAsia="Times New Roman"/>
      <w:i/>
      <w:color w:val="60a0b0"/>
    </w:rPr>
  </w:style>
  <w:style w:type="character" w:customStyle="1" w:styleId="DocumentationTok">
    <w:name w:val="DocumentationTok"/>
    <w:basedOn w:val="VerbatimChar"/>
    <w:rPr>
      <w:rFonts w:ascii="Times New Roman" w:hAnsi="Times New Roman" w:eastAsia="Times New Roman"/>
      <w:i/>
      <w:color w:val="ba2121"/>
    </w:rPr>
  </w:style>
  <w:style w:type="character" w:customStyle="1" w:styleId="AnnotationTok">
    <w:name w:val="AnnotationTok"/>
    <w:basedOn w:val="VerbatimChar"/>
    <w:rPr>
      <w:rFonts w:ascii="Times New Roman" w:hAnsi="Times New Roman" w:eastAsia="Times New Roman"/>
      <w:b/>
      <w:i/>
      <w:color w:val="60a0b0"/>
    </w:rPr>
  </w:style>
  <w:style w:type="character" w:customStyle="1" w:styleId="CommentVarTok">
    <w:name w:val="CommentVarTok"/>
    <w:basedOn w:val="VerbatimChar"/>
    <w:rPr>
      <w:rFonts w:ascii="Times New Roman" w:hAnsi="Times New Roman" w:eastAsia="Times New Roman"/>
      <w:b/>
      <w:i/>
      <w:color w:val="60a0b0"/>
    </w:rPr>
  </w:style>
  <w:style w:type="character" w:customStyle="1" w:styleId="OtherTok">
    <w:name w:val="OtherTok"/>
    <w:basedOn w:val="VerbatimChar"/>
    <w:rPr>
      <w:rFonts w:ascii="Times New Roman" w:hAnsi="Times New Roman" w:eastAsia="Times New Roman"/>
      <w:color w:val="007020"/>
    </w:rPr>
  </w:style>
  <w:style w:type="character" w:customStyle="1" w:styleId="FunctionTok">
    <w:name w:val="FunctionTok"/>
    <w:basedOn w:val="VerbatimChar"/>
    <w:rPr>
      <w:rFonts w:ascii="Times New Roman" w:hAnsi="Times New Roman" w:eastAsia="Times New Roman"/>
      <w:color w:val="06287e"/>
    </w:rPr>
  </w:style>
  <w:style w:type="character" w:customStyle="1" w:styleId="VariableTok">
    <w:name w:val="VariableTok"/>
    <w:basedOn w:val="VerbatimChar"/>
    <w:rPr>
      <w:rFonts w:ascii="Times New Roman" w:hAnsi="Times New Roman" w:eastAsia="Times New Roman"/>
      <w:color w:val="19177c"/>
    </w:rPr>
  </w:style>
  <w:style w:type="character" w:customStyle="1" w:styleId="ControlFlowTok">
    <w:name w:val="ControlFlowTok"/>
    <w:basedOn w:val="VerbatimChar"/>
    <w:rPr>
      <w:rFonts w:ascii="Times New Roman" w:hAnsi="Times New Roman" w:eastAsia="Times New Roman"/>
      <w:b/>
      <w:color w:val="007020"/>
    </w:rPr>
  </w:style>
  <w:style w:type="character" w:customStyle="1" w:styleId="OperatorTok">
    <w:name w:val="OperatorTok"/>
    <w:basedOn w:val="VerbatimChar"/>
    <w:rPr>
      <w:rFonts w:ascii="Times New Roman" w:hAnsi="Times New Roman" w:eastAsia="Times New Roman"/>
      <w:color w:val="666666"/>
    </w:rPr>
  </w:style>
  <w:style w:type="character" w:customStyle="1" w:styleId="BuiltInTok">
    <w:name w:val="BuiltInTok"/>
    <w:basedOn w:val="VerbatimChar"/>
    <w:rPr>
      <w:rFonts w:ascii="Times New Roman" w:hAnsi="Times New Roman" w:eastAsia="Times New Roman"/>
      <w:color w:val="008000"/>
    </w:rPr>
  </w:style>
  <w:style w:type="character" w:customStyle="1" w:styleId="ExtensionTok">
    <w:name w:val="ExtensionTok"/>
    <w:basedOn w:val="VerbatimChar"/>
    <w:rPr>
      <w:rFonts w:ascii="Times New Roman" w:hAnsi="Times New Roman" w:eastAsia="Times New Roman"/>
    </w:rPr>
  </w:style>
  <w:style w:type="character" w:customStyle="1" w:styleId="PreprocessorTok">
    <w:name w:val="PreprocessorTok"/>
    <w:basedOn w:val="VerbatimChar"/>
    <w:rPr>
      <w:rFonts w:ascii="Times New Roman" w:hAnsi="Times New Roman" w:eastAsia="Times New Roman"/>
      <w:color w:val="bc7a00"/>
    </w:rPr>
  </w:style>
  <w:style w:type="character" w:customStyle="1" w:styleId="AttributeTok">
    <w:name w:val="AttributeTok"/>
    <w:basedOn w:val="VerbatimChar"/>
    <w:rPr>
      <w:rFonts w:ascii="Times New Roman" w:hAnsi="Times New Roman" w:eastAsia="Times New Roman"/>
      <w:color w:val="7d9029"/>
    </w:rPr>
  </w:style>
  <w:style w:type="character" w:customStyle="1" w:styleId="RegionMarkerTok">
    <w:name w:val="RegionMarkerTok"/>
    <w:basedOn w:val="VerbatimChar"/>
    <w:rPr>
      <w:rFonts w:ascii="Times New Roman" w:hAnsi="Times New Roman" w:eastAsia="Times New Roman"/>
    </w:rPr>
  </w:style>
  <w:style w:type="character" w:customStyle="1" w:styleId="InformationTok">
    <w:name w:val="InformationTok"/>
    <w:basedOn w:val="VerbatimChar"/>
    <w:rPr>
      <w:rFonts w:ascii="Times New Roman" w:hAnsi="Times New Roman" w:eastAsia="Times New Roman"/>
      <w:b/>
      <w:i/>
      <w:color w:val="60a0b0"/>
    </w:rPr>
  </w:style>
  <w:style w:type="character" w:customStyle="1" w:styleId="WarningTok">
    <w:name w:val="WarningTok"/>
    <w:basedOn w:val="VerbatimChar"/>
    <w:rPr>
      <w:rFonts w:ascii="Times New Roman" w:hAnsi="Times New Roman" w:eastAsia="Times New Roman"/>
      <w:b/>
      <w:i/>
      <w:color w:val="60a0b0"/>
    </w:rPr>
  </w:style>
  <w:style w:type="character" w:customStyle="1" w:styleId="AlertTok">
    <w:name w:val="AlertTok"/>
    <w:basedOn w:val="VerbatimChar"/>
    <w:rPr>
      <w:rFonts w:ascii="Times New Roman" w:hAnsi="Times New Roman" w:eastAsia="Times New Roman"/>
      <w:b/>
      <w:color w:val="ff0000"/>
    </w:rPr>
  </w:style>
  <w:style w:type="character" w:customStyle="1" w:styleId="ErrorTok">
    <w:name w:val="ErrorTok"/>
    <w:basedOn w:val="VerbatimChar"/>
    <w:rPr>
      <w:rFonts w:ascii="Times New Roman" w:hAnsi="Times New Roman" w:eastAsia="Times New Roman"/>
      <w:b/>
      <w:color w:val="ff0000"/>
    </w:rPr>
  </w:style>
  <w:style w:type="character" w:customStyle="1" w:styleId="NormalTok">
    <w:name w:val="NormalTok"/>
    <w:basedOn w:val="VerbatimChar"/>
    <w:rPr>
      <w:rFonts w:ascii="Times New Roman" w:hAnsi="Times New Roman" w:eastAsia="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en-US</dc:language>
  <cp:keywords/>
  <dcterms:created xsi:type="dcterms:W3CDTF">2026-10-14T08:40:53Z</dcterms:created>
  <dcterms:modified xsi:type="dcterms:W3CDTF">2026-10-14T08:40:53Z</dcterms:modified>
</cp:coreProperties>
</file>

<file path=docProps/custom.xml><?xml version="1.0" encoding="utf-8"?>
<Properties xmlns="http://schemas.openxmlformats.org/officeDocument/2006/custom-properties" xmlns:vt="http://schemas.openxmlformats.org/officeDocument/2006/docPropsVTypes"/>
</file>