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D399" w14:textId="77777777" w:rsidR="009B4041" w:rsidRDefault="00887CA9">
      <w:pPr>
        <w:spacing w:before="400" w:after="100"/>
        <w:jc w:val="center"/>
      </w:pPr>
      <w:r>
        <w:rPr>
          <w:rFonts w:ascii="Poppins" w:eastAsia="Poppins" w:hAnsi="Poppins" w:cs="Poppins"/>
          <w:b/>
          <w:bCs/>
          <w:color w:val="16294A"/>
          <w:sz w:val="52"/>
          <w:szCs w:val="52"/>
        </w:rPr>
        <w:t>H-Queex</w:t>
      </w:r>
    </w:p>
    <w:p w14:paraId="239980A1" w14:textId="77777777" w:rsidR="009B4041" w:rsidRDefault="00887CA9">
      <w:pPr>
        <w:spacing w:after="600"/>
        <w:jc w:val="center"/>
      </w:pPr>
      <w:r>
        <w:rPr>
          <w:rFonts w:ascii="Poppins" w:eastAsia="Poppins" w:hAnsi="Poppins" w:cs="Poppins"/>
          <w:color w:val="B08D57"/>
          <w:sz w:val="28"/>
          <w:szCs w:val="28"/>
        </w:rPr>
        <w:t>Brand Reference Sheet</w:t>
      </w:r>
    </w:p>
    <w:p w14:paraId="52E877A1" w14:textId="77777777" w:rsidR="009B4041" w:rsidRDefault="00887CA9">
      <w:pPr>
        <w:pBdr>
          <w:left w:val="single" w:sz="20" w:space="8" w:color="B08D57"/>
        </w:pBdr>
        <w:spacing w:before="400" w:after="200"/>
        <w:ind w:left="200"/>
      </w:pPr>
      <w:r>
        <w:rPr>
          <w:rFonts w:ascii="Poppins" w:eastAsia="Poppins" w:hAnsi="Poppins" w:cs="Poppins"/>
          <w:b/>
          <w:bCs/>
          <w:color w:val="16294A"/>
          <w:sz w:val="28"/>
          <w:szCs w:val="28"/>
        </w:rPr>
        <w:t>Logo Variants</w:t>
      </w:r>
    </w:p>
    <w:p w14:paraId="3B423ED8" w14:textId="77777777" w:rsidR="009B4041" w:rsidRDefault="00887CA9">
      <w:pPr>
        <w:spacing w:before="150" w:after="80"/>
      </w:pPr>
      <w:r>
        <w:rPr>
          <w:rFonts w:ascii="Poppins" w:eastAsia="Poppins" w:hAnsi="Poppins" w:cs="Poppins"/>
          <w:color w:val="888888"/>
          <w:sz w:val="18"/>
          <w:szCs w:val="18"/>
        </w:rPr>
        <w:t>1. Primary — Blue and Gold (use on white or light backgrounds)</w:t>
      </w:r>
    </w:p>
    <w:p w14:paraId="7771B8C3" w14:textId="0E2C656E" w:rsidR="009B4041" w:rsidRDefault="00A24508">
      <w:pPr>
        <w:spacing w:after="240"/>
      </w:pPr>
      <w:r>
        <w:rPr>
          <w:noProof/>
        </w:rPr>
        <w:drawing>
          <wp:inline distT="0" distB="0" distL="0" distR="0" wp14:anchorId="583BDA71" wp14:editId="7F195D8E">
            <wp:extent cx="2667005" cy="667513"/>
            <wp:effectExtent l="0" t="0" r="0" b="0"/>
            <wp:docPr id="1322375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7564" name="Picture 1322375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5" cy="66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F7F1" w14:textId="77777777" w:rsidR="009B4041" w:rsidRDefault="00887CA9">
      <w:pPr>
        <w:spacing w:before="150" w:after="80"/>
      </w:pPr>
      <w:r>
        <w:rPr>
          <w:rFonts w:ascii="Poppins" w:eastAsia="Poppins" w:hAnsi="Poppins" w:cs="Poppins"/>
          <w:color w:val="888888"/>
          <w:sz w:val="18"/>
          <w:szCs w:val="18"/>
        </w:rPr>
        <w:t>2. Logo with Tagline — Primary version</w:t>
      </w:r>
    </w:p>
    <w:p w14:paraId="3F39AFFE" w14:textId="74404C9D" w:rsidR="009B4041" w:rsidRDefault="00A24508">
      <w:pPr>
        <w:spacing w:after="240"/>
      </w:pPr>
      <w:r>
        <w:rPr>
          <w:noProof/>
        </w:rPr>
        <w:drawing>
          <wp:inline distT="0" distB="0" distL="0" distR="0" wp14:anchorId="61C8142D" wp14:editId="443BDC7D">
            <wp:extent cx="2677673" cy="972314"/>
            <wp:effectExtent l="0" t="0" r="0" b="0"/>
            <wp:docPr id="19780707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70746" name="Picture 19780707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7673" cy="97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7C24" w14:textId="2394D5F7" w:rsidR="009B4041" w:rsidRDefault="00887CA9">
      <w:pPr>
        <w:spacing w:before="150" w:after="80"/>
      </w:pPr>
      <w:r>
        <w:rPr>
          <w:rFonts w:ascii="Poppins" w:eastAsia="Poppins" w:hAnsi="Poppins" w:cs="Poppins"/>
          <w:color w:val="888888"/>
          <w:sz w:val="18"/>
          <w:szCs w:val="18"/>
        </w:rPr>
        <w:t>3. Single Colour — Black (for dark print, stamps, embossing)</w:t>
      </w:r>
    </w:p>
    <w:p w14:paraId="56A434E3" w14:textId="0B5625BD" w:rsidR="009B4041" w:rsidRDefault="00A24508">
      <w:pPr>
        <w:spacing w:after="240"/>
      </w:pPr>
      <w:r>
        <w:rPr>
          <w:noProof/>
        </w:rPr>
        <w:drawing>
          <wp:inline distT="0" distB="0" distL="0" distR="0" wp14:anchorId="02F28706" wp14:editId="0C959F2E">
            <wp:extent cx="2667005" cy="667513"/>
            <wp:effectExtent l="0" t="0" r="0" b="0"/>
            <wp:docPr id="15889375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37558" name="Picture 15889375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5" cy="66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D110" w14:textId="50518BC3" w:rsidR="009B4041" w:rsidRDefault="00887CA9">
      <w:pPr>
        <w:spacing w:before="150" w:after="80"/>
      </w:pPr>
      <w:r>
        <w:rPr>
          <w:rFonts w:ascii="Poppins" w:eastAsia="Poppins" w:hAnsi="Poppins" w:cs="Poppins"/>
          <w:color w:val="888888"/>
          <w:sz w:val="18"/>
          <w:szCs w:val="18"/>
        </w:rPr>
        <w:t>4. Single Colour — White (use on dark backgrounds)</w:t>
      </w:r>
    </w:p>
    <w:tbl>
      <w:tblPr>
        <w:tblW w:w="5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12"/>
      </w:tblGrid>
      <w:tr w:rsidR="009B4041" w14:paraId="5BF72EA6" w14:textId="77777777" w:rsidTr="00765A92">
        <w:trPr>
          <w:trHeight w:val="951"/>
        </w:trPr>
        <w:tc>
          <w:tcPr>
            <w:tcW w:w="5312" w:type="dxa"/>
            <w:shd w:val="clear" w:color="auto" w:fill="16294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9A4287" w14:textId="54BB79CC" w:rsidR="009B4041" w:rsidRDefault="00A24508">
            <w:pPr>
              <w:spacing w:before="120" w:after="120"/>
              <w:ind w:left="120"/>
            </w:pPr>
            <w:r>
              <w:rPr>
                <w:noProof/>
              </w:rPr>
              <w:drawing>
                <wp:inline distT="0" distB="0" distL="0" distR="0" wp14:anchorId="373C5902" wp14:editId="32F53A42">
                  <wp:extent cx="2667005" cy="667513"/>
                  <wp:effectExtent l="0" t="0" r="0" b="0"/>
                  <wp:docPr id="118652372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523728" name="Picture 11865237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5" cy="667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C58F04" w14:textId="77777777" w:rsidR="009B4041" w:rsidRDefault="009B4041">
      <w:pPr>
        <w:spacing w:before="240"/>
      </w:pPr>
    </w:p>
    <w:p w14:paraId="1A0C57D5" w14:textId="77777777" w:rsidR="009B4041" w:rsidRDefault="00887CA9">
      <w:pPr>
        <w:spacing w:before="150" w:after="80"/>
      </w:pPr>
      <w:r>
        <w:rPr>
          <w:rFonts w:ascii="Poppins" w:eastAsia="Poppins" w:hAnsi="Poppins" w:cs="Poppins"/>
          <w:color w:val="888888"/>
          <w:sz w:val="18"/>
          <w:szCs w:val="18"/>
        </w:rPr>
        <w:t>5. H Mark — Blue and Gold (favicon, social profile picture, small applications)</w:t>
      </w:r>
    </w:p>
    <w:p w14:paraId="669255E0" w14:textId="27D77E8D" w:rsidR="009B4041" w:rsidRDefault="00A24508">
      <w:pPr>
        <w:spacing w:after="300"/>
      </w:pPr>
      <w:r>
        <w:rPr>
          <w:noProof/>
        </w:rPr>
        <w:drawing>
          <wp:inline distT="0" distB="0" distL="0" distR="0" wp14:anchorId="754675E2" wp14:editId="756F1DA1">
            <wp:extent cx="739472" cy="896763"/>
            <wp:effectExtent l="0" t="0" r="0" b="0"/>
            <wp:docPr id="9687181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18152" name="Picture 9687181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3469" cy="90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67DE" w14:textId="77777777" w:rsidR="009B4041" w:rsidRDefault="00887CA9">
      <w:pPr>
        <w:pBdr>
          <w:left w:val="single" w:sz="20" w:space="8" w:color="B08D57"/>
        </w:pBdr>
        <w:spacing w:before="400" w:after="200"/>
        <w:ind w:left="200"/>
      </w:pPr>
      <w:r>
        <w:rPr>
          <w:rFonts w:ascii="Poppins" w:eastAsia="Poppins" w:hAnsi="Poppins" w:cs="Poppins"/>
          <w:b/>
          <w:bCs/>
          <w:color w:val="16294A"/>
          <w:sz w:val="28"/>
          <w:szCs w:val="28"/>
        </w:rPr>
        <w:t>Tagline</w:t>
      </w:r>
    </w:p>
    <w:p w14:paraId="5F9E5BEE" w14:textId="77777777" w:rsidR="009B4041" w:rsidRDefault="00887CA9">
      <w:pPr>
        <w:spacing w:before="100" w:after="100"/>
      </w:pPr>
      <w:r>
        <w:rPr>
          <w:rFonts w:ascii="Poppins" w:eastAsia="Poppins" w:hAnsi="Poppins" w:cs="Poppins"/>
          <w:i/>
          <w:iCs/>
          <w:color w:val="16294A"/>
          <w:sz w:val="32"/>
          <w:szCs w:val="32"/>
        </w:rPr>
        <w:t>Value from every process.</w:t>
      </w:r>
    </w:p>
    <w:p w14:paraId="5939A0B6" w14:textId="77777777" w:rsidR="009B4041" w:rsidRDefault="00887CA9">
      <w:pPr>
        <w:spacing w:after="100"/>
      </w:pPr>
      <w:r>
        <w:rPr>
          <w:rFonts w:ascii="Poppins" w:eastAsia="Poppins" w:hAnsi="Poppins" w:cs="Poppins"/>
          <w:color w:val="888888"/>
          <w:sz w:val="18"/>
          <w:szCs w:val="18"/>
        </w:rPr>
        <w:t>Font: Poppins Light Italic  |  Colour: Navy #16294A  |  On dark backgrounds: White #FFFFFF</w:t>
      </w:r>
    </w:p>
    <w:p w14:paraId="12D74B80" w14:textId="77777777" w:rsidR="009B4041" w:rsidRDefault="00887CA9">
      <w:pPr>
        <w:spacing w:after="300"/>
      </w:pPr>
      <w:r>
        <w:rPr>
          <w:rFonts w:ascii="Poppins" w:eastAsia="Poppins" w:hAnsi="Poppins" w:cs="Poppins"/>
          <w:color w:val="888888"/>
          <w:sz w:val="18"/>
          <w:szCs w:val="18"/>
        </w:rPr>
        <w:t>Position: aligned under "Queex" — not centred under the full wordmark.</w:t>
      </w:r>
    </w:p>
    <w:p w14:paraId="687817C2" w14:textId="77777777" w:rsidR="009B4041" w:rsidRDefault="00887CA9">
      <w:pPr>
        <w:pBdr>
          <w:left w:val="single" w:sz="20" w:space="8" w:color="B08D57"/>
        </w:pBdr>
        <w:spacing w:before="400" w:after="200"/>
        <w:ind w:left="200"/>
      </w:pPr>
      <w:r>
        <w:rPr>
          <w:rFonts w:ascii="Poppins" w:eastAsia="Poppins" w:hAnsi="Poppins" w:cs="Poppins"/>
          <w:b/>
          <w:bCs/>
          <w:color w:val="16294A"/>
          <w:sz w:val="28"/>
          <w:szCs w:val="28"/>
        </w:rPr>
        <w:lastRenderedPageBreak/>
        <w:t>Brand Colours</w:t>
      </w:r>
    </w:p>
    <w:tbl>
      <w:tblPr>
        <w:tblW w:w="9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00"/>
      </w:tblGrid>
      <w:tr w:rsidR="009B4041" w14:paraId="6793EEF5" w14:textId="77777777">
        <w:tc>
          <w:tcPr>
            <w:tcW w:w="800" w:type="dxa"/>
            <w:shd w:val="clear" w:color="auto" w:fill="16294A"/>
          </w:tcPr>
          <w:p w14:paraId="62345866" w14:textId="77777777" w:rsidR="009B4041" w:rsidRDefault="009B4041"/>
        </w:tc>
        <w:tc>
          <w:tcPr>
            <w:tcW w:w="8200" w:type="dxa"/>
            <w:tcMar>
              <w:left w:w="200" w:type="dxa"/>
              <w:right w:w="200" w:type="dxa"/>
            </w:tcMar>
          </w:tcPr>
          <w:p w14:paraId="0D30229D" w14:textId="77777777" w:rsidR="009B4041" w:rsidRDefault="00887CA9">
            <w:pPr>
              <w:spacing w:before="80"/>
            </w:pPr>
            <w:r>
              <w:rPr>
                <w:rFonts w:ascii="Poppins" w:eastAsia="Poppins" w:hAnsi="Poppins" w:cs="Poppins"/>
                <w:b/>
                <w:bCs/>
                <w:color w:val="16294A"/>
                <w:sz w:val="22"/>
                <w:szCs w:val="22"/>
              </w:rPr>
              <w:t>Deep Navy</w:t>
            </w:r>
          </w:p>
          <w:p w14:paraId="0AACA78C" w14:textId="77777777" w:rsidR="009B4041" w:rsidRDefault="00887CA9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#16294A</w:t>
            </w:r>
          </w:p>
          <w:p w14:paraId="1CA4566A" w14:textId="77777777" w:rsidR="009B4041" w:rsidRDefault="00887CA9">
            <w:pPr>
              <w:spacing w:after="80"/>
            </w:pPr>
            <w:r>
              <w:rPr>
                <w:rFonts w:ascii="Poppins" w:eastAsia="Poppins" w:hAnsi="Poppins" w:cs="Poppins"/>
                <w:color w:val="888888"/>
                <w:sz w:val="18"/>
                <w:szCs w:val="18"/>
              </w:rPr>
              <w:t>Primary brand colour — letterforms, backgrounds, headings, tagline</w:t>
            </w:r>
          </w:p>
        </w:tc>
      </w:tr>
      <w:tr w:rsidR="009B4041" w14:paraId="31FA5B9F" w14:textId="77777777">
        <w:tc>
          <w:tcPr>
            <w:tcW w:w="800" w:type="dxa"/>
            <w:shd w:val="clear" w:color="auto" w:fill="B08D57"/>
          </w:tcPr>
          <w:p w14:paraId="31430DAA" w14:textId="77777777" w:rsidR="009B4041" w:rsidRDefault="009B4041"/>
        </w:tc>
        <w:tc>
          <w:tcPr>
            <w:tcW w:w="8200" w:type="dxa"/>
            <w:tcMar>
              <w:left w:w="200" w:type="dxa"/>
              <w:right w:w="200" w:type="dxa"/>
            </w:tcMar>
          </w:tcPr>
          <w:p w14:paraId="746FF25E" w14:textId="77777777" w:rsidR="009B4041" w:rsidRDefault="00887CA9">
            <w:pPr>
              <w:spacing w:before="80"/>
            </w:pPr>
            <w:r>
              <w:rPr>
                <w:rFonts w:ascii="Poppins" w:eastAsia="Poppins" w:hAnsi="Poppins" w:cs="Poppins"/>
                <w:b/>
                <w:bCs/>
                <w:color w:val="16294A"/>
                <w:sz w:val="22"/>
                <w:szCs w:val="22"/>
              </w:rPr>
              <w:t>Gold</w:t>
            </w:r>
          </w:p>
          <w:p w14:paraId="05B20886" w14:textId="77777777" w:rsidR="009B4041" w:rsidRDefault="00887CA9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#B08D57</w:t>
            </w:r>
          </w:p>
          <w:p w14:paraId="19FDA046" w14:textId="77777777" w:rsidR="009B4041" w:rsidRDefault="00887CA9">
            <w:pPr>
              <w:spacing w:after="80"/>
            </w:pPr>
            <w:r>
              <w:rPr>
                <w:rFonts w:ascii="Poppins" w:eastAsia="Poppins" w:hAnsi="Poppins" w:cs="Poppins"/>
                <w:color w:val="888888"/>
                <w:sz w:val="18"/>
                <w:szCs w:val="18"/>
              </w:rPr>
              <w:t>Accent colour — H crossbar, swing line, highlights  |  #B08D57</w:t>
            </w:r>
          </w:p>
        </w:tc>
      </w:tr>
      <w:tr w:rsidR="009B4041" w14:paraId="4C529B68" w14:textId="77777777">
        <w:tc>
          <w:tcPr>
            <w:tcW w:w="800" w:type="dxa"/>
            <w:shd w:val="clear" w:color="auto" w:fill="C9A96E"/>
          </w:tcPr>
          <w:p w14:paraId="6C99B375" w14:textId="77777777" w:rsidR="009B4041" w:rsidRDefault="009B4041"/>
        </w:tc>
        <w:tc>
          <w:tcPr>
            <w:tcW w:w="8200" w:type="dxa"/>
            <w:tcMar>
              <w:left w:w="200" w:type="dxa"/>
              <w:right w:w="200" w:type="dxa"/>
            </w:tcMar>
          </w:tcPr>
          <w:p w14:paraId="5F868165" w14:textId="77777777" w:rsidR="009B4041" w:rsidRDefault="00887CA9">
            <w:pPr>
              <w:spacing w:before="80"/>
            </w:pPr>
            <w:r>
              <w:rPr>
                <w:rFonts w:ascii="Poppins" w:eastAsia="Poppins" w:hAnsi="Poppins" w:cs="Poppins"/>
                <w:b/>
                <w:bCs/>
                <w:color w:val="16294A"/>
                <w:sz w:val="22"/>
                <w:szCs w:val="22"/>
              </w:rPr>
              <w:t>Light Gold</w:t>
            </w:r>
          </w:p>
          <w:p w14:paraId="461EDD20" w14:textId="77777777" w:rsidR="009B4041" w:rsidRDefault="00887CA9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#C9A96E</w:t>
            </w:r>
          </w:p>
          <w:p w14:paraId="291601DF" w14:textId="77777777" w:rsidR="009B4041" w:rsidRDefault="00887CA9">
            <w:pPr>
              <w:spacing w:after="80"/>
            </w:pPr>
            <w:r>
              <w:rPr>
                <w:rFonts w:ascii="Poppins" w:eastAsia="Poppins" w:hAnsi="Poppins" w:cs="Poppins"/>
                <w:color w:val="888888"/>
                <w:sz w:val="18"/>
                <w:szCs w:val="18"/>
              </w:rPr>
              <w:t>Secondary accent — subtle highlights  |  #C9A96E</w:t>
            </w:r>
          </w:p>
        </w:tc>
      </w:tr>
      <w:tr w:rsidR="009B4041" w14:paraId="3E8969DF" w14:textId="77777777">
        <w:tc>
          <w:tcPr>
            <w:tcW w:w="800" w:type="dxa"/>
            <w:shd w:val="clear" w:color="auto" w:fill="F7F7F7"/>
          </w:tcPr>
          <w:p w14:paraId="1820C4FE" w14:textId="77777777" w:rsidR="009B4041" w:rsidRDefault="009B4041"/>
        </w:tc>
        <w:tc>
          <w:tcPr>
            <w:tcW w:w="8200" w:type="dxa"/>
            <w:tcMar>
              <w:left w:w="200" w:type="dxa"/>
              <w:right w:w="200" w:type="dxa"/>
            </w:tcMar>
          </w:tcPr>
          <w:p w14:paraId="3C320071" w14:textId="77777777" w:rsidR="009B4041" w:rsidRDefault="00887CA9">
            <w:pPr>
              <w:spacing w:before="80"/>
            </w:pPr>
            <w:r>
              <w:rPr>
                <w:rFonts w:ascii="Poppins" w:eastAsia="Poppins" w:hAnsi="Poppins" w:cs="Poppins"/>
                <w:b/>
                <w:bCs/>
                <w:color w:val="16294A"/>
                <w:sz w:val="22"/>
                <w:szCs w:val="22"/>
              </w:rPr>
              <w:t>Light Grey</w:t>
            </w:r>
          </w:p>
          <w:p w14:paraId="6547C36B" w14:textId="77777777" w:rsidR="009B4041" w:rsidRDefault="00887CA9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#F7F7F7</w:t>
            </w:r>
          </w:p>
          <w:p w14:paraId="0D20CDF2" w14:textId="77777777" w:rsidR="009B4041" w:rsidRDefault="00887CA9">
            <w:pPr>
              <w:spacing w:after="80"/>
            </w:pPr>
            <w:r>
              <w:rPr>
                <w:rFonts w:ascii="Poppins" w:eastAsia="Poppins" w:hAnsi="Poppins" w:cs="Poppins"/>
                <w:color w:val="888888"/>
                <w:sz w:val="18"/>
                <w:szCs w:val="18"/>
              </w:rPr>
              <w:t>Background colour — documents, cards  |  #F7F7F7</w:t>
            </w:r>
          </w:p>
        </w:tc>
      </w:tr>
      <w:tr w:rsidR="009B4041" w14:paraId="5E59B4B9" w14:textId="77777777">
        <w:tc>
          <w:tcPr>
            <w:tcW w:w="800" w:type="dxa"/>
            <w:shd w:val="clear" w:color="auto" w:fill="37373A"/>
          </w:tcPr>
          <w:p w14:paraId="38AF6941" w14:textId="77777777" w:rsidR="009B4041" w:rsidRDefault="009B4041"/>
        </w:tc>
        <w:tc>
          <w:tcPr>
            <w:tcW w:w="8200" w:type="dxa"/>
            <w:tcMar>
              <w:left w:w="200" w:type="dxa"/>
              <w:right w:w="200" w:type="dxa"/>
            </w:tcMar>
          </w:tcPr>
          <w:p w14:paraId="3C65A2E7" w14:textId="77777777" w:rsidR="009B4041" w:rsidRDefault="00887CA9">
            <w:pPr>
              <w:spacing w:before="80"/>
            </w:pPr>
            <w:r>
              <w:rPr>
                <w:rFonts w:ascii="Poppins" w:eastAsia="Poppins" w:hAnsi="Poppins" w:cs="Poppins"/>
                <w:b/>
                <w:bCs/>
                <w:color w:val="16294A"/>
                <w:sz w:val="22"/>
                <w:szCs w:val="22"/>
              </w:rPr>
              <w:t>Charcoal</w:t>
            </w:r>
          </w:p>
          <w:p w14:paraId="22274BEA" w14:textId="77777777" w:rsidR="009B4041" w:rsidRDefault="00887CA9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#37373A</w:t>
            </w:r>
          </w:p>
          <w:p w14:paraId="58981B3C" w14:textId="77777777" w:rsidR="009B4041" w:rsidRDefault="00887CA9">
            <w:pPr>
              <w:spacing w:after="80"/>
            </w:pPr>
            <w:r>
              <w:rPr>
                <w:rFonts w:ascii="Poppins" w:eastAsia="Poppins" w:hAnsi="Poppins" w:cs="Poppins"/>
                <w:color w:val="888888"/>
                <w:sz w:val="18"/>
                <w:szCs w:val="18"/>
              </w:rPr>
              <w:t>Body text  |  #37373A</w:t>
            </w:r>
          </w:p>
        </w:tc>
      </w:tr>
    </w:tbl>
    <w:p w14:paraId="3276F493" w14:textId="77777777" w:rsidR="009B4041" w:rsidRDefault="009B4041">
      <w:pPr>
        <w:spacing w:before="300"/>
      </w:pPr>
    </w:p>
    <w:p w14:paraId="18917D4D" w14:textId="77777777" w:rsidR="009B4041" w:rsidRDefault="00887CA9">
      <w:pPr>
        <w:pBdr>
          <w:left w:val="single" w:sz="20" w:space="8" w:color="B08D57"/>
        </w:pBdr>
        <w:spacing w:before="400" w:after="200"/>
        <w:ind w:left="200"/>
      </w:pPr>
      <w:r>
        <w:rPr>
          <w:rFonts w:ascii="Poppins" w:eastAsia="Poppins" w:hAnsi="Poppins" w:cs="Poppins"/>
          <w:b/>
          <w:bCs/>
          <w:color w:val="16294A"/>
          <w:sz w:val="28"/>
          <w:szCs w:val="28"/>
        </w:rPr>
        <w:t>Typography</w:t>
      </w:r>
    </w:p>
    <w:p w14:paraId="2080BAE8" w14:textId="77777777" w:rsidR="009B4041" w:rsidRDefault="00887CA9">
      <w:pPr>
        <w:spacing w:before="150" w:after="80"/>
      </w:pPr>
      <w:r>
        <w:rPr>
          <w:rFonts w:ascii="Poppins" w:eastAsia="Poppins" w:hAnsi="Poppins" w:cs="Poppins"/>
          <w:color w:val="888888"/>
          <w:sz w:val="18"/>
          <w:szCs w:val="18"/>
        </w:rPr>
        <w:t>Wordmark</w:t>
      </w:r>
    </w:p>
    <w:p w14:paraId="058F1826" w14:textId="77777777" w:rsidR="009B4041" w:rsidRDefault="00887CA9">
      <w:pPr>
        <w:spacing w:after="60"/>
      </w:pPr>
      <w:r>
        <w:rPr>
          <w:rFonts w:ascii="Poppins" w:eastAsia="Poppins" w:hAnsi="Poppins" w:cs="Poppins"/>
          <w:b/>
          <w:bCs/>
          <w:color w:val="16294A"/>
          <w:sz w:val="22"/>
          <w:szCs w:val="22"/>
        </w:rPr>
        <w:t>Poppins Regular</w:t>
      </w:r>
    </w:p>
    <w:p w14:paraId="5D9E1051" w14:textId="77777777" w:rsidR="009B4041" w:rsidRDefault="00887CA9">
      <w:pPr>
        <w:spacing w:after="160"/>
      </w:pPr>
      <w:r>
        <w:rPr>
          <w:rFonts w:ascii="Poppins" w:eastAsia="Poppins" w:hAnsi="Poppins" w:cs="Poppins"/>
          <w:color w:val="888888"/>
          <w:sz w:val="18"/>
          <w:szCs w:val="18"/>
        </w:rPr>
        <w:t>Used for the H-Queex wordmark</w:t>
      </w:r>
    </w:p>
    <w:p w14:paraId="13E4DB34" w14:textId="77777777" w:rsidR="009B4041" w:rsidRDefault="00887CA9">
      <w:pPr>
        <w:spacing w:before="150" w:after="80"/>
      </w:pPr>
      <w:r>
        <w:rPr>
          <w:rFonts w:ascii="Poppins" w:eastAsia="Poppins" w:hAnsi="Poppins" w:cs="Poppins"/>
          <w:color w:val="888888"/>
          <w:sz w:val="18"/>
          <w:szCs w:val="18"/>
        </w:rPr>
        <w:t>Tagline</w:t>
      </w:r>
    </w:p>
    <w:p w14:paraId="4DBA2352" w14:textId="77777777" w:rsidR="009B4041" w:rsidRDefault="00887CA9">
      <w:pPr>
        <w:spacing w:after="60"/>
      </w:pPr>
      <w:r>
        <w:rPr>
          <w:rFonts w:ascii="Poppins" w:eastAsia="Poppins" w:hAnsi="Poppins" w:cs="Poppins"/>
          <w:b/>
          <w:bCs/>
          <w:color w:val="16294A"/>
          <w:sz w:val="22"/>
          <w:szCs w:val="22"/>
        </w:rPr>
        <w:t>Poppins Light Italic</w:t>
      </w:r>
    </w:p>
    <w:p w14:paraId="78E9DAED" w14:textId="77777777" w:rsidR="009B4041" w:rsidRDefault="00887CA9">
      <w:pPr>
        <w:spacing w:after="160"/>
      </w:pPr>
      <w:r>
        <w:rPr>
          <w:rFonts w:ascii="Poppins" w:eastAsia="Poppins" w:hAnsi="Poppins" w:cs="Poppins"/>
          <w:color w:val="888888"/>
          <w:sz w:val="18"/>
          <w:szCs w:val="18"/>
        </w:rPr>
        <w:t>Used exclusively for the tagline</w:t>
      </w:r>
    </w:p>
    <w:p w14:paraId="3E80A3A5" w14:textId="77777777" w:rsidR="009B4041" w:rsidRDefault="00887CA9">
      <w:pPr>
        <w:spacing w:before="150" w:after="80"/>
      </w:pPr>
      <w:r>
        <w:rPr>
          <w:rFonts w:ascii="Poppins" w:eastAsia="Poppins" w:hAnsi="Poppins" w:cs="Poppins"/>
          <w:color w:val="888888"/>
          <w:sz w:val="18"/>
          <w:szCs w:val="18"/>
        </w:rPr>
        <w:t>Headings</w:t>
      </w:r>
    </w:p>
    <w:p w14:paraId="6812B9FF" w14:textId="77777777" w:rsidR="009B4041" w:rsidRDefault="00887CA9">
      <w:pPr>
        <w:spacing w:after="60"/>
      </w:pPr>
      <w:r>
        <w:rPr>
          <w:rFonts w:ascii="Poppins" w:eastAsia="Poppins" w:hAnsi="Poppins" w:cs="Poppins"/>
          <w:b/>
          <w:bCs/>
          <w:color w:val="16294A"/>
          <w:sz w:val="22"/>
          <w:szCs w:val="22"/>
        </w:rPr>
        <w:t>Poppins Regular / SemiBold</w:t>
      </w:r>
    </w:p>
    <w:p w14:paraId="3176494C" w14:textId="77777777" w:rsidR="009B4041" w:rsidRDefault="00887CA9">
      <w:pPr>
        <w:spacing w:after="160"/>
      </w:pPr>
      <w:r>
        <w:rPr>
          <w:rFonts w:ascii="Poppins" w:eastAsia="Poppins" w:hAnsi="Poppins" w:cs="Poppins"/>
          <w:color w:val="888888"/>
          <w:sz w:val="18"/>
          <w:szCs w:val="18"/>
        </w:rPr>
        <w:t>Used for document headings and section titles</w:t>
      </w:r>
    </w:p>
    <w:p w14:paraId="21E6C466" w14:textId="77777777" w:rsidR="009B4041" w:rsidRDefault="00887CA9">
      <w:pPr>
        <w:spacing w:before="150" w:after="80"/>
      </w:pPr>
      <w:r>
        <w:rPr>
          <w:rFonts w:ascii="Poppins" w:eastAsia="Poppins" w:hAnsi="Poppins" w:cs="Poppins"/>
          <w:color w:val="888888"/>
          <w:sz w:val="18"/>
          <w:szCs w:val="18"/>
        </w:rPr>
        <w:t>Body Text</w:t>
      </w:r>
    </w:p>
    <w:p w14:paraId="2D094417" w14:textId="77777777" w:rsidR="009B4041" w:rsidRDefault="00887CA9">
      <w:pPr>
        <w:spacing w:after="60"/>
      </w:pPr>
      <w:r>
        <w:rPr>
          <w:rFonts w:ascii="Poppins" w:eastAsia="Poppins" w:hAnsi="Poppins" w:cs="Poppins"/>
          <w:b/>
          <w:bCs/>
          <w:color w:val="16294A"/>
          <w:sz w:val="22"/>
          <w:szCs w:val="22"/>
        </w:rPr>
        <w:t>Segoe UI Regular</w:t>
      </w:r>
    </w:p>
    <w:p w14:paraId="5785E153" w14:textId="77777777" w:rsidR="009B4041" w:rsidRDefault="00887CA9">
      <w:pPr>
        <w:spacing w:after="300"/>
      </w:pPr>
      <w:r>
        <w:rPr>
          <w:rFonts w:ascii="Poppins" w:eastAsia="Poppins" w:hAnsi="Poppins" w:cs="Poppins"/>
          <w:color w:val="888888"/>
          <w:sz w:val="18"/>
          <w:szCs w:val="18"/>
        </w:rPr>
        <w:t>Used for body copy in documents and presentations</w:t>
      </w:r>
    </w:p>
    <w:p w14:paraId="4622051E" w14:textId="77777777" w:rsidR="009B4041" w:rsidRDefault="00887CA9">
      <w:pPr>
        <w:pBdr>
          <w:left w:val="single" w:sz="20" w:space="8" w:color="B08D57"/>
        </w:pBdr>
        <w:spacing w:before="400" w:after="200"/>
        <w:ind w:left="200"/>
      </w:pPr>
      <w:r>
        <w:rPr>
          <w:rFonts w:ascii="Poppins" w:eastAsia="Poppins" w:hAnsi="Poppins" w:cs="Poppins"/>
          <w:b/>
          <w:bCs/>
          <w:color w:val="16294A"/>
          <w:sz w:val="28"/>
          <w:szCs w:val="28"/>
        </w:rPr>
        <w:t>Brand Voice</w:t>
      </w:r>
    </w:p>
    <w:p w14:paraId="222B332E" w14:textId="77777777" w:rsidR="009B4041" w:rsidRDefault="00887CA9">
      <w:pPr>
        <w:spacing w:before="100" w:after="200"/>
      </w:pPr>
      <w:r>
        <w:rPr>
          <w:rFonts w:ascii="Poppins" w:eastAsia="Poppins" w:hAnsi="Poppins" w:cs="Poppins"/>
          <w:color w:val="37373A"/>
        </w:rPr>
        <w:t>H-Queex communicates with precision, confidence and clarity. The tone is professional without being corporate, expert without being jargon-heavy. Content always leads with outcomes and capability rather than problems or deficiencies.</w:t>
      </w:r>
    </w:p>
    <w:p w14:paraId="6E573909" w14:textId="77777777" w:rsidR="009B4041" w:rsidRDefault="00887CA9">
      <w:pPr>
        <w:spacing w:before="150" w:after="80"/>
      </w:pPr>
      <w:r>
        <w:rPr>
          <w:rFonts w:ascii="Poppins" w:eastAsia="Poppins" w:hAnsi="Poppins" w:cs="Poppins"/>
          <w:color w:val="888888"/>
          <w:sz w:val="18"/>
          <w:szCs w:val="18"/>
        </w:rPr>
        <w:t>Key Principles</w:t>
      </w:r>
    </w:p>
    <w:p w14:paraId="2333F97E" w14:textId="77777777" w:rsidR="009B4041" w:rsidRDefault="00887CA9">
      <w:pPr>
        <w:spacing w:after="80"/>
      </w:pPr>
      <w:r>
        <w:rPr>
          <w:rFonts w:ascii="Poppins" w:eastAsia="Poppins" w:hAnsi="Poppins" w:cs="Poppins"/>
          <w:color w:val="37373A"/>
        </w:rPr>
        <w:t>— No dashes as punctuation. Use colons or restructured phrasing.</w:t>
      </w:r>
    </w:p>
    <w:p w14:paraId="1BF72DEB" w14:textId="77777777" w:rsidR="009B4041" w:rsidRDefault="00887CA9">
      <w:pPr>
        <w:spacing w:after="80"/>
      </w:pPr>
      <w:r>
        <w:rPr>
          <w:rFonts w:ascii="Poppins" w:eastAsia="Poppins" w:hAnsi="Poppins" w:cs="Poppins"/>
          <w:color w:val="37373A"/>
        </w:rPr>
        <w:t>— Never use the word "premium" as a descriptor.</w:t>
      </w:r>
    </w:p>
    <w:p w14:paraId="74A94D5C" w14:textId="77777777" w:rsidR="009B4041" w:rsidRDefault="00887CA9">
      <w:pPr>
        <w:spacing w:after="80"/>
      </w:pPr>
      <w:r>
        <w:rPr>
          <w:rFonts w:ascii="Poppins" w:eastAsia="Poppins" w:hAnsi="Poppins" w:cs="Poppins"/>
          <w:color w:val="37373A"/>
        </w:rPr>
        <w:t>— Lead with capability, not problems or deficiencies.</w:t>
      </w:r>
    </w:p>
    <w:p w14:paraId="1E09BD15" w14:textId="77777777" w:rsidR="009B4041" w:rsidRDefault="00887CA9">
      <w:pPr>
        <w:spacing w:after="80"/>
      </w:pPr>
      <w:r>
        <w:rPr>
          <w:rFonts w:ascii="Poppins" w:eastAsia="Poppins" w:hAnsi="Poppins" w:cs="Poppins"/>
          <w:color w:val="37373A"/>
        </w:rPr>
        <w:t>— Write in third person for brand and marketing content.</w:t>
      </w:r>
    </w:p>
    <w:p w14:paraId="76A78F70" w14:textId="77777777" w:rsidR="009B4041" w:rsidRDefault="00887CA9">
      <w:pPr>
        <w:spacing w:after="80"/>
      </w:pPr>
      <w:r>
        <w:rPr>
          <w:rFonts w:ascii="Poppins" w:eastAsia="Poppins" w:hAnsi="Poppins" w:cs="Poppins"/>
          <w:color w:val="37373A"/>
        </w:rPr>
        <w:t>— Methodology described as "based on" or "informed by" Six Sigma, not "applying".</w:t>
      </w:r>
    </w:p>
    <w:p w14:paraId="1536C077" w14:textId="77777777" w:rsidR="009B4041" w:rsidRDefault="00887CA9">
      <w:pPr>
        <w:spacing w:after="80"/>
      </w:pPr>
      <w:r>
        <w:rPr>
          <w:rFonts w:ascii="Poppins" w:eastAsia="Poppins" w:hAnsi="Poppins" w:cs="Poppins"/>
          <w:color w:val="37373A"/>
        </w:rPr>
        <w:t>— Keep content general — do not name specific sectors or clients unless explicitly requested.</w:t>
      </w:r>
    </w:p>
    <w:p w14:paraId="7082439C" w14:textId="77777777" w:rsidR="009B4041" w:rsidRDefault="009B4041">
      <w:pPr>
        <w:spacing w:before="200"/>
      </w:pPr>
    </w:p>
    <w:p w14:paraId="5068A238" w14:textId="77777777" w:rsidR="009B4041" w:rsidRDefault="00887CA9">
      <w:pPr>
        <w:pBdr>
          <w:left w:val="single" w:sz="20" w:space="8" w:color="B08D57"/>
        </w:pBdr>
        <w:spacing w:before="400" w:after="200"/>
        <w:ind w:left="200"/>
      </w:pPr>
      <w:r>
        <w:rPr>
          <w:rFonts w:ascii="Poppins" w:eastAsia="Poppins" w:hAnsi="Poppins" w:cs="Poppins"/>
          <w:b/>
          <w:bCs/>
          <w:color w:val="16294A"/>
          <w:sz w:val="28"/>
          <w:szCs w:val="28"/>
        </w:rPr>
        <w:t>Target Sectors</w:t>
      </w:r>
    </w:p>
    <w:p w14:paraId="59242392" w14:textId="77777777" w:rsidR="009B4041" w:rsidRDefault="00887CA9">
      <w:pPr>
        <w:spacing w:before="100" w:after="150"/>
      </w:pPr>
      <w:r>
        <w:rPr>
          <w:rFonts w:ascii="Poppins" w:eastAsia="Poppins" w:hAnsi="Poppins" w:cs="Poppins"/>
          <w:color w:val="37373A"/>
        </w:rPr>
        <w:t>H-Queex serves any organisation that needs structured, documented and optimised operations. Key sectors include:</w:t>
      </w:r>
    </w:p>
    <w:p w14:paraId="5A758116" w14:textId="77777777" w:rsidR="009B4041" w:rsidRDefault="00887CA9">
      <w:pPr>
        <w:spacing w:after="80"/>
      </w:pPr>
      <w:r>
        <w:rPr>
          <w:rFonts w:ascii="Poppins" w:eastAsia="Poppins" w:hAnsi="Poppins" w:cs="Poppins"/>
          <w:color w:val="37373A"/>
        </w:rPr>
        <w:t>— Growing SMEs and scale-up businesses</w:t>
      </w:r>
    </w:p>
    <w:p w14:paraId="68E61C28" w14:textId="77777777" w:rsidR="009B4041" w:rsidRDefault="00887CA9">
      <w:pPr>
        <w:spacing w:after="80"/>
      </w:pPr>
      <w:r>
        <w:rPr>
          <w:rFonts w:ascii="Poppins" w:eastAsia="Poppins" w:hAnsi="Poppins" w:cs="Poppins"/>
          <w:color w:val="37373A"/>
        </w:rPr>
        <w:t>— Agriculture and farm digitalisation</w:t>
      </w:r>
    </w:p>
    <w:p w14:paraId="5ED30B56" w14:textId="77777777" w:rsidR="009B4041" w:rsidRDefault="00887CA9">
      <w:pPr>
        <w:spacing w:after="80"/>
      </w:pPr>
      <w:r>
        <w:rPr>
          <w:rFonts w:ascii="Poppins" w:eastAsia="Poppins" w:hAnsi="Poppins" w:cs="Poppins"/>
          <w:color w:val="37373A"/>
        </w:rPr>
        <w:t>— Organisations preparing for digital systems integration</w:t>
      </w:r>
    </w:p>
    <w:p w14:paraId="6166D628" w14:textId="77777777" w:rsidR="009B4041" w:rsidRDefault="00887CA9">
      <w:pPr>
        <w:spacing w:after="80"/>
      </w:pPr>
      <w:r>
        <w:rPr>
          <w:rFonts w:ascii="Poppins" w:eastAsia="Poppins" w:hAnsi="Poppins" w:cs="Poppins"/>
          <w:color w:val="37373A"/>
        </w:rPr>
        <w:t>— Any business with informal, undocumented or inefficient processes</w:t>
      </w:r>
    </w:p>
    <w:p w14:paraId="4132964C" w14:textId="77777777" w:rsidR="009B4041" w:rsidRDefault="009B4041">
      <w:pPr>
        <w:spacing w:before="400"/>
      </w:pPr>
    </w:p>
    <w:p w14:paraId="4CBCAC50" w14:textId="77777777" w:rsidR="009B4041" w:rsidRDefault="00887CA9">
      <w:pPr>
        <w:pBdr>
          <w:top w:val="single" w:sz="6" w:space="8" w:color="B08D57"/>
        </w:pBdr>
        <w:spacing w:before="400"/>
        <w:jc w:val="center"/>
      </w:pPr>
      <w:r>
        <w:rPr>
          <w:rFonts w:ascii="Poppins" w:eastAsia="Poppins" w:hAnsi="Poppins" w:cs="Poppins"/>
          <w:i/>
          <w:iCs/>
          <w:color w:val="B08D57"/>
          <w:sz w:val="18"/>
          <w:szCs w:val="18"/>
        </w:rPr>
        <w:t>H-Queex — Value from every process.</w:t>
      </w:r>
    </w:p>
    <w:sectPr w:rsidR="009B4041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96807"/>
    <w:multiLevelType w:val="hybridMultilevel"/>
    <w:tmpl w:val="3F620CE4"/>
    <w:lvl w:ilvl="0" w:tplc="EEAE294C">
      <w:start w:val="1"/>
      <w:numFmt w:val="bullet"/>
      <w:lvlText w:val="●"/>
      <w:lvlJc w:val="left"/>
      <w:pPr>
        <w:ind w:left="720" w:hanging="360"/>
      </w:pPr>
    </w:lvl>
    <w:lvl w:ilvl="1" w:tplc="AC024156">
      <w:start w:val="1"/>
      <w:numFmt w:val="bullet"/>
      <w:lvlText w:val="○"/>
      <w:lvlJc w:val="left"/>
      <w:pPr>
        <w:ind w:left="1440" w:hanging="360"/>
      </w:pPr>
    </w:lvl>
    <w:lvl w:ilvl="2" w:tplc="F364E9EA">
      <w:start w:val="1"/>
      <w:numFmt w:val="bullet"/>
      <w:lvlText w:val="■"/>
      <w:lvlJc w:val="left"/>
      <w:pPr>
        <w:ind w:left="2160" w:hanging="360"/>
      </w:pPr>
    </w:lvl>
    <w:lvl w:ilvl="3" w:tplc="7E40D23C">
      <w:start w:val="1"/>
      <w:numFmt w:val="bullet"/>
      <w:lvlText w:val="●"/>
      <w:lvlJc w:val="left"/>
      <w:pPr>
        <w:ind w:left="2880" w:hanging="360"/>
      </w:pPr>
    </w:lvl>
    <w:lvl w:ilvl="4" w:tplc="DC449BF6">
      <w:start w:val="1"/>
      <w:numFmt w:val="bullet"/>
      <w:lvlText w:val="○"/>
      <w:lvlJc w:val="left"/>
      <w:pPr>
        <w:ind w:left="3600" w:hanging="360"/>
      </w:pPr>
    </w:lvl>
    <w:lvl w:ilvl="5" w:tplc="C5CA5232">
      <w:start w:val="1"/>
      <w:numFmt w:val="bullet"/>
      <w:lvlText w:val="■"/>
      <w:lvlJc w:val="left"/>
      <w:pPr>
        <w:ind w:left="4320" w:hanging="360"/>
      </w:pPr>
    </w:lvl>
    <w:lvl w:ilvl="6" w:tplc="B5341DBA">
      <w:start w:val="1"/>
      <w:numFmt w:val="bullet"/>
      <w:lvlText w:val="●"/>
      <w:lvlJc w:val="left"/>
      <w:pPr>
        <w:ind w:left="5040" w:hanging="360"/>
      </w:pPr>
    </w:lvl>
    <w:lvl w:ilvl="7" w:tplc="B98818F6">
      <w:start w:val="1"/>
      <w:numFmt w:val="bullet"/>
      <w:lvlText w:val="●"/>
      <w:lvlJc w:val="left"/>
      <w:pPr>
        <w:ind w:left="5760" w:hanging="360"/>
      </w:pPr>
    </w:lvl>
    <w:lvl w:ilvl="8" w:tplc="FEF21F1E">
      <w:start w:val="1"/>
      <w:numFmt w:val="bullet"/>
      <w:lvlText w:val="●"/>
      <w:lvlJc w:val="left"/>
      <w:pPr>
        <w:ind w:left="6480" w:hanging="360"/>
      </w:pPr>
    </w:lvl>
  </w:abstractNum>
  <w:num w:numId="1" w16cid:durableId="7180156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41"/>
    <w:rsid w:val="002D207E"/>
    <w:rsid w:val="00371F05"/>
    <w:rsid w:val="004B15D7"/>
    <w:rsid w:val="00520E41"/>
    <w:rsid w:val="00742EED"/>
    <w:rsid w:val="00765A92"/>
    <w:rsid w:val="00774BAF"/>
    <w:rsid w:val="00887CA9"/>
    <w:rsid w:val="009B4041"/>
    <w:rsid w:val="009F6092"/>
    <w:rsid w:val="00A24508"/>
    <w:rsid w:val="00AB3CF8"/>
    <w:rsid w:val="00AF4706"/>
    <w:rsid w:val="00B04FF7"/>
    <w:rsid w:val="00B95A5F"/>
    <w:rsid w:val="00E077F9"/>
    <w:rsid w:val="00E110FA"/>
    <w:rsid w:val="00ED3F81"/>
    <w:rsid w:val="00F10C35"/>
    <w:rsid w:val="00FE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4B3F6"/>
  <w14:defaultImageDpi w14:val="32767"/>
  <w15:docId w15:val="{5D7E10E0-ACA8-448A-8232-1647FCFE6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Hevandro Martire</cp:lastModifiedBy>
  <cp:revision>17</cp:revision>
  <dcterms:created xsi:type="dcterms:W3CDTF">2026-07-24T13:10:00Z</dcterms:created>
  <dcterms:modified xsi:type="dcterms:W3CDTF">2026-07-27T17:24:00Z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96dfe785-f94b-4bf0-a3bd-a685428cdc33</vt:lpwstr>
  </property>
</Properties>
</file>