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22479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5E4F9C"/>
          <w:sz w:val="26"/>
          <w:szCs w:val="26"/>
        </w:rPr>
        <w:t xml:space="preserve">D3</w:t>
      </w:r>
    </w:p>
    <w:p>
      <w:pPr>
        <w:spacing w:after="240" w:line="240"/>
      </w:pPr>
      <w:r>
        <w:rPr>
          <w:rFonts w:ascii="Calibri" w:cs="Calibri" w:eastAsia="Calibri" w:hAnsi="Calibri"/>
          <w:b/>
          <w:bCs/>
          <w:color w:val="23242B"/>
          <w:sz w:val="52"/>
          <w:szCs w:val="52"/>
        </w:rPr>
        <w:t xml:space="preserve">Proposta commerciale</w:t>
      </w:r>
    </w:p>
    <w:p>
      <w:pPr>
        <w:spacing w:after="1800" w:line="300"/>
      </w:pPr>
      <w:r>
        <w:rPr>
          <w:rFonts w:ascii="Calibri" w:cs="Calibri" w:eastAsia="Calibri" w:hAnsi="Calibri"/>
          <w:color w:val="4B4D57"/>
          <w:sz w:val="26"/>
          <w:szCs w:val="26"/>
        </w:rPr>
        <w:t xml:space="preserve">Modello della proposta al cliente: obiettivo, soluzione, fasi con deliverable e tempistiche, responsabilità, assunzioni, investimento e condizioni.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5E4F9C"/>
          <w:sz w:val="22"/>
          <w:szCs w:val="22"/>
        </w:rPr>
        <w:t xml:space="preserve">Atlas Framework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Documento per cliente · Generato dal Calculator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Fase 1 · Uscita al gate G1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Versione 0.6 · Settembre 2026</w:t>
      </w:r>
    </w:p>
    <w:p>
      <w:pPr>
        <w:spacing w:after="40"/>
      </w:pPr>
      <w:r>
        <w:rPr>
          <w:rFonts w:ascii="Calibri" w:cs="Calibri" w:eastAsia="Calibri" w:hAnsi="Calibri"/>
          <w:color w:val="4B4D57"/>
          <w:sz w:val="20"/>
          <w:szCs w:val="20"/>
        </w:rPr>
        <w:t xml:space="preserve">Hevolus SRL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Indice</w:t>
      </w:r>
    </w:p>
    <w:sdt>
      <w:sdtPr>
        <w:alias w:val="Indic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Contesto nel programma Atlas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Da dove veniamo.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La Fase 1 si è chiusa (o il cliente ha scelto l'ingresso diretto): esistono un Quick Win, una baseline e i parametri registrati nell'orchestratore.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Dove siamo.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Questo è il modello della proposta commerciale. Il Calculator lo popola con i parametri della Fase 1; il Delivery Manager ne verifica testo, deliverable e condizioni prima della consegna. I campi in corsivo tra parentesi quadre sono da compilare; i paragrafi contrassegnati [opz.] si mantengono solo se pertinenti.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Dove andiamo.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Con la proposta firmata si supera il gate G1 e il Quick Win parte con perimetro, deliverable, tempi e condizioni definiti.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Regole di compilazione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Nessun riferimento a giorni persona, tariffe, ricarichi o costi di fornitori: solo investimento, durata e condizioni.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Ogni impegno di Hevolus è legato a un deliverable con criterio di accettazione; ogni dipendenza dal cliente è scritta con una scadenza.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Le stime di beneficio sono sempre stime di scenario. La sezione 12 è una base contrattuale da far validare dal consulente legale di Hevolus prima del primo utilizzo.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1. Riferimenti della proposta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Voce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Cliente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[Ragione sociale, sede, P. IVA]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Referente del cliente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[Nome, ruolo]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Proposta n.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[HEV-AAAA-nnn]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Versione e data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[v1.0 · gg/mm/aaaa]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Validità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30 giorni dalla data di emissione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Referente Hevolus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Delivery Manager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Oggetto</w:t>
            </w:r>
          </w:p>
        </w:tc>
        <w:tc>
          <w:tcPr>
            <w:tcW w:type="dxa" w:w="674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[Programma AgentReady: Quick Win su processo X e opzioni di estensione]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2. Sintesi della proposta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[Cliente]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intende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[obiettivo di business in una frase]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. Hevolus propone un percorso in fasi che porta un primo agente AI in esercizio su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[processo del Quick Win]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in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[n]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settimane, in modalità Co-pilot, con valore misurato contro una baseline definita insieme, e che consente al cliente di decidere, con i numeri in mano, se e come estendere il portafoglio.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735"/>
        <w:gridCol w:w="3470"/>
        <w:gridCol w:w="1928"/>
      </w:tblGrid>
      <w:tr>
        <w:trPr>
          <w:tblHeader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Risultato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Investimento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1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[Discovery completo / Workshop / inclusa nel Frame esteso]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[Portafoglio e Quick Win scelto / Sintesi e Quick Win scelto / —]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[€ / inclusa]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2 · Quick Win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[6–10] settimane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Primo agente in esercizio in Co-pilot, valore misurato, runbook consegnato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[€]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3 · Scale [opz.]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per SOW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Ulteriori agenti per taglia; passaggi di autonomia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Per SOW, listino in sezione 11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4 · Operate e handover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trimestrale</w:t>
            </w:r>
          </w:p>
        </w:tc>
        <w:tc>
          <w:tcPr>
            <w:tcW w:type="dxa" w:w="347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Report di valore; pacchetto di handover; Membership [opz.]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[incluso / Membership]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La proposta segue la metodologia AgentReady di Hevolus: selezione guidata dal valore, impatto minimo sull'organizzazione, controllo che resta al cliente.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3. Obiettivo e situazione attuale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3.1 Obiettivo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[Obiettivo di business dettagliato in 4–6 righe, con le parole del cliente emerse nelle sessioni. Nessuna citazione letterale di documenti del cliente.]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3.2 Situazione attuale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[Descrizione as-is in 6–10 righe dal canvas compilato dal process owner: chi fa cosa, con quali sistemi, dove si concentra il lavoro ripetitivo, quali dati mancano o vengono ricostruiti a mano.]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1928"/>
        <w:gridCol w:w="2410"/>
        <w:gridCol w:w="2891"/>
      </w:tblGrid>
      <w:tr>
        <w:trPr>
          <w:tblHeader/>
        </w:trPr>
        <w:tc>
          <w:tcPr>
            <w:tcW w:type="dxa" w:w="241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Processo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41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 attuale per caso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Principale attrito</w:t>
            </w:r>
          </w:p>
        </w:tc>
      </w:tr>
      <w:tr>
        <w:trPr>
          <w:tblHeader w:val="false"/>
        </w:trPr>
        <w:tc>
          <w:tcPr>
            <w:tcW w:type="dxa" w:w="241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[processo]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[casi/mese]</w:t>
            </w:r>
          </w:p>
        </w:tc>
        <w:tc>
          <w:tcPr>
            <w:tcW w:type="dxa" w:w="241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[ore]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[es. dati in tre sistemi non collegati]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3.3 Baseline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Valori misurati con il process owner del cliente. Costituiscono il riferimento per la misurazione del valore e per il gate di fine Quick Win. La correttezza dei valori di partenza è responsabilità del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735"/>
        <w:gridCol w:w="2120"/>
        <w:gridCol w:w="2891"/>
      </w:tblGrid>
      <w:tr>
        <w:trPr>
          <w:tblHeader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Indicatore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Valore attuale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Obiettivo di scenario a fine Quick Win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Tempo per caso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[h]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[rilevazione]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[h]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Casi al mese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[n]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[sistema]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Tasso di rilavorazione o errore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[campione]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[%]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Tempo di attraversamento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[giorni]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[sistema]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[giorni]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9"/>
          <w:szCs w:val="19"/>
        </w:rPr>
        <w:t xml:space="preserve">Gli obiettivi sono stime di scenario costruite sulla baseline; non costituiscono garanzia di risultato. Il valore effettivo è misurato in esercizio secondo il metodo Atlas.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4. Soluzione proposta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4.1 Architettura logica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La soluzione si innesta sui sistemi esistenti senza sostituirli, su tre strati: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3662"/>
        <w:gridCol w:w="3662"/>
      </w:tblGrid>
      <w:tr>
        <w:trPr>
          <w:tblHeader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Strato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Cosa contiene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 questo intervento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Sistemi esistenti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 gestionali e le fonti dati del cliente, invariati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[elenco sistemi in perimetro]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Strato di integrazione (MCP)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Connettori che espongono agli agenti dati e operazioni con permessi espliciti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[connettori e modalità per ciascun sistema: API / webhook / lettura dati / esportazioni / interfaccia utente]</w:t>
            </w:r>
          </w:p>
        </w:tc>
      </w:tr>
      <w:tr>
        <w:trPr>
          <w:tblHeader w:val="false"/>
        </w:trPr>
        <w:tc>
          <w:tcPr>
            <w:tcW w:type="dxa" w:w="231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Agenti su XRCopilot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Skill, orchestrazione e canale di interazione con le persone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[agente del Quick Win, canale, livello Co-pilot]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4.2 Cosa fa l'agente del Quick Win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[Capacità 1]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[Capacità 2]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[Capacità 3]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L'agente opera in modalità Co-pilot: propone, l'utente decide. Ogni azione con effetto sui sistemi richiede approvazione umana. Il passaggio a livelli di autonomia superiori è escluso dal perimetro del Quick Win ed è oggetto della Fase 3, su decisione del cliente e sui criteri dell'Autonomy gate.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4.3 Perimetro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Incluso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Escluso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[Processo, casi in perimetro, utenti, canale]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[Sistemi elencati in 4.1, operazioni di lettura e le scritture esplicitamente elencate]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Un agente, una lingua (italiano), ambiente di test e produzione del cliente</w:t>
            </w:r>
          </w:p>
        </w:tc>
        <w:tc>
          <w:tcPr>
            <w:tcW w:type="dxa" w:w="481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i/>
                <w:iCs/>
                <w:color w:val="23242B"/>
                <w:sz w:val="20"/>
                <w:szCs w:val="20"/>
              </w:rPr>
              <w:t xml:space="preserve">[Casi d'uso non elencati, altri processi, altre aree]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Sistemi non elencati o modalità di accesso diverse da quelle verificate in readiness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Livelli di autonomia Assisted e Autonomous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Sviluppo o modifica dei sistemi del cliente, bonifica dei dati, licenze di terzi</w:t>
            </w:r>
          </w:p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Canali diversi da quello indicato; lingue aggiuntive; utenti oltre il numero indicato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5. Il percorso: fasi, deliverable e tempistiche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Ogni fase ha deliverable identificati, un criterio di accettazione e una milestone che ne segna la chiusura. Le durate sono in settimane lavorative dalla data di avvio, che coincide con la disponibilità degli accessi e delle persone indicati nella sezione 7.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5.1 Fase 1 · Discovery e selezione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22"/>
          <w:szCs w:val="22"/>
        </w:rPr>
        <w:t xml:space="preserve">Mantenere una sola delle tre varianti; eliminare le altre.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1349"/>
        <w:gridCol w:w="2506"/>
        <w:gridCol w:w="2891"/>
        <w:gridCol w:w="1349"/>
      </w:tblGrid>
      <w:tr>
        <w:trPr>
          <w:tblHeader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 · Discovery completo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2–3 settimane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 sessioni strategiche, 3–5 sessioni operative, readiness dati, scoring, hands-on, restituzione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D1.1 Canvas dei processi · D1.2 Readiness dati e integrazioni · D1.3 Portafoglio scorato · D1.4 Report di Discovery · D1.5 Proposta Quick Win (questo documento aggiornato)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M1 · Gate G1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B · Workshop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 giornata + 1 settimana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Sessione unica con i process owner: canvas, gate nativo, scoring rapido; readiness sul perimetro scelto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D1.1 Canvas dei processi candidati · D1.2 Readiness sul perimetro · D1.6 Sintesi del workshop · D1.5 Proposta Quick Win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M1 · Gate G1</w:t>
            </w:r>
          </w:p>
        </w:tc>
      </w:tr>
      <w:tr>
        <w:trPr>
          <w:tblHeader w:val="false"/>
        </w:trPr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 · Ingresso diretto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inclusa nel Frame esteso (settimana 1 della Fase 2)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Readiness, gate nativo, baseline e stima nel Frame esteso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Confluiscono in D2.1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5.2 Fase 2 · Quick Win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964"/>
        <w:gridCol w:w="2891"/>
        <w:gridCol w:w="2506"/>
        <w:gridCol w:w="2120"/>
      </w:tblGrid>
      <w:tr>
        <w:trPr>
          <w:tblHeader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Settimane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Frame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Sessione di framing; gate nativo; perimetro dati; classificazione del rischio; soglie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D2.1 Agent Specification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Firmata dal process owner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Evaluate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1–2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Raccolta di 20–50 casi reali con esito atteso, con gli utenti; metriche e soglia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D2.2 Eval set v1 e scheda metriche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Casi forniti dal cliente; soglia concordata per iscritto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Build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3–5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Connettori MCP, skill e orchestrazione, identità, osservabilità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D2.3 Agente in ambiente di test · D2.4 Connettori in perimetro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Esecuzione end-to-end dell'eval set; nessuna failure mode critica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Iterate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5–6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Cicli eval → correzione; sessione di validazione con gli utenti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D2.5 Agente sopra soglia · D2.6 Eval set v2 e note di rilascio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Pass rate ≥ soglia in due esecuzioni consecutive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Pilot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7–9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Esercizio in Co-pilot; formazione utenti (1 h); misurazione settimanale; steering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D2.7 Comunicazione e materiale utenti · D2.8 Cruscotto di misurazione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disponibile agli utenti indicati per almeno 2 settimane</w:t>
            </w:r>
          </w:p>
        </w:tc>
      </w:tr>
      <w:tr>
        <w:trPr>
          <w:tblHeader w:val="false"/>
        </w:trPr>
        <w:tc>
          <w:tcPr>
            <w:tcW w:type="dxa" w:w="115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Chiusura</w:t>
            </w:r>
          </w:p>
        </w:tc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10</w:t>
            </w:r>
          </w:p>
        </w:tc>
        <w:tc>
          <w:tcPr>
            <w:tcW w:type="dxa" w:w="289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Runbook; formazione del responsabile interno; report; gate</w:t>
            </w:r>
          </w:p>
        </w:tc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D2.9 Runbook v1 · D2.10 Report di fine Quick Win · D2.11 Registro degli agenti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M2 · Gate G2: consegna dei deliverable e valore misurato contro la baseline</w:t>
            </w:r>
          </w:p>
        </w:tc>
      </w:tr>
    </w:tbl>
    <w:p>
      <w:pPr>
        <w:spacing w:after="200"/>
      </w:pPr>
    </w:p>
    <w:p>
      <w:pPr>
        <w:pStyle w:val="Heading3"/>
        <w:spacing w:after="80" w:before="220"/>
      </w:pPr>
      <w:r>
        <w:rPr>
          <w:rFonts w:ascii="Calibri" w:cs="Calibri" w:eastAsia="Calibri" w:hAnsi="Calibri"/>
          <w:b/>
          <w:bCs/>
          <w:color w:val="5E4F9C"/>
          <w:sz w:val="23"/>
          <w:szCs w:val="23"/>
        </w:rPr>
        <w:t xml:space="preserve">Piano temporale del Quick Win (settimane lavorative dall'avvio)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rPr>
          <w:tblHeader/>
        </w:trP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Settimana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3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4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5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6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7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8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9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Frame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Evaluate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Build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3092D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3092D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3092D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Iterate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3092D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3092D0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Pilot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95C34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95C34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95C34D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Chiusura e gate G2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92519B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Steering con lo sponsor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83858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83858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83858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83858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83858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S</w:t>
            </w:r>
          </w:p>
        </w:tc>
      </w:tr>
      <w:tr>
        <w:tc>
          <w:tcPr>
            <w:tcW w:type="dxa" w:w="290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23242B"/>
                <w:sz w:val="17"/>
                <w:szCs w:val="17"/>
              </w:rPr>
              <w:t xml:space="preserve">Dipendenze dal cliente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4B4D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4B4D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4B4D57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C</w:t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  <w:tc>
          <w:tcPr>
            <w:tcW w:type="dxa" w:w="67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9"/>
          <w:szCs w:val="19"/>
        </w:rPr>
        <w:t xml:space="preserve">Il piano assume l'avvio con accessi disponibili. Ritardi nelle dipendenze del cliente spostano le settimane successive di pari durata (sezione 8.3).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5.3 Fase 3 · Scale e autonomia [opz.]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Ogni agente successivo è oggetto di un SOW separato, dimensionato per taglia, con gli stessi stage e deliverable della Fase 2 (numerati D3.n). I passaggi di autonomia sono deliverable a sé.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1735"/>
        <w:gridCol w:w="3277"/>
        <w:gridCol w:w="2120"/>
      </w:tblGrid>
      <w:tr>
        <w:trPr>
          <w:tblHeader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Durata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taglia S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3–4 settimane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D3.1–D3.11 come Fase 2, in forma ridotta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Gate G2 del SOW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taglia M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6–8 settimane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D3.1–D3.11 come Fase 2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Gate G2 del SOW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taglia L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10–14 settimane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D3.1–D3.11 + lavoro preparatorio sui dati concordato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Gate G2 del SOW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Passaggio di autonomia (per agente)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4–8 settimane di osservazione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D3.12 Verbale di Autonomy gate con valori misurati contro le soglie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Decisione del comitato del cliente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Piano di change</w:t>
            </w:r>
          </w:p>
        </w:tc>
        <w:tc>
          <w:tcPr>
            <w:tcW w:type="dxa" w:w="1735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trasversale</w:t>
            </w:r>
          </w:p>
        </w:tc>
        <w:tc>
          <w:tcPr>
            <w:tcW w:type="dxa" w:w="327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D3.13 Schede di ruolo · D3.14 Piano di comunicazione · D3.15 Piano di reskilling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Approvati dallo sponsor</w:t>
            </w:r>
          </w:p>
        </w:tc>
      </w:tr>
    </w:tbl>
    <w:p>
      <w:pPr>
        <w:spacing w:after="20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5.4 Fase 4 · Operate e handover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3662"/>
        <w:gridCol w:w="2120"/>
      </w:tblGrid>
      <w:tr>
        <w:trPr>
          <w:tblHeader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Cadenza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 di accettazione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Review di valore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trimestrale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D4.1 Report trimestrale di valore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Discusso nella review con lo sponsor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Handover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al termine del programma o a richiesta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D4.2 Pacchetto di handover verificato voce per voce (repository, registro, runbook, identità, osservabilità, kit Evaluate, procedura di Autonomy gate, conformità, piano di competenze)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Verbale di verifica firmato dal responsabile interno · M4 · Gate G4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Membership [opz.]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annuale</w:t>
            </w:r>
          </w:p>
        </w:tc>
        <w:tc>
          <w:tcPr>
            <w:tcW w:type="dxa" w:w="366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Giornate del Senior Architect, ticket, accesso ad Atlas e aggiornamenti, sessioni trimestrali</w:t>
            </w:r>
          </w:p>
        </w:tc>
        <w:tc>
          <w:tcPr>
            <w:tcW w:type="dxa" w:w="2120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Contratto di Membership separato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6. Registro dei deliverable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Formato di ogni deliverable. I deliverable sono consegnati tramite l'orchestratore Atlas e il repository del cliente.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"/>
        <w:gridCol w:w="4241"/>
        <w:gridCol w:w="3084"/>
        <w:gridCol w:w="1349"/>
      </w:tblGrid>
      <w:tr>
        <w:trPr>
          <w:tblHeader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D1.1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Canvas dei processi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D1.2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Readiness dati e integrazioni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Checklist per sistema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D1.3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Portafoglio scorato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Foglio di calcolo e presentazione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D1.4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Report di Discovery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Presentazione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D1.5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Proposta Quick Win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 (questo modello)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D1.6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Sintesi del workshop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 (2 pagine)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D2.1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Specification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 firmato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D2.2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 set v1 e scheda metriche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File nel repository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D2.3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in ambiente di test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Configurazione su XRCopilot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D2.4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Connettori in perimetro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Server MCP nel repository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D2.5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Agente sopra soglia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Configurazione e risultato eval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D2.6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 set v2 e note di rilascio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File nel repository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D2.7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Comunicazione e materiale utenti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 e messaggio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D2.8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Cruscotto di misurazione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Langfuse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D2.9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Runbook v1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 nel repository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D2.10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Report di fine Quick Win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Presentazione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D2.11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Registro degli agenti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Voce nell'orchestratore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D3.n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Come D2.n per ogni SOW; D3.12 Verbale di Autonomy gate; D3.13–15 piano di change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Come sopra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D4.1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Report trimestrale di valore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Documento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4</w:t>
            </w:r>
          </w:p>
        </w:tc>
      </w:tr>
      <w:tr>
        <w:trPr>
          <w:tblHeader w:val="false"/>
        </w:trPr>
        <w:tc>
          <w:tcPr>
            <w:tcW w:type="dxa" w:w="96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D4.2</w:t>
            </w:r>
          </w:p>
        </w:tc>
        <w:tc>
          <w:tcPr>
            <w:tcW w:type="dxa" w:w="4241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Pacchetto di handover</w:t>
            </w:r>
          </w:p>
        </w:tc>
        <w:tc>
          <w:tcPr>
            <w:tcW w:type="dxa" w:w="3084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Repository, documenti, verbale di verifica</w:t>
            </w:r>
          </w:p>
        </w:tc>
        <w:tc>
          <w:tcPr>
            <w:tcW w:type="dxa" w:w="134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4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7. Responsabilità del cliente</w:t>
      </w: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rispetto dei tempi dipende dalla disponibilità di persone, accessi e informazioni indicati di seguito. Le scadenze si intendono in giorni lavorativi dalla firma.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97"/>
        <w:gridCol w:w="1542"/>
        <w:gridCol w:w="2699"/>
      </w:tblGrid>
      <w:tr>
        <w:trPr>
          <w:tblHeader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Entro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Impatto se mancante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Nomina dello sponsor, del process owner (champion) e del responsabile interno degli agenti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5 giorni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Avvio posticipato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Disponibilità del process owner: mezza giornata a settimana nelle settimane 1–3, poi 2 ore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per tutta la Fase 2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Slittamento degli stage Frame ed Evaluate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Accessi ai sistemi elencati in ambiente di test con credenziali applicative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10 giorni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Slittamento del Build di pari durata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20–50 casi reali con esito atteso per l'eval set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entro la settimana 2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Evaluate non chiudibile; Build non avviabile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Accessi in produzione con permessi limitati per il Pilot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entro la settimana 6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Slittamento del Pilot di pari durata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Referente IT per validazione di integrazioni e sicurezza; referente privacy se trattati dati personali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5 giorni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DPIA e validazioni non eseguibili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Utenti del Pilot disponibili per 1 ora di formazione e per l'uso quotidiano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settimana 7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Misurazione non rappresentativa</w:t>
            </w:r>
          </w:p>
        </w:tc>
      </w:tr>
      <w:tr>
        <w:trPr>
          <w:tblHeader w:val="false"/>
        </w:trPr>
        <w:tc>
          <w:tcPr>
            <w:tcW w:type="dxa" w:w="5397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Decisioni ai gate entro 5 giorni lavorativi dalla presentazione dei deliverable</w:t>
            </w:r>
          </w:p>
        </w:tc>
        <w:tc>
          <w:tcPr>
            <w:tcW w:type="dxa" w:w="154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 ogni gate</w:t>
            </w:r>
          </w:p>
        </w:tc>
        <w:tc>
          <w:tcPr>
            <w:tcW w:type="dxa" w:w="2699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Sospensione e riprogrammazione</w:t>
            </w:r>
          </w:p>
        </w:tc>
      </w:tr>
    </w:tbl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8. Assunzioni, esclusioni e gestione delle variazioni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8.1 Assunzioni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 sistemi in perimetro sono accessibili con le modalità verificate in readiness (D1.2). Se all'avvio la modalità risulta diversa, si applica la sezione 8.3.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cliente dispone o si dota delle licenze della piattaforma XRCopilot e dei servizi di modelli AI necessari; i relativi costi di consumo sono a carico del cliente e non inclusi nell'investimento, salvo diversa indicazione in sezione 11.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La qualità dei dati è quella rilevata in readiness; attività di bonifica, migrazione o normalizzazione dei dati non sono incluse.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Le attività si svolgono in remoto, con le sessioni in presenza indicate in sezione 11; l'italiano è la lingua di lavoro e degli agenti.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cliente garantisce di avere titolo a concedere l'accesso ai sistemi e ai dati e che il trattamento dei dati personali coinvolti ha base giuridica.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 sistemi raggiungibili solo da interfaccia utente sono integrati con il pattern di fallback dichiarato in 4.1, che ha limiti di stabilità legati ai cambiamenti dell'interfaccia; tali cambiamenti non sono sotto il controllo di Hevolus.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8.2 Esclusioni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Sviluppo, modifica o configurazione dei sistemi del cliente e dei prodotti di terzi; costi di licenze, API o servizi di terzi.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Casi d'uso, processi, sistemi, canali, lingue e utenti non elencati in sezione 4.3.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Livelli di autonomia superiori al Co-pilot nel Quick Win.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Supporto in esercizio oltre la data del gate G2, salvo Membership o SOW di Fase 4.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Adeguamenti normativi successivi alla firma che modifichino il perimetro.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8.3 Variazioni e sospensioni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Ogni variazione di perimetro, deliverable o tempi è formalizzata con una richiesta di variazione scritta, che indica l'impatto su durata e investimento, ed è efficace solo dopo accettazione di entrambe le parti.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Se una dipendenza del cliente (sezione 7) manca per più di 5 giorni lavorativi, Hevolus può sospendere le attività; alla ripresa il piano è riprogrammato in base alla disponibilità del team e le milestone slittano di pari durata. Sospensioni superiori a 30 giorni danno diritto a fatturare le attività svolte fino a quel momento.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Se all'avvio dello stage Build la modalità di accesso a un sistema risulta diversa da quanto verificato in readiness, le parti concordano la variazione prima di procedere.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9. Accettazione dei deliverable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Hevolus consegna il deliverable tramite l'orchestratore e ne dà comunicazione al referente del cliente.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cliente ha 5 giorni lavorativi per formulare osservazioni scritte, riferite ai criteri di accettazione della sezione 5.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Hevolus corregge le non conformità segnalate entro 5 giorni lavorativi; il ciclo si ripete una sola volta.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In assenza di osservazioni nei termini, il deliverable si intende accettato.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Le milestone M1, M2, M4 sono formalizzate con il verbale del gate corrispondente e abilitano la fatturazione.</w:t>
      </w:r>
    </w:p>
    <w:p>
      <w:pPr>
        <w:spacing w:after="200"/>
      </w:pP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10. Governance del programma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Ruolo Hevolus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Delivery Manager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Interlocutore unico; conduce sessioni e gate; mantiene l'orchestratore; gestisce variazioni e sospensioni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Senior Architect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Architettura, readiness, gate nativo, validazione tecnica e di sicurezza</w:t>
            </w:r>
          </w:p>
        </w:tc>
      </w:tr>
      <w:tr>
        <w:trPr>
          <w:tblHeader w:val="false"/>
        </w:trPr>
        <w:tc>
          <w:tcPr>
            <w:tcW w:type="dxa" w:w="2506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Agent Developer</w:t>
            </w:r>
          </w:p>
        </w:tc>
        <w:tc>
          <w:tcPr>
            <w:tcW w:type="dxa" w:w="7132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Costruzione, iterazione, rilascio degli agenti</w:t>
            </w:r>
          </w:p>
        </w:tc>
      </w:tr>
    </w:tbl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Cadenze: stand-up interno settimanale; steering con lo sponsor ogni due settimane (45 minuti, agenda fissa); gate a evento. Hevolus può sostituire i componenti del team con profili equivalenti, dandone comunicazione.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11. Investimento e condizioni economiche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Corrispettivi (IVA esclusa)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Fase 1 —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[Discovery completo / Workshop]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[importo]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 a corpo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Fase 2 — Quick Win su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[processo]</w:t>
            </w: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: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[importo]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 a corpo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Fase 3 — Scale [opz.]: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per SOW, a corpo per taglia — S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[importo]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 · M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[importo]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 · L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[importo]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 · XL su preventivo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Fase 4 — Operate: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report trimestrale e handover inclusi nel Quick Win per il primo trimestre; successivamente tramite Agent Ready Membership </w:t>
            </w:r>
            <w:r>
              <w:rPr>
                <w:rFonts w:ascii="Calibri" w:cs="Calibri" w:eastAsia="Calibri" w:hAnsi="Calibri"/>
                <w:i/>
                <w:iCs/>
                <w:color w:val="4B4D57"/>
                <w:sz w:val="21"/>
                <w:szCs w:val="21"/>
              </w:rPr>
              <w:t xml:space="preserve">[importo annuo]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 [opz.]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Esercizio: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consumo della piattaforma XRCopilot e dei servizi di modelli a listino, a carico del cliente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928"/>
        <w:gridCol w:w="5783"/>
      </w:tblGrid>
      <w:tr>
        <w:trPr>
          <w:tblHeader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Fatturazione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Quota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5E4F9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Evento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1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100%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Alla milestone M1 (gate G1)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2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40%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All'avvio (firma e accessi disponibili)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30%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Alla consegna di D2.5 (agente sopra soglia)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/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30%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shd w:fill="F3F2F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Alla milestone M2 (gate G2)</w:t>
            </w:r>
          </w:p>
        </w:tc>
      </w:tr>
      <w:tr>
        <w:trPr>
          <w:tblHeader w:val="false"/>
        </w:trPr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Fase 3</w:t>
            </w:r>
          </w:p>
        </w:tc>
        <w:tc>
          <w:tcPr>
            <w:tcW w:type="dxa" w:w="1928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40% / 60%</w:t>
            </w:r>
          </w:p>
        </w:tc>
        <w:tc>
          <w:tcPr>
            <w:tcW w:type="dxa" w:w="5783"/>
            <w:tcBorders>
              <w:top w:val="single" w:color="DEDCE8" w:sz="4"/>
              <w:left w:val="single" w:color="DEDCE8" w:sz="4"/>
              <w:bottom w:val="single" w:color="DEDCE8" w:sz="4"/>
              <w:right w:val="single" w:color="DEDCE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40" w:line="260"/>
            </w:pPr>
            <w:r>
              <w:rPr>
                <w:rFonts w:ascii="Calibri" w:cs="Calibri" w:eastAsia="Calibri" w:hAnsi="Calibri"/>
                <w:color w:val="23242B"/>
                <w:sz w:val="20"/>
                <w:szCs w:val="20"/>
              </w:rPr>
              <w:t xml:space="preserve">Per ogni SOW: all'avvio e al gate G2 del SOW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Pagamento a 30 giorni data fattura. In caso di ritardo si applicano gli interessi di legge; Hevolus può sospendere le attività dopo 15 giorni dal sollecito scritto.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Spese di trasferta per sessioni in presenza oltre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[n]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 giornate incluse: rimborsate a piè di lista previa approvazione.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 corrispettivi sono a corpo per il perimetro descritto; ogni estensione è oggetto di variazione (8.3).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Validità della proposta: 30 giorni. I prezzi della Fase 3 sono validi per 12 mesi dalla firma.</w:t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5E4F9C"/>
          <w:sz w:val="34"/>
          <w:szCs w:val="34"/>
        </w:rPr>
        <w:t xml:space="preserve">12. Condizioni contrattuali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9"/>
          <w:szCs w:val="19"/>
        </w:rPr>
        <w:t xml:space="preserve">Base contrattuale da validare dal consulente legale di Hevolus prima del primo utilizzo del modello. Eventuali accordi quadro tra le parti prevalgono per quanto non derogato.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12.1 Proprietà intellettuale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 deliverable prodotti specificamente per il cliente (specifiche, prompt, configurazioni, connettori, eval set, runbook, report) sono di proprietà del cliente dal pagamento integrale dei corrispettivi della fase in cui sono prodotti.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La metodologia Atlas, il programma AgentReady, i template, gli strumenti (orchestratore, Calculator, kit, script), le librerie e il know-how preesistente o di uso generale restano di proprietà esclusiva di Hevolus SRL. Al cliente è concessa una licenza d'uso non esclusiva, non trasferibile e perpetua, limitata all'uso interno dei deliverable.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Hevolus può riutilizzare conoscenze, tecniche e componenti generici sviluppati nel corso del programma, senza dati o informazioni riservate del cliente.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La piattaforma XRCopilot e i servizi di terzi sono regolati dalle rispettive condizioni di licenza.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12.2 Riservatezza e dati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Le parti mantengono riservate le informazioni scambiate per la durata del programma e per 3 anni successivi, secondo l'accordo di riservatezza in essere o, in mancanza, secondo questa clausola.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 dati del cliente restano nel perimetro concordato e non sono utilizzati per addestrare modelli. Per i trattamenti di dati personali le parti sottoscrivono la nomina a responsabile del trattamento; i fornitori di piattaforma e modelli sono indicati come sub-responsabili.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cliente è titolare del trattamento e garantisce la liceità dei dati resi accessibili.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12.3 Garanzie e responsabilità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Hevolus esegue le attività con diligenza professionale secondo la metodologia Atlas. Le obbligazioni di Hevolus sono di mezzi: stime di beneficio, tempi indicativi e risultati degli agenti dipendono da dati, sistemi e decisioni del cliente e non costituiscono garanzia di risultato.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Gli agenti operano in Co-pilot e le decisioni restano dell'utente: il cliente è responsabile delle decisioni assunte e delle azioni approvate.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La responsabilità complessiva di Hevolus, per qualunque titolo, è limitata all'importo dei corrispettivi effettivamente pagati per la fase in cui si è verificato l'evento; sono esclusi danni indiretti, perdita di profitto e di dati, salvo dolo o colpa grave.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Hevolus non risponde di malfunzionamenti di sistemi o servizi di terzi, di modifiche alle interfacce dei sistemi del cliente, né di usi degli agenti al di fuori del perimetro e dei livelli di autonomia concordati.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12.4 Durata, recesso, forza maggiore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contratto ha durata pari al programma descritto. Ciascuna parte può recedere con preavviso scritto di 30 giorni; sono comunque dovuti i corrispettivi delle attività svolte e dei deliverable consegnati o in corso, calcolati pro quota sulle milestone.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Nessuna parte è responsabile per inadempimenti dovuti a cause di forza maggiore; i termini sono sospesi per la durata dell'evento.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Per 12 mesi dal termine, le parti non assumono né sollecitano personale dell'altra parte coinvolto nel programma, salvo consenso scritto.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23242B"/>
          <w:sz w:val="26"/>
          <w:szCs w:val="26"/>
        </w:rPr>
        <w:t xml:space="preserve">12.5 Altre condizioni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Hevolus può avvalersi di subfornitori qualificati, restando responsabile del loro operato.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cliente autorizza Hevolus a citare il proprio nome come referenza, senza dettagli riservati, salvo revoca scritta. [opz.]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Legge italiana; foro esclusivo di </w:t>
      </w: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[città della sede Hevolus]</w:t>
      </w:r>
      <w:r>
        <w:rPr>
          <w:rFonts w:ascii="Calibri" w:cs="Calibri" w:eastAsia="Calibri" w:hAnsi="Calibri"/>
          <w:color w:val="23242B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color w:val="23242B"/>
          <w:sz w:val="22"/>
          <w:szCs w:val="22"/>
        </w:rPr>
        <w:t xml:space="preserve">Il presente documento, una volta sottoscritto, costituisce l'accordo tra le parti per il perimetro descritto e prevale sulle comunicazioni precedenti.</w:t>
      </w:r>
    </w:p>
    <w:p>
      <w:pPr>
        <w:spacing w:after="20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[Luogo e data]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Hevolus SRL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[Nome e ruolo del firmatario]</w:t>
      </w:r>
    </w:p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23242B"/>
          <w:sz w:val="22"/>
          <w:szCs w:val="22"/>
        </w:rPr>
        <w:t xml:space="preserve">Per accettazione, il cliente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[Ragione sociale, nome, ruolo, firma]</w:t>
      </w:r>
    </w:p>
    <w:p>
      <w:pPr>
        <w:spacing w:after="140" w:line="300"/>
      </w:pPr>
      <w:r>
        <w:rPr>
          <w:rFonts w:ascii="Calibri" w:cs="Calibri" w:eastAsia="Calibri" w:hAnsi="Calibri"/>
          <w:color w:val="83858F"/>
          <w:sz w:val="19"/>
          <w:szCs w:val="19"/>
        </w:rPr>
        <w:t xml:space="preserve">Ai sensi degli artt. 1341 e 1342 c.c. il cliente approva specificamente le clausole 8.3, 9, 11, 12.1, 12.3, 12.4, 12.5.</w:t>
      </w: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23242B"/>
          <w:sz w:val="22"/>
          <w:szCs w:val="22"/>
        </w:rPr>
        <w:t xml:space="preserve">[Firma]</w:t>
      </w:r>
    </w:p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5E4F9C" w:sz="24"/>
              <w:bottom w:val="none" w:color="FFFFFF" w:sz="0"/>
              <w:right w:val="none" w:color="FFFFFF" w:sz="0"/>
            </w:tcBorders>
            <w:shd w:fill="F3F2F8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5E4F9C"/>
                <w:sz w:val="22"/>
                <w:szCs w:val="22"/>
              </w:rPr>
              <w:t xml:space="preserve">Criterio di uscita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Una sola variante di Fase 1 mantenuta; sezioni [opz.] valutate; tutti i campi compilati con i parametri dell'orchestratore.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Nessun riferimento a giorni persona, tariffe o costi di fornitori.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Condizioni contrattuali validate dal consulente legale di Hevolus (una volta, sul modello).</w:t>
            </w:r>
          </w:p>
          <w:p>
            <w:pPr>
              <w:spacing w:after="60" w:line="280"/>
            </w:pPr>
            <w:r>
              <w:rPr>
                <w:rFonts w:ascii="Calibri" w:cs="Calibri" w:eastAsia="Calibri" w:hAnsi="Calibri"/>
                <w:b/>
                <w:bCs/>
                <w:color w:val="4B4D57"/>
                <w:sz w:val="21"/>
                <w:szCs w:val="21"/>
              </w:rPr>
              <w:t xml:space="preserve">✓ </w:t>
            </w:r>
            <w:r>
              <w:rPr>
                <w:rFonts w:ascii="Calibri" w:cs="Calibri" w:eastAsia="Calibri" w:hAnsi="Calibri"/>
                <w:color w:val="4B4D57"/>
                <w:sz w:val="21"/>
                <w:szCs w:val="21"/>
              </w:rPr>
              <w:t xml:space="preserve">Proposta firmata: gate G1 superato.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rFonts w:ascii="Calibri" w:cs="Calibri" w:eastAsia="Calibri" w:hAnsi="Calibri"/>
          <w:i/>
          <w:iCs/>
          <w:color w:val="83858F"/>
          <w:sz w:val="18"/>
          <w:szCs w:val="18"/>
        </w:rPr>
        <w:t xml:space="preserve">Atlas Framework è metodologia proprietaria di Hevolus SRL. Documento a uso interno e per i clienti del programma; non è consentita la diffusione a terzi senza autorizzazione scritta.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CE8" w:sz="4" w:space="6"/>
      </w:pBdr>
      <w:tabs>
        <w:tab w:val="right" w:pos="9638"/>
      </w:tabs>
    </w:pPr>
    <w:r>
      <w:rPr>
        <w:rFonts w:ascii="Calibri" w:cs="Calibri" w:eastAsia="Calibri" w:hAnsi="Calibri"/>
        <w:color w:val="83858F"/>
        <w:sz w:val="17"/>
        <w:szCs w:val="17"/>
      </w:rPr>
      <w:t xml:space="preserve">Atlas Framework · Hevolus SRL</w:t>
    </w:r>
    <w:r>
      <w:rPr>
        <w:rFonts w:ascii="Calibri" w:cs="Calibri" w:eastAsia="Calibri" w:hAnsi="Calibri"/>
        <w:color w:val="83858F"/>
        <w:sz w:val="17"/>
        <w:szCs w:val="17"/>
      </w:rPr>
      <w:t xml:space="preserve">	Pagina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  <w:spacing w:after="0"/>
    </w:pPr>
    <w:r>
      <w:drawing>
        <wp:inline distT="0" distB="0" distL="0" distR="0">
          <wp:extent cx="809625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83858F"/>
        <w:sz w:val="17"/>
        <w:szCs w:val="17"/>
      </w:rPr>
      <w:t xml:space="preserve">	D3 — Proposta commerciale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color w:val="5E4F9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5E4F9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324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55d13c8eecf1159e39108e0f6f833fc65bf1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755d13c8eecf1159e39108e0f6f833fc65bf1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D3 Proposta commerciale</dc:title>
  <dc:creator>Hevolus SRL</dc:creator>
  <cp:lastModifiedBy>Un-named</cp:lastModifiedBy>
  <cp:revision>1</cp:revision>
  <dcterms:created xsi:type="dcterms:W3CDTF">2026-09-09T06:25:44.137Z</dcterms:created>
  <dcterms:modified xsi:type="dcterms:W3CDTF">2026-09-09T06:25:44.152Z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