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600"/>
      </w:pPr>
      <w:r>
        <w:drawing>
          <wp:inline distT="0" distB="0" distL="0" distR="0">
            <wp:extent cx="22479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E4F9C"/>
          <w:sz w:val="26"/>
          <w:szCs w:val="26"/>
        </w:rPr>
        <w:t xml:space="preserve">O1</w:t>
      </w:r>
    </w:p>
    <w:p>
      <w:pPr>
        <w:spacing w:after="240" w:line="240"/>
      </w:pPr>
      <w:r>
        <w:rPr>
          <w:rFonts w:ascii="Calibri" w:cs="Calibri" w:eastAsia="Calibri" w:hAnsi="Calibri"/>
          <w:b/>
          <w:bCs/>
          <w:color w:val="23242B"/>
          <w:sz w:val="52"/>
          <w:szCs w:val="52"/>
        </w:rPr>
        <w:t xml:space="preserve">Misurazione del valore e handover</w:t>
      </w:r>
    </w:p>
    <w:p>
      <w:pPr>
        <w:spacing w:after="1800" w:line="300"/>
      </w:pPr>
      <w:r>
        <w:rPr>
          <w:rFonts w:ascii="Calibri" w:cs="Calibri" w:eastAsia="Calibri" w:hAnsi="Calibri"/>
          <w:color w:val="4B4D57"/>
          <w:sz w:val="26"/>
          <w:szCs w:val="26"/>
        </w:rPr>
        <w:t xml:space="preserve">Modello del report trimestrale di valore e del pacchetto con cui il controllo degli agenti passa al cliente.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E4F9C"/>
          <w:sz w:val="22"/>
          <w:szCs w:val="22"/>
        </w:rPr>
        <w:t xml:space="preserve">Atlas Framework</w:t>
      </w:r>
    </w:p>
    <w:p>
      <w:pPr>
        <w:spacing w:after="40"/>
      </w:pPr>
      <w:r>
        <w:rPr>
          <w:rFonts w:ascii="Calibri" w:cs="Calibri" w:eastAsia="Calibri" w:hAnsi="Calibri"/>
          <w:color w:val="4B4D57"/>
          <w:sz w:val="20"/>
          <w:szCs w:val="20"/>
        </w:rPr>
        <w:t xml:space="preserve">Documento per cliente · Generato da Argos e Langfuse</w:t>
      </w:r>
    </w:p>
    <w:p>
      <w:pPr>
        <w:spacing w:after="40"/>
      </w:pPr>
      <w:r>
        <w:rPr>
          <w:rFonts w:ascii="Calibri" w:cs="Calibri" w:eastAsia="Calibri" w:hAnsi="Calibri"/>
          <w:color w:val="4B4D57"/>
          <w:sz w:val="20"/>
          <w:szCs w:val="20"/>
        </w:rPr>
        <w:t xml:space="preserve">Fase 4 · Operate e handover</w:t>
      </w:r>
    </w:p>
    <w:p>
      <w:pPr>
        <w:spacing w:after="40"/>
      </w:pPr>
      <w:r>
        <w:rPr>
          <w:rFonts w:ascii="Calibri" w:cs="Calibri" w:eastAsia="Calibri" w:hAnsi="Calibri"/>
          <w:color w:val="4B4D57"/>
          <w:sz w:val="20"/>
          <w:szCs w:val="20"/>
        </w:rPr>
        <w:t xml:space="preserve">Versione 0.5 · Settembre 2026</w:t>
      </w:r>
    </w:p>
    <w:p>
      <w:pPr>
        <w:spacing w:after="40"/>
      </w:pPr>
      <w:r>
        <w:rPr>
          <w:rFonts w:ascii="Calibri" w:cs="Calibri" w:eastAsia="Calibri" w:hAnsi="Calibri"/>
          <w:color w:val="4B4D57"/>
          <w:sz w:val="20"/>
          <w:szCs w:val="20"/>
        </w:rPr>
        <w:t xml:space="preserve">Hevolus SRL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4F9C" w:sz="24"/>
              <w:bottom w:val="none" w:color="FFFFFF" w:sz="0"/>
              <w:right w:val="none" w:color="FFFFFF" w:sz="0"/>
            </w:tcBorders>
            <w:shd w:fill="F3F2F8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4F9C"/>
                <w:sz w:val="22"/>
                <w:szCs w:val="22"/>
              </w:rPr>
              <w:t xml:space="preserve">Contesto nel programma Atlas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Da dove veniamo.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Uno o più agenti sono in esercizio; il cliente ha un responsabile interno e la misurazione è attiva su Langfuse.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Dove siamo.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Questo è il modello del report trimestrale di valore e del pacchetto di handover. Le sezioni di misurazione sono generate da Argos con i dati di Langfuse e dell'orchestratore; le sezioni di handover sono compilate dal Senior Architect. I campi in corsivo tra parentesi quadre sono da compilare.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Dove andiamo.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Con l'handover completo il cliente governa i propri agenti in autonomia, oppure prosegue con la Membership per evoluzione e supporto.</w:t>
            </w:r>
          </w:p>
        </w:tc>
      </w:tr>
    </w:tbl>
    <w:p>
      <w:pPr>
        <w:spacing w:after="200"/>
      </w:pP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1. Sintesi del trimestre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[Cliente]</w:t>
      </w:r>
      <w:r>
        <w:rPr>
          <w:rFonts w:ascii="Calibri" w:cs="Calibri" w:eastAsia="Calibri" w:hAnsi="Calibri"/>
          <w:color w:val="23242B"/>
          <w:sz w:val="22"/>
          <w:szCs w:val="22"/>
        </w:rPr>
        <w:t xml:space="preserve"> · trimestre </w:t>
      </w: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[Qn AAAA]</w:t>
      </w:r>
      <w:r>
        <w:rPr>
          <w:rFonts w:ascii="Calibri" w:cs="Calibri" w:eastAsia="Calibri" w:hAnsi="Calibri"/>
          <w:color w:val="23242B"/>
          <w:sz w:val="22"/>
          <w:szCs w:val="22"/>
        </w:rPr>
        <w:t xml:space="preserve"> · agenti in esercizio: </w:t>
      </w: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[n]</w:t>
      </w:r>
      <w:r>
        <w:rPr>
          <w:rFonts w:ascii="Calibri" w:cs="Calibri" w:eastAsia="Calibri" w:hAnsi="Calibri"/>
          <w:color w:val="23242B"/>
          <w:sz w:val="22"/>
          <w:szCs w:val="22"/>
        </w:rPr>
        <w:t xml:space="preserve"> · livello di autonomia: </w:t>
      </w: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[n Co-pilot, n Assisted, n Autonomous]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4F9C" w:sz="24"/>
              <w:bottom w:val="none" w:color="FFFFFF" w:sz="0"/>
              <w:right w:val="none" w:color="FFFFFF" w:sz="0"/>
            </w:tcBorders>
            <w:shd w:fill="F3F2F8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4F9C"/>
                <w:sz w:val="22"/>
                <w:szCs w:val="22"/>
              </w:rPr>
              <w:t xml:space="preserve">In tre righe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i/>
                <w:iCs/>
                <w:color w:val="4B4D57"/>
                <w:sz w:val="21"/>
                <w:szCs w:val="21"/>
              </w:rPr>
              <w:t xml:space="preserve">[Valore misurato nel trimestre rispetto alla baseline, in una frase con i numeri.]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i/>
                <w:iCs/>
                <w:color w:val="4B4D57"/>
                <w:sz w:val="21"/>
                <w:szCs w:val="21"/>
              </w:rPr>
              <w:t xml:space="preserve">[Cosa è cambiato: nuovi agenti, passaggi di autonomia, incidenti rilevanti.]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i/>
                <w:iCs/>
                <w:color w:val="4B4D57"/>
                <w:sz w:val="21"/>
                <w:szCs w:val="21"/>
              </w:rPr>
              <w:t xml:space="preserve">[Decisione richiesta al comitato o allo sponsor per il prossimo trimestre.]</w:t>
            </w:r>
          </w:p>
        </w:tc>
      </w:tr>
    </w:tbl>
    <w:p>
      <w:pPr>
        <w:spacing w:after="200"/>
      </w:pP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2. Valore misurato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Ogni agente è misurato contro la baseline definita in Fase 1 dal process owner. I dati provengono da Langfuse e dai sistemi del cliente; il metodo di calcolo è dichiarato per ogni indicatore.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2.1 Per agente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506"/>
        <w:gridCol w:w="1157"/>
        <w:gridCol w:w="1157"/>
        <w:gridCol w:w="1157"/>
        <w:gridCol w:w="2120"/>
      </w:tblGrid>
      <w:tr>
        <w:trPr>
          <w:tblHeader/>
        </w:trPr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Indicatore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Trimestre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Variazione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[nome]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Tempo per caso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[h]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[h]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[%]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Rilevazione / Langfuse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Casi gestiti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[n/mese]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[n/mese]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[%]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Sistema cliente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Tasso di correzione umana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—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[%]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Langfuse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Errori o rilavorazioni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[%]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[%]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[%]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Campione con process owner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Tempo di attraversamento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[gg]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[gg]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[%]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Sistema cliente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2.2 Capacità liberata e valore economico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2120"/>
        <w:gridCol w:w="4241"/>
      </w:tblGrid>
      <w:tr>
        <w:trPr>
          <w:tblHeader/>
        </w:trPr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Ore liberate nel trimestre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[h]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(tempo baseline − tempo attuale) × casi gestiti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Equivalente economico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[€]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Ore liberate × costo orario medio dichiarato dal cliente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Costo di esercizio degli agenti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[€]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Consumo piattaforma e modelli da Langfuse + eventuale Membership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Valore netto del trimestre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[€]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Equivalente economico − costo di esercizio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 cosa è stato dedicato il tempo liberato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[dalle interviste ai process owner]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Qualitativo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3858F"/>
          <w:sz w:val="19"/>
          <w:szCs w:val="19"/>
        </w:rPr>
        <w:t xml:space="preserve">Le stime economiche sono stime di scenario basate su parametri dichiarati dal cliente; le ore e i volumi sono misure.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2.3 Qualità e affidabilità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928"/>
        <w:gridCol w:w="1735"/>
        <w:gridCol w:w="1157"/>
        <w:gridCol w:w="1349"/>
        <w:gridCol w:w="1928"/>
      </w:tblGrid>
      <w:tr>
        <w:trPr>
          <w:tblHeader/>
        </w:trPr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rate eval set corrente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Failure mode critiche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Incidenti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Disponibilità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Deriva rilevata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[nome]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[%]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[0]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[n]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[%]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[sì/no, quale]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2.4 Adozione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928"/>
        <w:gridCol w:w="4241"/>
      </w:tblGrid>
      <w:tr>
        <w:trPr>
          <w:tblHeader/>
        </w:trPr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Indicatore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Lettura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Utenti attivi / utenti previsti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[n / n]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Casi corretti restituiti all'eval set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[n]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Le correzioni sono contributi: più ce ne sono nei primi mesi, meglio è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Richieste di estensione dalle aree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[n]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Segnale di Reinforcement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Soddisfazione degli utenti (sondaggio breve)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[1–5]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3. Autonomia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542"/>
        <w:gridCol w:w="1349"/>
        <w:gridCol w:w="2506"/>
        <w:gridCol w:w="2506"/>
      </w:tblGrid>
      <w:tr>
        <w:trPr>
          <w:tblHeader/>
        </w:trPr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Livello attuale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 quando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 Autonomy gate soddisfatti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Proposta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[nome]</w:t>
            </w:r>
          </w:p>
        </w:tc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[Co-pilot]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[data]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[n su 8]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[mantenere / proporre passaggio / tornare indietro]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Ogni proposta di passaggio è accompagnata dal verbale di Autonomy gate (C2) con i valori misurati contro le soglie.</w:t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4. Portafoglio e prossimo trimestre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2120"/>
        <w:gridCol w:w="1928"/>
        <w:gridCol w:w="1349"/>
      </w:tblGrid>
      <w:tr>
        <w:trPr>
          <w:tblHeader/>
        </w:trPr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Origine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Banda di scoring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Taglia stimata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[processo]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[champion / Discovery / comitato]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[Quick Win / Progetto strategico]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[da valutare / in Frame / SOW proposto]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[S/M/L/XL]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42B"/>
          <w:sz w:val="22"/>
          <w:szCs w:val="22"/>
        </w:rPr>
        <w:t xml:space="preserve">Decisioni richieste: </w:t>
      </w: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[SOW da approvare, passaggi di autonomia, budget]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42B"/>
          <w:sz w:val="22"/>
          <w:szCs w:val="22"/>
        </w:rPr>
        <w:t xml:space="preserve">Rischi: </w:t>
      </w: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[dati, dipendenze da fornitori, disponibilità delle persone]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42B"/>
          <w:sz w:val="22"/>
          <w:szCs w:val="22"/>
        </w:rPr>
        <w:t xml:space="preserve">Piano del trimestre: </w:t>
      </w: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[agenti in costruzione, rilasci, sessioni di reskilling]</w:t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5. Pacchetto di handover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Il pacchetto rende effettiva la promessa che il controllo resta al cliente. Si consegna al responsabile interno degli agenti e si verifica insieme, voce per voce; ogni voce ha un esito. La consegna è completa quando tutte le voci sono verificate.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277"/>
        <w:gridCol w:w="3277"/>
        <w:gridCol w:w="1157"/>
      </w:tblGrid>
      <w:tr>
        <w:trPr>
          <w:tblHeader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 con il responsabile interno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Esito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Prompt, skill, server MCP, eval set, script, note di rilascio; accesso con identità del cliente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Il responsabile esegue l'eval set di un agente da solo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Registro degli agenti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Per ogni agente: scopo, dati, strumenti, livello, responsabile, classificazione di rischio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Il responsabile aggiorna una voce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Runbook per agente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Esercizio ordinario, monitoraggio, incidenti, rollback, procedura manuale di fallback, contatti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Simulazione di un incidente con kill switch e ripristino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Identità e permessi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Elenco delle identità applicative, ruoli, vault delle credenziali, procedura di revoca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Il responsabile revoca e ripristina un permesso in test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Osservabilità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Accesso a Langfuse, cruscotti, allarmi, limiti di spesa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Il responsabile legge una traccia e un allarme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Kit Evaluate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Modello di eval set, metriche, procedura di aggiornamento mensile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Il responsabile aggiunge un caso e riesegue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Procedura di Autonomy gate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Criteri, soglie, modello di verbale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Il responsabile prepara un verbale su un agente reale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Contratti e conformità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DPIA, accordi con i fornitori di piattaforma e modelli, retention dei log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Verifica documentale con il referente conformità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Piano di competenze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Chi sa fare cosa; sessioni svolte; lacune residue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Colloquio finale</w:t>
            </w:r>
          </w:p>
        </w:tc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5.1 Criteri di autonomia del cliente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Il cliente è considerato autonomo quando, senza intervento di Hevolus, il responsabile interno ha: rilasciato una modifica a un agente con il ciclo completo (eval, revisione, rilascio, note); gestito un incidente con il runbook; condotto un Autonomy gate; aggiunto un caso d'uso in Frame usando il Kit Discovery. Fino ad allora il supporto prosegue nella Membership.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5.2 Dopo l'handover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241"/>
        <w:gridCol w:w="3084"/>
      </w:tblGrid>
      <w:tr>
        <w:trPr>
          <w:tblHeader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Opzione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Cosa include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 chi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Autonomia piena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Il cliente gestisce ed evolve gli agenti; consumo della piattaforma a listino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Clienti con responsabile interno esperto e portafoglio stabile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 Ready Membership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Senior Architect dedicato con giornate annue, ticket di supporto, accesso ad Atlas e ai suoi aggiornamenti, sessioni trimestrali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Clienti che continuano a estendere il portafoglio o vogliono un presidio sulla qualità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[Luogo e data]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3242B"/>
          <w:sz w:val="22"/>
          <w:szCs w:val="22"/>
        </w:rPr>
        <w:t xml:space="preserve">Per Hevolus SRL: 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[Senior Architect]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3242B"/>
          <w:sz w:val="22"/>
          <w:szCs w:val="22"/>
        </w:rPr>
        <w:t xml:space="preserve">Per il cliente: 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[Responsabile interno degli agenti · Sponsor]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4F9C" w:sz="24"/>
              <w:bottom w:val="none" w:color="FFFFFF" w:sz="0"/>
              <w:right w:val="none" w:color="FFFFFF" w:sz="0"/>
            </w:tcBorders>
            <w:shd w:fill="F3F2F8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4F9C"/>
                <w:sz w:val="22"/>
                <w:szCs w:val="22"/>
              </w:rPr>
              <w:t xml:space="preserve">Criterio di uscita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✓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Report trimestrale generato con dati di Langfuse e dei sistemi del cliente, discusso nella review di valore.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✓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Pacchetto di handover verificato voce per voce con esito positivo.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✓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Decisione documentata: autonomia piena o Membership. Gate G4 superato.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3858F"/>
          <w:sz w:val="18"/>
          <w:szCs w:val="18"/>
        </w:rPr>
        <w:t xml:space="preserve">Atlas Framework è metodologia proprietaria di Hevolus SRL. Documento a uso interno e per i clienti del programma; non è consentita la diffusione a terzi senza autorizzazione scritta.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CE8" w:sz="4" w:space="6"/>
      </w:pBdr>
      <w:tabs>
        <w:tab w:val="right" w:pos="9638"/>
      </w:tabs>
    </w:pPr>
    <w:r>
      <w:rPr>
        <w:rFonts w:ascii="Calibri" w:cs="Calibri" w:eastAsia="Calibri" w:hAnsi="Calibri"/>
        <w:color w:val="83858F"/>
        <w:sz w:val="17"/>
        <w:szCs w:val="17"/>
      </w:rPr>
      <w:t xml:space="preserve">Atlas Framework · Hevolus SRL</w:t>
    </w:r>
    <w:r>
      <w:rPr>
        <w:rFonts w:ascii="Calibri" w:cs="Calibri" w:eastAsia="Calibri" w:hAnsi="Calibri"/>
        <w:color w:val="83858F"/>
        <w:sz w:val="17"/>
        <w:szCs w:val="17"/>
      </w:rPr>
      <w:t xml:space="preserve">	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  <w:spacing w:after="0"/>
    </w:pPr>
    <w:r>
      <w:drawing>
        <wp:inline distT="0" distB="0" distL="0" distR="0">
          <wp:extent cx="809625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83858F"/>
        <w:sz w:val="17"/>
        <w:szCs w:val="17"/>
      </w:rPr>
      <w:t xml:space="preserve">	O1 — Misurazione del valore e handover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5E4F9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4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755d13c8eecf1159e39108e0f6f833fc65bf1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755d13c8eecf1159e39108e0f6f833fc65bf1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O1 Misurazione del valore e handover</dc:title>
  <dc:creator>Hevolus SRL</dc:creator>
  <cp:lastModifiedBy>Un-named</cp:lastModifiedBy>
  <cp:revision>1</cp:revision>
  <dcterms:created xsi:type="dcterms:W3CDTF">2026-09-04T21:34:54.051Z</dcterms:created>
  <dcterms:modified xsi:type="dcterms:W3CDTF">2026-09-04T21:34:54.051Z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