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122F5" w14:textId="77777777" w:rsidR="00BC774F" w:rsidRDefault="00000000">
      <w:pPr>
        <w:spacing w:before="600" w:after="1400"/>
      </w:pPr>
      <w:r>
        <w:rPr>
          <w:noProof/>
        </w:rPr>
        <w:drawing>
          <wp:inline distT="0" distB="0" distL="0" distR="0" wp14:anchorId="318124D7" wp14:editId="318124D8">
            <wp:extent cx="2247900" cy="95250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22F6" w14:textId="77777777" w:rsidR="00BC774F" w:rsidRPr="008662DF" w:rsidRDefault="00000000">
      <w:pPr>
        <w:spacing w:after="120"/>
        <w:rPr>
          <w:lang w:val="it-IT"/>
        </w:rPr>
      </w:pPr>
      <w:r w:rsidRPr="008662DF">
        <w:rPr>
          <w:b/>
          <w:bCs/>
          <w:color w:val="5E4F9C"/>
          <w:sz w:val="26"/>
          <w:szCs w:val="26"/>
          <w:lang w:val="it-IT"/>
        </w:rPr>
        <w:t>S1</w:t>
      </w:r>
    </w:p>
    <w:p w14:paraId="318122F7" w14:textId="77777777" w:rsidR="00BC774F" w:rsidRPr="008662DF" w:rsidRDefault="00000000">
      <w:pPr>
        <w:spacing w:after="240"/>
        <w:rPr>
          <w:lang w:val="it-IT"/>
        </w:rPr>
      </w:pPr>
      <w:r w:rsidRPr="008662DF">
        <w:rPr>
          <w:b/>
          <w:bCs/>
          <w:sz w:val="52"/>
          <w:szCs w:val="52"/>
          <w:lang w:val="it-IT"/>
        </w:rPr>
        <w:t>Offerta di implementazione processi (SOW)</w:t>
      </w:r>
    </w:p>
    <w:p w14:paraId="318122F8" w14:textId="77777777" w:rsidR="00BC774F" w:rsidRPr="008662DF" w:rsidRDefault="00000000">
      <w:pPr>
        <w:spacing w:after="1800" w:line="300" w:lineRule="auto"/>
        <w:rPr>
          <w:lang w:val="it-IT"/>
        </w:rPr>
      </w:pPr>
      <w:r w:rsidRPr="008662DF">
        <w:rPr>
          <w:color w:val="4B4D57"/>
          <w:sz w:val="26"/>
          <w:szCs w:val="26"/>
          <w:lang w:val="it-IT"/>
        </w:rPr>
        <w:t>Modello per la sola consegna di agenti su uno o più processi, in continuità con un programma esistente o su una piattaforma realizzata altrove.</w:t>
      </w:r>
    </w:p>
    <w:p w14:paraId="318122F9" w14:textId="77777777" w:rsidR="00BC774F" w:rsidRPr="008662DF" w:rsidRDefault="00000000">
      <w:pPr>
        <w:spacing w:after="60"/>
        <w:rPr>
          <w:lang w:val="it-IT"/>
        </w:rPr>
      </w:pPr>
      <w:r w:rsidRPr="008662DF">
        <w:rPr>
          <w:b/>
          <w:bCs/>
          <w:color w:val="5E4F9C"/>
          <w:lang w:val="it-IT"/>
        </w:rPr>
        <w:t>Atlas Framework</w:t>
      </w:r>
    </w:p>
    <w:p w14:paraId="318122FA" w14:textId="77777777" w:rsidR="00BC774F" w:rsidRPr="008662DF" w:rsidRDefault="00000000">
      <w:pPr>
        <w:spacing w:after="40"/>
        <w:rPr>
          <w:lang w:val="it-IT"/>
        </w:rPr>
      </w:pPr>
      <w:r w:rsidRPr="008662DF">
        <w:rPr>
          <w:color w:val="4B4D57"/>
          <w:sz w:val="20"/>
          <w:szCs w:val="20"/>
          <w:lang w:val="it-IT"/>
        </w:rPr>
        <w:t>Documento per cliente · Generato dal Calculator</w:t>
      </w:r>
    </w:p>
    <w:p w14:paraId="318122FB" w14:textId="77777777" w:rsidR="00BC774F" w:rsidRPr="008662DF" w:rsidRDefault="00000000">
      <w:pPr>
        <w:spacing w:after="40"/>
        <w:rPr>
          <w:lang w:val="it-IT"/>
        </w:rPr>
      </w:pPr>
      <w:r w:rsidRPr="008662DF">
        <w:rPr>
          <w:color w:val="4B4D57"/>
          <w:sz w:val="20"/>
          <w:szCs w:val="20"/>
          <w:lang w:val="it-IT"/>
        </w:rPr>
        <w:t>Fase 3 · Scale, oppure stand-alone</w:t>
      </w:r>
    </w:p>
    <w:p w14:paraId="318122FC" w14:textId="77777777" w:rsidR="00BC774F" w:rsidRPr="008662DF" w:rsidRDefault="00000000">
      <w:pPr>
        <w:spacing w:after="40"/>
        <w:rPr>
          <w:lang w:val="it-IT"/>
        </w:rPr>
      </w:pPr>
      <w:r w:rsidRPr="008662DF">
        <w:rPr>
          <w:color w:val="4B4D57"/>
          <w:sz w:val="20"/>
          <w:szCs w:val="20"/>
          <w:lang w:val="it-IT"/>
        </w:rPr>
        <w:t>Versione 0.6 · Settembre 2026</w:t>
      </w:r>
    </w:p>
    <w:p w14:paraId="318122FD" w14:textId="77777777" w:rsidR="00BC774F" w:rsidRDefault="00000000">
      <w:pPr>
        <w:spacing w:after="40"/>
      </w:pPr>
      <w:r>
        <w:rPr>
          <w:color w:val="4B4D57"/>
          <w:sz w:val="20"/>
          <w:szCs w:val="20"/>
        </w:rPr>
        <w:t>Hevolus SRL</w:t>
      </w:r>
    </w:p>
    <w:p w14:paraId="318122FE" w14:textId="77777777" w:rsidR="00BC774F" w:rsidRDefault="00000000">
      <w:r>
        <w:br w:type="page"/>
      </w:r>
    </w:p>
    <w:p w14:paraId="318122FF" w14:textId="77777777" w:rsidR="00BC774F" w:rsidRDefault="00000000">
      <w:pPr>
        <w:pStyle w:val="Titolo1"/>
        <w:spacing w:before="420" w:after="160"/>
      </w:pPr>
      <w:bookmarkStart w:id="0" w:name="_Toc240012719"/>
      <w:r>
        <w:rPr>
          <w:b/>
          <w:bCs/>
          <w:color w:val="5E4F9C"/>
          <w:sz w:val="34"/>
          <w:szCs w:val="34"/>
        </w:rPr>
        <w:lastRenderedPageBreak/>
        <w:t>Indice</w:t>
      </w:r>
      <w:bookmarkEnd w:id="0"/>
    </w:p>
    <w:sdt>
      <w:sdtPr>
        <w:alias w:val="Indice"/>
        <w:id w:val="1067076340"/>
      </w:sdtPr>
      <w:sdtContent>
        <w:p w14:paraId="138C4823" w14:textId="4D79F0A3" w:rsidR="008662DF" w:rsidRDefault="00000000">
          <w:pPr>
            <w:pStyle w:val="Somma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012719" w:history="1">
            <w:r w:rsidR="008662DF" w:rsidRPr="00E50BD7">
              <w:rPr>
                <w:rStyle w:val="Collegamentoipertestuale"/>
                <w:b/>
                <w:bCs/>
                <w:noProof/>
              </w:rPr>
              <w:t>Indice</w:t>
            </w:r>
            <w:r w:rsidR="008662DF">
              <w:rPr>
                <w:noProof/>
              </w:rPr>
              <w:tab/>
            </w:r>
            <w:r w:rsidR="008662DF">
              <w:rPr>
                <w:noProof/>
              </w:rPr>
              <w:fldChar w:fldCharType="begin"/>
            </w:r>
            <w:r w:rsidR="008662DF">
              <w:rPr>
                <w:noProof/>
              </w:rPr>
              <w:instrText xml:space="preserve"> PAGEREF _Toc240012719 \h </w:instrText>
            </w:r>
            <w:r w:rsidR="008662DF">
              <w:rPr>
                <w:noProof/>
              </w:rPr>
            </w:r>
            <w:r w:rsidR="008662DF">
              <w:rPr>
                <w:noProof/>
              </w:rPr>
              <w:fldChar w:fldCharType="separate"/>
            </w:r>
            <w:r w:rsidR="008662DF">
              <w:rPr>
                <w:noProof/>
              </w:rPr>
              <w:t>2</w:t>
            </w:r>
            <w:r w:rsidR="008662DF">
              <w:rPr>
                <w:noProof/>
              </w:rPr>
              <w:fldChar w:fldCharType="end"/>
            </w:r>
          </w:hyperlink>
        </w:p>
        <w:p w14:paraId="07B82223" w14:textId="6C3098D3" w:rsidR="008662DF" w:rsidRDefault="008662DF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012720" w:history="1">
            <w:r w:rsidRPr="00E50BD7">
              <w:rPr>
                <w:rStyle w:val="Collegamentoipertestuale"/>
                <w:b/>
                <w:bCs/>
                <w:noProof/>
              </w:rPr>
              <w:t>1. Riferimenti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_Toc240012720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E024DC4" w14:textId="4FE0D339" w:rsidR="008662DF" w:rsidRDefault="008662DF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012721" w:history="1">
            <w:r w:rsidRPr="00E50BD7">
              <w:rPr>
                <w:rStyle w:val="Collegamentoipertestuale"/>
                <w:b/>
                <w:bCs/>
                <w:noProof/>
              </w:rPr>
              <w:t>2. Oggetto e sintesi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_Toc240012721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96E22C1" w14:textId="42B20180" w:rsidR="008662DF" w:rsidRDefault="008662DF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012722" w:history="1">
            <w:r w:rsidRPr="00E50BD7">
              <w:rPr>
                <w:rStyle w:val="Collegamentoipertestuale"/>
                <w:b/>
                <w:bCs/>
                <w:noProof/>
              </w:rPr>
              <w:t>3. Prerequisiti e componenti esistenti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_Toc240012722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1383C0E" w14:textId="3EDF871B" w:rsidR="008662DF" w:rsidRDefault="008662DF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012723" w:history="1">
            <w:r w:rsidRPr="00E50BD7">
              <w:rPr>
                <w:rStyle w:val="Collegamentoipertestuale"/>
                <w:b/>
                <w:bCs/>
                <w:noProof/>
              </w:rPr>
              <w:t>4. Perimetro per processo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_Toc240012723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56494F7" w14:textId="0DACB66A" w:rsidR="008662DF" w:rsidRDefault="008662DF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012724" w:history="1">
            <w:r w:rsidRPr="00E50BD7">
              <w:rPr>
                <w:rStyle w:val="Collegamentoipertestuale"/>
                <w:b/>
                <w:bCs/>
                <w:noProof/>
              </w:rPr>
              <w:t>4.1 Esclusioni comuni a tutti i processi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_Toc240012724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EB3A431" w14:textId="3B721ECE" w:rsidR="008662DF" w:rsidRDefault="008662DF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012725" w:history="1">
            <w:r w:rsidRPr="00E50BD7">
              <w:rPr>
                <w:rStyle w:val="Collegamentoipertestuale"/>
                <w:b/>
                <w:bCs/>
                <w:noProof/>
              </w:rPr>
              <w:t>5. Deliverable e criteri di accettazione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_Toc240012725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CAECB2E" w14:textId="46E15B77" w:rsidR="008662DF" w:rsidRDefault="008662DF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012726" w:history="1">
            <w:r w:rsidRPr="00E50BD7">
              <w:rPr>
                <w:rStyle w:val="Collegamentoipertestuale"/>
                <w:b/>
                <w:bCs/>
                <w:noProof/>
              </w:rPr>
              <w:t>6. Piano temporale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_Toc240012726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8B5ACC1" w14:textId="72006B2C" w:rsidR="008662DF" w:rsidRDefault="008662DF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012727" w:history="1">
            <w:r w:rsidRPr="00E50BD7">
              <w:rPr>
                <w:rStyle w:val="Collegamentoipertestuale"/>
                <w:b/>
                <w:bCs/>
                <w:noProof/>
              </w:rPr>
              <w:t>7. Responsabilità del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_Toc240012727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CB14A7E" w14:textId="7B8632B0" w:rsidR="008662DF" w:rsidRDefault="008662DF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012728" w:history="1">
            <w:r w:rsidRPr="00E50BD7">
              <w:rPr>
                <w:rStyle w:val="Collegamentoipertestuale"/>
                <w:b/>
                <w:bCs/>
                <w:noProof/>
              </w:rPr>
              <w:t>8. Assunzioni e variazioni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_Toc240012728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883B092" w14:textId="2CA8471B" w:rsidR="008662DF" w:rsidRDefault="008662DF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012729" w:history="1">
            <w:r w:rsidRPr="00E50BD7">
              <w:rPr>
                <w:rStyle w:val="Collegamentoipertestuale"/>
                <w:b/>
                <w:bCs/>
                <w:noProof/>
              </w:rPr>
              <w:t>9. Accettazione e garanzia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_Toc240012729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F19A0FC" w14:textId="375047CC" w:rsidR="008662DF" w:rsidRDefault="008662DF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012730" w:history="1">
            <w:r w:rsidRPr="00E50BD7">
              <w:rPr>
                <w:rStyle w:val="Collegamentoipertestuale"/>
                <w:b/>
                <w:bCs/>
                <w:noProof/>
              </w:rPr>
              <w:t>10. Investimento e condizioni economiche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_Toc240012730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541DC7C" w14:textId="164645B9" w:rsidR="008662DF" w:rsidRDefault="008662DF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012731" w:history="1">
            <w:r w:rsidRPr="00E50BD7">
              <w:rPr>
                <w:rStyle w:val="Collegamentoipertestuale"/>
                <w:b/>
                <w:bCs/>
                <w:noProof/>
              </w:rPr>
              <w:t>11. Condizioni contrattuali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_Toc240012731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AB43B1E" w14:textId="509FA3E5" w:rsidR="008662DF" w:rsidRDefault="008662DF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012732" w:history="1">
            <w:r w:rsidRPr="00E50BD7">
              <w:rPr>
                <w:rStyle w:val="Collegamentoipertestuale"/>
                <w:b/>
                <w:bCs/>
                <w:noProof/>
              </w:rPr>
              <w:t>11.A In continuità con la proposta di riferimento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_Toc240012732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F4CBEF9" w14:textId="412C7F7C" w:rsidR="008662DF" w:rsidRDefault="008662DF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012733" w:history="1">
            <w:r w:rsidRPr="00E50BD7">
              <w:rPr>
                <w:rStyle w:val="Collegamentoipertestuale"/>
                <w:b/>
                <w:bCs/>
                <w:noProof/>
              </w:rPr>
              <w:t>11.B Stand-alone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_Toc240012733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1812301" w14:textId="0E471E77" w:rsidR="00BC774F" w:rsidRDefault="00000000">
          <w:r>
            <w:fldChar w:fldCharType="end"/>
          </w:r>
        </w:p>
      </w:sdtContent>
    </w:sdt>
    <w:p w14:paraId="31812302" w14:textId="77777777" w:rsidR="00BC774F" w:rsidRDefault="00000000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774F" w:rsidRPr="008662DF" w14:paraId="3181230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5E4F9C"/>
              <w:bottom w:val="none" w:sz="0" w:space="0" w:color="FFFFFF"/>
              <w:right w:val="none" w:sz="0" w:space="0" w:color="FFFFFF"/>
            </w:tcBorders>
            <w:shd w:val="clear" w:color="auto" w:fill="F3F2F8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31812303" w14:textId="77777777" w:rsidR="00BC774F" w:rsidRPr="008662DF" w:rsidRDefault="00000000">
            <w:pPr>
              <w:spacing w:after="80"/>
              <w:rPr>
                <w:lang w:val="it-IT"/>
              </w:rPr>
            </w:pPr>
            <w:r w:rsidRPr="008662DF">
              <w:rPr>
                <w:b/>
                <w:bCs/>
                <w:color w:val="5E4F9C"/>
                <w:lang w:val="it-IT"/>
              </w:rPr>
              <w:lastRenderedPageBreak/>
              <w:t>Contesto nel programma Atlas</w:t>
            </w:r>
          </w:p>
          <w:p w14:paraId="31812304" w14:textId="77777777" w:rsidR="00BC774F" w:rsidRPr="008662DF" w:rsidRDefault="00000000">
            <w:pPr>
              <w:spacing w:after="60" w:line="280" w:lineRule="auto"/>
              <w:rPr>
                <w:lang w:val="it-IT"/>
              </w:rPr>
            </w:pPr>
            <w:r w:rsidRPr="008662DF">
              <w:rPr>
                <w:b/>
                <w:bCs/>
                <w:color w:val="4B4D57"/>
                <w:sz w:val="21"/>
                <w:szCs w:val="21"/>
                <w:lang w:val="it-IT"/>
              </w:rPr>
              <w:t xml:space="preserve">Da dove veniamo. </w:t>
            </w:r>
            <w:r w:rsidRPr="008662DF">
              <w:rPr>
                <w:color w:val="4B4D57"/>
                <w:sz w:val="21"/>
                <w:szCs w:val="21"/>
                <w:lang w:val="it-IT"/>
              </w:rPr>
              <w:t>Il cliente ha già un programma avviato (piano di controllo, connettori, responsabile interno, Kit Evaluate in uso), oppure ha realizzato altrove una piattaforma agentica e chiede a Hevolus la sola implementazione di uno o più processi.</w:t>
            </w:r>
          </w:p>
          <w:p w14:paraId="31812305" w14:textId="77777777" w:rsidR="00BC774F" w:rsidRPr="008662DF" w:rsidRDefault="00000000">
            <w:pPr>
              <w:spacing w:after="60" w:line="280" w:lineRule="auto"/>
              <w:rPr>
                <w:lang w:val="it-IT"/>
              </w:rPr>
            </w:pPr>
            <w:r w:rsidRPr="008662DF">
              <w:rPr>
                <w:b/>
                <w:bCs/>
                <w:color w:val="4B4D57"/>
                <w:sz w:val="21"/>
                <w:szCs w:val="21"/>
                <w:lang w:val="it-IT"/>
              </w:rPr>
              <w:t xml:space="preserve">Dove siamo. </w:t>
            </w:r>
            <w:r w:rsidRPr="008662DF">
              <w:rPr>
                <w:color w:val="4B4D57"/>
                <w:sz w:val="21"/>
                <w:szCs w:val="21"/>
                <w:lang w:val="it-IT"/>
              </w:rPr>
              <w:t>Questo è il modello dell'offerta di implementazione (SOW): copre esclusivamente la consegna di agenti su processi definiti, senza Discovery, senza change management e senza gestione dell'esercizio, che restano fuori perimetro o sono richiamati da altri accordi. I campi in corsivo tra parentesi quadre sono da compilare; le sezioni [opz.] si mantengono solo se pertinenti.</w:t>
            </w:r>
          </w:p>
          <w:p w14:paraId="31812306" w14:textId="77777777" w:rsidR="00BC774F" w:rsidRPr="008662DF" w:rsidRDefault="00000000">
            <w:pPr>
              <w:spacing w:after="60" w:line="280" w:lineRule="auto"/>
              <w:rPr>
                <w:lang w:val="it-IT"/>
              </w:rPr>
            </w:pPr>
            <w:r w:rsidRPr="008662DF">
              <w:rPr>
                <w:b/>
                <w:bCs/>
                <w:color w:val="4B4D57"/>
                <w:sz w:val="21"/>
                <w:szCs w:val="21"/>
                <w:lang w:val="it-IT"/>
              </w:rPr>
              <w:t xml:space="preserve">Dove andiamo. </w:t>
            </w:r>
            <w:r w:rsidRPr="008662DF">
              <w:rPr>
                <w:color w:val="4B4D57"/>
                <w:sz w:val="21"/>
                <w:szCs w:val="21"/>
                <w:lang w:val="it-IT"/>
              </w:rPr>
              <w:t>Con il SOW firmato ogni processo entra nel ciclo agente e si chiude con il proprio gate di consegna.</w:t>
            </w:r>
          </w:p>
        </w:tc>
      </w:tr>
    </w:tbl>
    <w:p w14:paraId="31812308" w14:textId="77777777" w:rsidR="00BC774F" w:rsidRPr="008662DF" w:rsidRDefault="00BC774F">
      <w:pPr>
        <w:spacing w:after="200"/>
        <w:rPr>
          <w:lang w:val="it-IT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774F" w14:paraId="3181230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5E4F9C"/>
              <w:bottom w:val="none" w:sz="0" w:space="0" w:color="FFFFFF"/>
              <w:right w:val="none" w:sz="0" w:space="0" w:color="FFFFFF"/>
            </w:tcBorders>
            <w:shd w:val="clear" w:color="auto" w:fill="F3F2F8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31812309" w14:textId="77777777" w:rsidR="00BC774F" w:rsidRPr="008662DF" w:rsidRDefault="00000000">
            <w:pPr>
              <w:spacing w:after="80"/>
              <w:rPr>
                <w:lang w:val="it-IT"/>
              </w:rPr>
            </w:pPr>
            <w:r w:rsidRPr="008662DF">
              <w:rPr>
                <w:b/>
                <w:bCs/>
                <w:color w:val="5E4F9C"/>
                <w:lang w:val="it-IT"/>
              </w:rPr>
              <w:t>Due situazioni, un modello</w:t>
            </w:r>
          </w:p>
          <w:p w14:paraId="3181230A" w14:textId="77777777" w:rsidR="00BC774F" w:rsidRPr="008662DF" w:rsidRDefault="00000000">
            <w:pPr>
              <w:spacing w:after="60" w:line="280" w:lineRule="auto"/>
              <w:rPr>
                <w:lang w:val="it-IT"/>
              </w:rPr>
            </w:pPr>
            <w:r w:rsidRPr="008662DF">
              <w:rPr>
                <w:b/>
                <w:bCs/>
                <w:color w:val="4B4D57"/>
                <w:sz w:val="21"/>
                <w:szCs w:val="21"/>
                <w:lang w:val="it-IT"/>
              </w:rPr>
              <w:t xml:space="preserve">In continuità. </w:t>
            </w:r>
            <w:r w:rsidRPr="008662DF">
              <w:rPr>
                <w:color w:val="4B4D57"/>
                <w:sz w:val="21"/>
                <w:szCs w:val="21"/>
                <w:lang w:val="it-IT"/>
              </w:rPr>
              <w:t>Il cliente ha già firmato una proposta D3 con Hevolus: il SOW richiama quel contratto per governance e condizioni (sezione 11, variante A) e riusa il piano di controllo esistente.</w:t>
            </w:r>
          </w:p>
          <w:p w14:paraId="3181230B" w14:textId="77777777" w:rsidR="00BC774F" w:rsidRDefault="00000000">
            <w:pPr>
              <w:spacing w:after="60" w:line="280" w:lineRule="auto"/>
            </w:pPr>
            <w:r>
              <w:rPr>
                <w:b/>
                <w:bCs/>
                <w:color w:val="4B4D57"/>
                <w:sz w:val="21"/>
                <w:szCs w:val="21"/>
              </w:rPr>
              <w:t xml:space="preserve">Stand-alone. </w:t>
            </w:r>
            <w:r>
              <w:rPr>
                <w:color w:val="4B4D57"/>
                <w:sz w:val="21"/>
                <w:szCs w:val="21"/>
              </w:rPr>
              <w:t>Il cliente ha implementato il framework o la piattaforma con altri: il SOW contiene condizioni proprie (sezione 11, variante B), una verifica dei prerequisiti a carico del cliente (sezione 3) e limiti espliciti di responsabilità sui componenti non realizzati da Hevolus.</w:t>
            </w:r>
          </w:p>
          <w:p w14:paraId="3181230C" w14:textId="77777777" w:rsidR="00BC774F" w:rsidRDefault="00000000">
            <w:pPr>
              <w:spacing w:after="60" w:line="280" w:lineRule="auto"/>
            </w:pPr>
            <w:r>
              <w:rPr>
                <w:color w:val="4B4D57"/>
                <w:sz w:val="21"/>
                <w:szCs w:val="21"/>
              </w:rPr>
              <w:t>Regole comuni: nessun riferimento a giorni persona o tariffe; ogni impegno è un deliverable con criterio di accettazione; ogni dipendenza dal cliente ha una scadenza.</w:t>
            </w:r>
          </w:p>
        </w:tc>
      </w:tr>
    </w:tbl>
    <w:p w14:paraId="3181230E" w14:textId="77777777" w:rsidR="00BC774F" w:rsidRDefault="00BC774F">
      <w:pPr>
        <w:spacing w:after="200"/>
      </w:pPr>
    </w:p>
    <w:p w14:paraId="3181230F" w14:textId="77777777" w:rsidR="00BC774F" w:rsidRDefault="00000000">
      <w:pPr>
        <w:pStyle w:val="Titolo1"/>
        <w:spacing w:before="420" w:after="160"/>
      </w:pPr>
      <w:bookmarkStart w:id="1" w:name="_Toc240012720"/>
      <w:r>
        <w:rPr>
          <w:b/>
          <w:bCs/>
          <w:color w:val="5E4F9C"/>
          <w:sz w:val="34"/>
          <w:szCs w:val="34"/>
        </w:rPr>
        <w:t>1. Riferimenti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BC774F" w14:paraId="318123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10" w14:textId="77777777" w:rsidR="00BC774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Voce</w:t>
            </w:r>
          </w:p>
        </w:tc>
        <w:tc>
          <w:tcPr>
            <w:tcW w:w="6747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11" w14:textId="77777777" w:rsidR="00BC774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Valore</w:t>
            </w:r>
          </w:p>
        </w:tc>
      </w:tr>
      <w:tr w:rsidR="00BC774F" w14:paraId="31812315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13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6747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14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[Ragione sociale, sede, P. IVA]</w:t>
            </w:r>
          </w:p>
        </w:tc>
      </w:tr>
      <w:tr w:rsidR="00BC774F" w14:paraId="31812318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16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Referente del cliente</w:t>
            </w:r>
          </w:p>
        </w:tc>
        <w:tc>
          <w:tcPr>
            <w:tcW w:w="6747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17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[Nome, ruolo]</w:t>
            </w:r>
          </w:p>
        </w:tc>
      </w:tr>
      <w:tr w:rsidR="00BC774F" w14:paraId="3181231B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19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SOW n.</w:t>
            </w:r>
          </w:p>
        </w:tc>
        <w:tc>
          <w:tcPr>
            <w:tcW w:w="6747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1A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[HEV-SOW-AAAA-nnn]</w:t>
            </w:r>
          </w:p>
        </w:tc>
      </w:tr>
      <w:tr w:rsidR="00BC774F" w14:paraId="3181231E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1C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Accordo di riferimento [variante A]</w:t>
            </w:r>
          </w:p>
        </w:tc>
        <w:tc>
          <w:tcPr>
            <w:tcW w:w="6747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1D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[Proposta HEV-AAAA-nnn del gg/mm/aaaa]</w:t>
            </w:r>
          </w:p>
        </w:tc>
      </w:tr>
      <w:tr w:rsidR="00BC774F" w14:paraId="31812321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1F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Versione e data</w:t>
            </w:r>
          </w:p>
        </w:tc>
        <w:tc>
          <w:tcPr>
            <w:tcW w:w="6747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20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[v1.0 · gg/mm/aaaa]</w:t>
            </w:r>
          </w:p>
        </w:tc>
      </w:tr>
      <w:tr w:rsidR="00BC774F" w14:paraId="31812324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22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Validità</w:t>
            </w:r>
          </w:p>
        </w:tc>
        <w:tc>
          <w:tcPr>
            <w:tcW w:w="6747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23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30 giorni dalla data di emissione</w:t>
            </w:r>
          </w:p>
        </w:tc>
      </w:tr>
      <w:tr w:rsidR="00BC774F" w14:paraId="31812327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25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Oggetto</w:t>
            </w:r>
          </w:p>
        </w:tc>
        <w:tc>
          <w:tcPr>
            <w:tcW w:w="6747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26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[Implementazione di n agenti sui processi X, Y]</w:t>
            </w:r>
          </w:p>
        </w:tc>
      </w:tr>
    </w:tbl>
    <w:p w14:paraId="31812328" w14:textId="77777777" w:rsidR="00BC774F" w:rsidRDefault="00BC774F">
      <w:pPr>
        <w:spacing w:after="200"/>
      </w:pPr>
    </w:p>
    <w:p w14:paraId="31812329" w14:textId="77777777" w:rsidR="00BC774F" w:rsidRDefault="00000000">
      <w:pPr>
        <w:pStyle w:val="Titolo1"/>
        <w:spacing w:before="420" w:after="160"/>
      </w:pPr>
      <w:bookmarkStart w:id="2" w:name="_Toc240012721"/>
      <w:r>
        <w:rPr>
          <w:b/>
          <w:bCs/>
          <w:color w:val="5E4F9C"/>
          <w:sz w:val="34"/>
          <w:szCs w:val="34"/>
        </w:rPr>
        <w:t>2. Oggetto e sintesi</w:t>
      </w:r>
      <w:bookmarkEnd w:id="2"/>
    </w:p>
    <w:p w14:paraId="3181232A" w14:textId="77777777" w:rsidR="00BC774F" w:rsidRDefault="00000000">
      <w:pPr>
        <w:spacing w:after="140" w:line="300" w:lineRule="auto"/>
      </w:pPr>
      <w:r>
        <w:t xml:space="preserve">Hevolus implementa </w:t>
      </w:r>
      <w:r>
        <w:rPr>
          <w:i/>
          <w:iCs/>
        </w:rPr>
        <w:t>[n]</w:t>
      </w:r>
      <w:r>
        <w:t xml:space="preserve"> agenti sui processi indicati, secondo il ciclo agente Atlas (Frame, Evaluate, Build, Iterate, Pilot, consegna), in modalità </w:t>
      </w:r>
      <w:r>
        <w:rPr>
          <w:i/>
          <w:iCs/>
        </w:rPr>
        <w:t>[Co-pilot]</w:t>
      </w:r>
      <w:r>
        <w:t xml:space="preserve">, sulla piattaforma </w:t>
      </w:r>
      <w:r>
        <w:rPr>
          <w:i/>
          <w:iCs/>
        </w:rPr>
        <w:t>[XRCopilot / piattaforma del cliente]</w:t>
      </w:r>
      <w:r>
        <w:t xml:space="preserve"> e sui </w:t>
      </w:r>
      <w:r>
        <w:lastRenderedPageBreak/>
        <w:t>connettori indicati in sezione 3. Il SOW non comprende attività di Discovery, gestione del cambiamento, esercizio o evoluzione degli agenti dopo la consegna, salvo quanto indicato in sezione 5.</w:t>
      </w:r>
    </w:p>
    <w:tbl>
      <w:tblPr>
        <w:tblW w:w="84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0"/>
        <w:gridCol w:w="1928"/>
        <w:gridCol w:w="1928"/>
        <w:gridCol w:w="1735"/>
      </w:tblGrid>
      <w:tr w:rsidR="008662DF" w14:paraId="31812330" w14:textId="77777777" w:rsidTr="008662D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0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2B" w14:textId="77777777" w:rsidR="008662DF" w:rsidRDefault="008662DF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Processo</w:t>
            </w:r>
          </w:p>
        </w:tc>
        <w:tc>
          <w:tcPr>
            <w:tcW w:w="1928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2D" w14:textId="77777777" w:rsidR="008662DF" w:rsidRDefault="008662DF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Durata</w:t>
            </w:r>
          </w:p>
        </w:tc>
        <w:tc>
          <w:tcPr>
            <w:tcW w:w="1928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2E" w14:textId="77777777" w:rsidR="008662DF" w:rsidRDefault="008662DF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Livello alla consegna</w:t>
            </w:r>
          </w:p>
        </w:tc>
        <w:tc>
          <w:tcPr>
            <w:tcW w:w="1735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2F" w14:textId="77777777" w:rsidR="008662DF" w:rsidRDefault="008662DF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Investimento</w:t>
            </w:r>
          </w:p>
        </w:tc>
      </w:tr>
      <w:tr w:rsidR="008662DF" w14:paraId="31812336" w14:textId="77777777" w:rsidTr="008662DF">
        <w:tblPrEx>
          <w:tblCellMar>
            <w:top w:w="0" w:type="dxa"/>
            <w:bottom w:w="0" w:type="dxa"/>
          </w:tblCellMar>
        </w:tblPrEx>
        <w:tc>
          <w:tcPr>
            <w:tcW w:w="2890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31" w14:textId="77777777" w:rsidR="008662DF" w:rsidRDefault="008662DF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[Processo 1]</w:t>
            </w:r>
          </w:p>
        </w:tc>
        <w:tc>
          <w:tcPr>
            <w:tcW w:w="1928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33" w14:textId="77777777" w:rsidR="008662DF" w:rsidRDefault="008662DF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[settimane]</w:t>
            </w:r>
          </w:p>
        </w:tc>
        <w:tc>
          <w:tcPr>
            <w:tcW w:w="1928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34" w14:textId="77777777" w:rsidR="008662DF" w:rsidRDefault="008662DF">
            <w:pPr>
              <w:spacing w:after="40" w:line="260" w:lineRule="auto"/>
            </w:pPr>
            <w:r>
              <w:rPr>
                <w:sz w:val="20"/>
                <w:szCs w:val="20"/>
              </w:rPr>
              <w:t>Co-pilot</w:t>
            </w:r>
          </w:p>
        </w:tc>
        <w:tc>
          <w:tcPr>
            <w:tcW w:w="1735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35" w14:textId="77777777" w:rsidR="008662DF" w:rsidRDefault="008662DF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[€]</w:t>
            </w:r>
          </w:p>
        </w:tc>
      </w:tr>
      <w:tr w:rsidR="008662DF" w14:paraId="3181233C" w14:textId="77777777" w:rsidTr="008662DF">
        <w:tblPrEx>
          <w:tblCellMar>
            <w:top w:w="0" w:type="dxa"/>
            <w:bottom w:w="0" w:type="dxa"/>
          </w:tblCellMar>
        </w:tblPrEx>
        <w:tc>
          <w:tcPr>
            <w:tcW w:w="2890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37" w14:textId="77777777" w:rsidR="008662DF" w:rsidRDefault="008662DF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[Processo 2]</w:t>
            </w:r>
          </w:p>
        </w:tc>
        <w:tc>
          <w:tcPr>
            <w:tcW w:w="1928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39" w14:textId="77777777" w:rsidR="008662DF" w:rsidRDefault="008662DF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[settimane]</w:t>
            </w:r>
          </w:p>
        </w:tc>
        <w:tc>
          <w:tcPr>
            <w:tcW w:w="1928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3A" w14:textId="77777777" w:rsidR="008662DF" w:rsidRDefault="008662DF">
            <w:pPr>
              <w:spacing w:after="40" w:line="260" w:lineRule="auto"/>
            </w:pPr>
            <w:r>
              <w:rPr>
                <w:sz w:val="20"/>
                <w:szCs w:val="20"/>
              </w:rPr>
              <w:t>Co-pilot</w:t>
            </w:r>
          </w:p>
        </w:tc>
        <w:tc>
          <w:tcPr>
            <w:tcW w:w="1735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3B" w14:textId="77777777" w:rsidR="008662DF" w:rsidRDefault="008662DF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[€]</w:t>
            </w:r>
          </w:p>
        </w:tc>
      </w:tr>
      <w:tr w:rsidR="008662DF" w14:paraId="31812342" w14:textId="77777777" w:rsidTr="008662DF">
        <w:tblPrEx>
          <w:tblCellMar>
            <w:top w:w="0" w:type="dxa"/>
            <w:bottom w:w="0" w:type="dxa"/>
          </w:tblCellMar>
        </w:tblPrEx>
        <w:tc>
          <w:tcPr>
            <w:tcW w:w="2890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3D" w14:textId="77777777" w:rsidR="008662DF" w:rsidRDefault="008662DF">
            <w:pPr>
              <w:spacing w:after="40" w:line="260" w:lineRule="auto"/>
            </w:pPr>
            <w:r>
              <w:rPr>
                <w:sz w:val="20"/>
                <w:szCs w:val="20"/>
              </w:rPr>
              <w:t>Totale</w:t>
            </w:r>
          </w:p>
        </w:tc>
        <w:tc>
          <w:tcPr>
            <w:tcW w:w="1928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3F" w14:textId="77777777" w:rsidR="008662DF" w:rsidRDefault="008662DF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[settimane, con sovrapposizione]</w:t>
            </w:r>
          </w:p>
        </w:tc>
        <w:tc>
          <w:tcPr>
            <w:tcW w:w="1928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40" w14:textId="77777777" w:rsidR="008662DF" w:rsidRDefault="008662DF">
            <w:pPr>
              <w:spacing w:after="40" w:line="260" w:lineRule="auto"/>
            </w:pPr>
          </w:p>
        </w:tc>
        <w:tc>
          <w:tcPr>
            <w:tcW w:w="1735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41" w14:textId="77777777" w:rsidR="008662DF" w:rsidRDefault="008662DF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[€]</w:t>
            </w:r>
          </w:p>
        </w:tc>
      </w:tr>
    </w:tbl>
    <w:p w14:paraId="31812343" w14:textId="77777777" w:rsidR="00BC774F" w:rsidRDefault="00BC774F">
      <w:pPr>
        <w:spacing w:after="200"/>
      </w:pPr>
    </w:p>
    <w:p w14:paraId="31812344" w14:textId="77777777" w:rsidR="00BC774F" w:rsidRDefault="00000000">
      <w:pPr>
        <w:pStyle w:val="Titolo1"/>
        <w:spacing w:before="420" w:after="160"/>
      </w:pPr>
      <w:bookmarkStart w:id="3" w:name="_Toc240012722"/>
      <w:r>
        <w:rPr>
          <w:b/>
          <w:bCs/>
          <w:color w:val="5E4F9C"/>
          <w:sz w:val="34"/>
          <w:szCs w:val="34"/>
        </w:rPr>
        <w:t>3. Prerequisiti e componenti esistenti</w:t>
      </w:r>
      <w:bookmarkEnd w:id="3"/>
    </w:p>
    <w:p w14:paraId="31812345" w14:textId="77777777" w:rsidR="00BC774F" w:rsidRDefault="00000000">
      <w:pPr>
        <w:spacing w:after="140" w:line="300" w:lineRule="auto"/>
      </w:pPr>
      <w:r>
        <w:t>Il SOW presuppone che i componenti seguenti esistano e funzionino alla data di avvio. Hevolus li verifica nello stage Frame con una sessione di verifica dei prerequisiti (deliverable S.0). Ciò che non risulta conforme è oggetto di variazione prima del Build, oppure di esclusione dal perimetro.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2699"/>
        <w:gridCol w:w="1542"/>
        <w:gridCol w:w="2891"/>
      </w:tblGrid>
      <w:tr w:rsidR="00BC774F" w14:paraId="318123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6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46" w14:textId="77777777" w:rsidR="00BC774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699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47" w14:textId="77777777" w:rsidR="00BC774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Stato dichiarato dal cliente</w:t>
            </w:r>
          </w:p>
        </w:tc>
        <w:tc>
          <w:tcPr>
            <w:tcW w:w="15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48" w14:textId="77777777" w:rsidR="00BC774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Realizzato da</w:t>
            </w:r>
          </w:p>
        </w:tc>
        <w:tc>
          <w:tcPr>
            <w:tcW w:w="289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49" w14:textId="77777777" w:rsidR="00BC774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Verifica di Hevolus</w:t>
            </w:r>
          </w:p>
        </w:tc>
      </w:tr>
      <w:tr w:rsidR="00BC774F" w14:paraId="3181234F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4B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Piattaforma di esercizio degli agenti</w:t>
            </w:r>
          </w:p>
        </w:tc>
        <w:tc>
          <w:tcPr>
            <w:tcW w:w="2699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4C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[XRCopilot tenant X / altra piattaforma, versione]</w:t>
            </w:r>
          </w:p>
        </w:tc>
        <w:tc>
          <w:tcPr>
            <w:tcW w:w="15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4D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[Hevolus / terzi / cliente]</w:t>
            </w:r>
          </w:p>
        </w:tc>
        <w:tc>
          <w:tcPr>
            <w:tcW w:w="289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4E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Accesso sviluppatore funzionante; possibilità di configurare skill e orchestrazione</w:t>
            </w:r>
          </w:p>
        </w:tc>
      </w:tr>
      <w:tr w:rsidR="00BC774F" w14:paraId="31812354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50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Identità e permessi per agenti</w:t>
            </w:r>
          </w:p>
        </w:tc>
        <w:tc>
          <w:tcPr>
            <w:tcW w:w="2699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51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[Entra ID / altro]</w:t>
            </w:r>
          </w:p>
        </w:tc>
        <w:tc>
          <w:tcPr>
            <w:tcW w:w="15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52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[…]</w:t>
            </w:r>
          </w:p>
        </w:tc>
        <w:tc>
          <w:tcPr>
            <w:tcW w:w="289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53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Identità applicativa per ambiente creabile entro i tempi della sezione 7</w:t>
            </w:r>
          </w:p>
        </w:tc>
      </w:tr>
      <w:tr w:rsidR="00BC774F" w14:paraId="31812359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55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Connettori esistenti verso i sistemi in perimetro</w:t>
            </w:r>
          </w:p>
        </w:tc>
        <w:tc>
          <w:tcPr>
            <w:tcW w:w="2699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56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[elenco: sistema → connettore, operazioni esposte]</w:t>
            </w:r>
          </w:p>
        </w:tc>
        <w:tc>
          <w:tcPr>
            <w:tcW w:w="15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57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[…]</w:t>
            </w:r>
          </w:p>
        </w:tc>
        <w:tc>
          <w:tcPr>
            <w:tcW w:w="289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58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Test di contratto eseguibile; operazioni necessarie disponibili</w:t>
            </w:r>
          </w:p>
        </w:tc>
      </w:tr>
      <w:tr w:rsidR="00BC774F" w14:paraId="3181235E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5A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Osservabilità</w:t>
            </w:r>
          </w:p>
        </w:tc>
        <w:tc>
          <w:tcPr>
            <w:tcW w:w="2699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5B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[Langfuse / altro]</w:t>
            </w:r>
          </w:p>
        </w:tc>
        <w:tc>
          <w:tcPr>
            <w:tcW w:w="15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5C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[…]</w:t>
            </w:r>
          </w:p>
        </w:tc>
        <w:tc>
          <w:tcPr>
            <w:tcW w:w="289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5D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Tracce e costi per agente consultabili</w:t>
            </w:r>
          </w:p>
        </w:tc>
      </w:tr>
      <w:tr w:rsidR="00BC774F" w14:paraId="31812363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5F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Ambiente di test con dati non di produzione</w:t>
            </w:r>
          </w:p>
        </w:tc>
        <w:tc>
          <w:tcPr>
            <w:tcW w:w="2699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60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[disponibile / da creare]</w:t>
            </w:r>
          </w:p>
        </w:tc>
        <w:tc>
          <w:tcPr>
            <w:tcW w:w="15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61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[…]</w:t>
            </w:r>
          </w:p>
        </w:tc>
        <w:tc>
          <w:tcPr>
            <w:tcW w:w="289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62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Eval set eseguibile in test</w:t>
            </w:r>
          </w:p>
        </w:tc>
      </w:tr>
      <w:tr w:rsidR="00BC774F" w14:paraId="31812368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64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Responsabile interno degli agenti</w:t>
            </w:r>
          </w:p>
        </w:tc>
        <w:tc>
          <w:tcPr>
            <w:tcW w:w="2699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65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[nome, ruolo]</w:t>
            </w:r>
          </w:p>
        </w:tc>
        <w:tc>
          <w:tcPr>
            <w:tcW w:w="15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66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89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67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Disponibile per le sessioni di consegna</w:t>
            </w:r>
          </w:p>
        </w:tc>
      </w:tr>
      <w:tr w:rsidR="00BC774F" w14:paraId="3181236D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69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Kit Evaluate e procedura di rilascio</w:t>
            </w:r>
          </w:p>
        </w:tc>
        <w:tc>
          <w:tcPr>
            <w:tcW w:w="2699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6A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[Atlas / procedura del cliente]</w:t>
            </w:r>
          </w:p>
        </w:tc>
        <w:tc>
          <w:tcPr>
            <w:tcW w:w="15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6B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[…]</w:t>
            </w:r>
          </w:p>
        </w:tc>
        <w:tc>
          <w:tcPr>
            <w:tcW w:w="289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6C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Compatibile con i deliverable di sezione 5</w:t>
            </w:r>
          </w:p>
        </w:tc>
      </w:tr>
    </w:tbl>
    <w:p w14:paraId="3181236E" w14:textId="77777777" w:rsidR="00BC774F" w:rsidRDefault="00BC774F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774F" w14:paraId="3181237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5E4F9C"/>
              <w:bottom w:val="none" w:sz="0" w:space="0" w:color="FFFFFF"/>
              <w:right w:val="none" w:sz="0" w:space="0" w:color="FFFFFF"/>
            </w:tcBorders>
            <w:shd w:val="clear" w:color="auto" w:fill="F3F2F8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3181236F" w14:textId="77777777" w:rsidR="00BC774F" w:rsidRDefault="00000000">
            <w:pPr>
              <w:spacing w:after="80"/>
            </w:pPr>
            <w:r>
              <w:rPr>
                <w:b/>
                <w:bCs/>
                <w:color w:val="5E4F9C"/>
              </w:rPr>
              <w:t>Componenti non realizzati da Hevolus</w:t>
            </w:r>
          </w:p>
          <w:p w14:paraId="31812370" w14:textId="77777777" w:rsidR="00BC774F" w:rsidRDefault="00000000">
            <w:pPr>
              <w:spacing w:after="60" w:line="280" w:lineRule="auto"/>
            </w:pPr>
            <w:r>
              <w:rPr>
                <w:color w:val="4B4D57"/>
                <w:sz w:val="21"/>
                <w:szCs w:val="21"/>
              </w:rPr>
              <w:lastRenderedPageBreak/>
              <w:t>Per i componenti realizzati da terzi o dal cliente, Hevolus li utilizza così come sono e non ne garantisce funzionamento, sicurezza o conformità. Difetti, indisponibilità o modifiche di tali componenti che incidono sul SOW sono gestiti come variazione (sezione 8) e sospendono i termini per la durata dell'impedimento.</w:t>
            </w:r>
          </w:p>
        </w:tc>
      </w:tr>
    </w:tbl>
    <w:p w14:paraId="31812372" w14:textId="77777777" w:rsidR="00BC774F" w:rsidRDefault="00BC774F">
      <w:pPr>
        <w:spacing w:after="200"/>
      </w:pPr>
    </w:p>
    <w:p w14:paraId="31812373" w14:textId="77777777" w:rsidR="00BC774F" w:rsidRDefault="00000000">
      <w:pPr>
        <w:pStyle w:val="Titolo1"/>
        <w:spacing w:before="420" w:after="160"/>
      </w:pPr>
      <w:bookmarkStart w:id="4" w:name="_Toc240012723"/>
      <w:r>
        <w:rPr>
          <w:b/>
          <w:bCs/>
          <w:color w:val="5E4F9C"/>
          <w:sz w:val="34"/>
          <w:szCs w:val="34"/>
        </w:rPr>
        <w:t>4. Perimetro per processo</w:t>
      </w:r>
      <w:bookmarkEnd w:id="4"/>
    </w:p>
    <w:p w14:paraId="31812374" w14:textId="77777777" w:rsidR="00BC774F" w:rsidRDefault="00000000">
      <w:pPr>
        <w:spacing w:after="140" w:line="300" w:lineRule="auto"/>
      </w:pPr>
      <w:r>
        <w:t>Una scheda per ogni processo. Ciò che non è scritto nella scheda è fuori perimetro.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2"/>
        <w:gridCol w:w="3373"/>
        <w:gridCol w:w="3373"/>
      </w:tblGrid>
      <w:tr w:rsidR="00BC774F" w14:paraId="318123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75" w14:textId="77777777" w:rsidR="00BC774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Voce</w:t>
            </w:r>
          </w:p>
        </w:tc>
        <w:tc>
          <w:tcPr>
            <w:tcW w:w="3373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76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color w:val="FFFFFF"/>
                <w:sz w:val="20"/>
                <w:szCs w:val="20"/>
              </w:rPr>
              <w:t>[Processo 1]</w:t>
            </w:r>
          </w:p>
        </w:tc>
        <w:tc>
          <w:tcPr>
            <w:tcW w:w="3373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77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color w:val="FFFFFF"/>
                <w:sz w:val="20"/>
                <w:szCs w:val="20"/>
              </w:rPr>
              <w:t>[Processo 2]</w:t>
            </w:r>
          </w:p>
        </w:tc>
      </w:tr>
      <w:tr w:rsidR="00BC774F" w14:paraId="3181237C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79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Risultato atteso dell'agente</w:t>
            </w:r>
          </w:p>
        </w:tc>
        <w:tc>
          <w:tcPr>
            <w:tcW w:w="3373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7A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[una frase]</w:t>
            </w:r>
          </w:p>
        </w:tc>
        <w:tc>
          <w:tcPr>
            <w:tcW w:w="3373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7B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[una frase]</w:t>
            </w:r>
          </w:p>
        </w:tc>
      </w:tr>
      <w:tr w:rsidR="00BC774F" w14:paraId="31812380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7D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Utenti e canale</w:t>
            </w:r>
          </w:p>
        </w:tc>
        <w:tc>
          <w:tcPr>
            <w:tcW w:w="3373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7E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[ruoli, numero, canale]</w:t>
            </w:r>
          </w:p>
        </w:tc>
        <w:tc>
          <w:tcPr>
            <w:tcW w:w="3373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7F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[…]</w:t>
            </w:r>
          </w:p>
        </w:tc>
      </w:tr>
      <w:tr w:rsidR="00BC774F" w14:paraId="31812384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81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Casi in perimetro / esclusi</w:t>
            </w:r>
          </w:p>
        </w:tc>
        <w:tc>
          <w:tcPr>
            <w:tcW w:w="3373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82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[casi standard inclusi; eccezioni escluse]</w:t>
            </w:r>
          </w:p>
        </w:tc>
        <w:tc>
          <w:tcPr>
            <w:tcW w:w="3373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83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[…]</w:t>
            </w:r>
          </w:p>
        </w:tc>
      </w:tr>
      <w:tr w:rsidR="00BC774F" w14:paraId="31812388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85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Sistemi e operazioni</w:t>
            </w:r>
          </w:p>
        </w:tc>
        <w:tc>
          <w:tcPr>
            <w:tcW w:w="3373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86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[sistema → lettura / scritture elencate]</w:t>
            </w:r>
          </w:p>
        </w:tc>
        <w:tc>
          <w:tcPr>
            <w:tcW w:w="3373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87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[…]</w:t>
            </w:r>
          </w:p>
        </w:tc>
      </w:tr>
      <w:tr w:rsidR="00BC774F" w14:paraId="3181238C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89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Connettori: esistenti / da realizzare</w:t>
            </w:r>
          </w:p>
        </w:tc>
        <w:tc>
          <w:tcPr>
            <w:tcW w:w="3373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8A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[esistenti: …; da realizzare: …]</w:t>
            </w:r>
          </w:p>
        </w:tc>
        <w:tc>
          <w:tcPr>
            <w:tcW w:w="3373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8B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[…]</w:t>
            </w:r>
          </w:p>
        </w:tc>
      </w:tr>
      <w:tr w:rsidR="00BC774F" w14:paraId="31812390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8D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Dati e classificazione del rischio</w:t>
            </w:r>
          </w:p>
        </w:tc>
        <w:tc>
          <w:tcPr>
            <w:tcW w:w="3373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8E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[categorie di dati; dati personali sì/no; classe di rischio]</w:t>
            </w:r>
          </w:p>
        </w:tc>
        <w:tc>
          <w:tcPr>
            <w:tcW w:w="3373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8F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[…]</w:t>
            </w:r>
          </w:p>
        </w:tc>
      </w:tr>
      <w:tr w:rsidR="00BC774F" w14:paraId="31812394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91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Livello di autonomia alla consegna</w:t>
            </w:r>
          </w:p>
        </w:tc>
        <w:tc>
          <w:tcPr>
            <w:tcW w:w="3373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92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Co-pilot</w:t>
            </w:r>
          </w:p>
        </w:tc>
        <w:tc>
          <w:tcPr>
            <w:tcW w:w="3373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93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Co-pilot</w:t>
            </w:r>
          </w:p>
        </w:tc>
      </w:tr>
      <w:tr w:rsidR="00BC774F" w14:paraId="31812398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95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Baseline e responsabile della misura</w:t>
            </w:r>
          </w:p>
        </w:tc>
        <w:tc>
          <w:tcPr>
            <w:tcW w:w="3373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96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[indicatori e valori forniti dal cliente]</w:t>
            </w:r>
          </w:p>
        </w:tc>
        <w:tc>
          <w:tcPr>
            <w:tcW w:w="3373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97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[…]</w:t>
            </w:r>
          </w:p>
        </w:tc>
      </w:tr>
      <w:tr w:rsidR="00BC774F" w14:paraId="3181239C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99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Taglia e motivazione</w:t>
            </w:r>
          </w:p>
        </w:tc>
        <w:tc>
          <w:tcPr>
            <w:tcW w:w="3373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9A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[S/M/L: n sistemi, API sì/no, qualità dati]</w:t>
            </w:r>
          </w:p>
        </w:tc>
        <w:tc>
          <w:tcPr>
            <w:tcW w:w="3373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9B" w14:textId="77777777" w:rsidR="00BC774F" w:rsidRDefault="00000000">
            <w:pPr>
              <w:spacing w:after="40" w:line="260" w:lineRule="auto"/>
            </w:pPr>
            <w:r>
              <w:rPr>
                <w:i/>
                <w:iCs/>
                <w:sz w:val="20"/>
                <w:szCs w:val="20"/>
              </w:rPr>
              <w:t>[…]</w:t>
            </w:r>
          </w:p>
        </w:tc>
      </w:tr>
    </w:tbl>
    <w:p w14:paraId="3181239D" w14:textId="77777777" w:rsidR="00BC774F" w:rsidRDefault="00BC774F">
      <w:pPr>
        <w:spacing w:after="200"/>
      </w:pPr>
    </w:p>
    <w:p w14:paraId="3181239E" w14:textId="77777777" w:rsidR="00BC774F" w:rsidRDefault="00000000">
      <w:pPr>
        <w:pStyle w:val="Titolo2"/>
        <w:spacing w:before="300" w:after="120"/>
      </w:pPr>
      <w:bookmarkStart w:id="5" w:name="_Toc240012724"/>
      <w:r>
        <w:rPr>
          <w:b/>
          <w:bCs/>
          <w:color w:val="23242B"/>
        </w:rPr>
        <w:t>4.1 Esclusioni comuni a tutti i processi</w:t>
      </w:r>
      <w:bookmarkEnd w:id="5"/>
    </w:p>
    <w:p w14:paraId="3181239F" w14:textId="77777777" w:rsidR="00BC774F" w:rsidRDefault="00000000">
      <w:pPr>
        <w:pStyle w:val="Paragrafoelenco"/>
        <w:numPr>
          <w:ilvl w:val="0"/>
          <w:numId w:val="2"/>
        </w:numPr>
        <w:spacing w:after="80" w:line="290" w:lineRule="auto"/>
      </w:pPr>
      <w:r>
        <w:t>Discovery, mappatura di processi ulteriori, scoring di portafoglio, redesign organizzativo, piani di comunicazione e reskilling.</w:t>
      </w:r>
    </w:p>
    <w:p w14:paraId="318123A0" w14:textId="77777777" w:rsidR="00BC774F" w:rsidRDefault="00000000">
      <w:pPr>
        <w:pStyle w:val="Paragrafoelenco"/>
        <w:numPr>
          <w:ilvl w:val="0"/>
          <w:numId w:val="2"/>
        </w:numPr>
        <w:spacing w:after="80" w:line="290" w:lineRule="auto"/>
      </w:pPr>
      <w:r>
        <w:t>Livelli di autonomia Assisted e Autonomous; passaggi di livello dopo la consegna.</w:t>
      </w:r>
    </w:p>
    <w:p w14:paraId="318123A1" w14:textId="77777777" w:rsidR="00BC774F" w:rsidRDefault="00000000">
      <w:pPr>
        <w:pStyle w:val="Paragrafoelenco"/>
        <w:numPr>
          <w:ilvl w:val="0"/>
          <w:numId w:val="2"/>
        </w:numPr>
        <w:spacing w:after="80" w:line="290" w:lineRule="auto"/>
      </w:pPr>
      <w:r>
        <w:t>Esercizio, monitoraggio, gestione incidenti ed evoluzione degli agenti dopo il gate di consegna, salvo il periodo di garanzia (sezione 9).</w:t>
      </w:r>
    </w:p>
    <w:p w14:paraId="318123A2" w14:textId="77777777" w:rsidR="00BC774F" w:rsidRDefault="00000000">
      <w:pPr>
        <w:pStyle w:val="Paragrafoelenco"/>
        <w:numPr>
          <w:ilvl w:val="0"/>
          <w:numId w:val="2"/>
        </w:numPr>
        <w:spacing w:after="80" w:line="290" w:lineRule="auto"/>
      </w:pPr>
      <w:r>
        <w:t>Realizzazione o modifica di piattaforma, identità, osservabilità e connettori non elencati come «da realizzare» in sezione 4.</w:t>
      </w:r>
    </w:p>
    <w:p w14:paraId="318123A3" w14:textId="77777777" w:rsidR="00BC774F" w:rsidRDefault="00000000">
      <w:pPr>
        <w:pStyle w:val="Paragrafoelenco"/>
        <w:numPr>
          <w:ilvl w:val="0"/>
          <w:numId w:val="2"/>
        </w:numPr>
        <w:spacing w:after="80" w:line="290" w:lineRule="auto"/>
      </w:pPr>
      <w:r>
        <w:t>Sviluppo o modifica dei sistemi del cliente, bonifica dei dati, licenze e consumi di piattaforma e modelli.</w:t>
      </w:r>
    </w:p>
    <w:p w14:paraId="318123A4" w14:textId="77777777" w:rsidR="00BC774F" w:rsidRDefault="00000000">
      <w:pPr>
        <w:pStyle w:val="Titolo1"/>
        <w:spacing w:before="420" w:after="160"/>
      </w:pPr>
      <w:bookmarkStart w:id="6" w:name="_Toc240012725"/>
      <w:r>
        <w:rPr>
          <w:b/>
          <w:bCs/>
          <w:color w:val="5E4F9C"/>
          <w:sz w:val="34"/>
          <w:szCs w:val="34"/>
        </w:rPr>
        <w:lastRenderedPageBreak/>
        <w:t>5. Deliverable e criteri di accettazione</w:t>
      </w:r>
      <w:bookmarkEnd w:id="6"/>
    </w:p>
    <w:p w14:paraId="318123A5" w14:textId="77777777" w:rsidR="00BC774F" w:rsidRDefault="00000000">
      <w:pPr>
        <w:spacing w:after="140" w:line="300" w:lineRule="auto"/>
      </w:pPr>
      <w:r>
        <w:t>Per ogni processo si applicano i deliverable seguenti (S.n). Il deliverable S.0 è unico per il SOW.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3470"/>
        <w:gridCol w:w="1157"/>
        <w:gridCol w:w="4240"/>
      </w:tblGrid>
      <w:tr w:rsidR="00BC774F" w14:paraId="318123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A6" w14:textId="77777777" w:rsidR="00BC774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470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A7" w14:textId="77777777" w:rsidR="00BC774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1157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A8" w14:textId="77777777" w:rsidR="00BC774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424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A9" w14:textId="77777777" w:rsidR="00BC774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Criterio di accettazione</w:t>
            </w:r>
          </w:p>
        </w:tc>
      </w:tr>
      <w:tr w:rsidR="00BC774F" w14:paraId="318123AF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AB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S.0</w:t>
            </w:r>
          </w:p>
        </w:tc>
        <w:tc>
          <w:tcPr>
            <w:tcW w:w="3470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AC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Verbale di verifica dei prerequisiti</w:t>
            </w:r>
          </w:p>
        </w:tc>
        <w:tc>
          <w:tcPr>
            <w:tcW w:w="1157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AD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Frame</w:t>
            </w:r>
          </w:p>
        </w:tc>
        <w:tc>
          <w:tcPr>
            <w:tcW w:w="424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AE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Sottoscritto dal responsabile interno; elenca conformità, non conformità e variazioni concordate</w:t>
            </w:r>
          </w:p>
        </w:tc>
      </w:tr>
      <w:tr w:rsidR="00BC774F" w14:paraId="318123B4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B0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S.1</w:t>
            </w:r>
          </w:p>
        </w:tc>
        <w:tc>
          <w:tcPr>
            <w:tcW w:w="3470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B1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Agent Specification</w:t>
            </w:r>
          </w:p>
        </w:tc>
        <w:tc>
          <w:tcPr>
            <w:tcW w:w="1157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B2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Frame</w:t>
            </w:r>
          </w:p>
        </w:tc>
        <w:tc>
          <w:tcPr>
            <w:tcW w:w="424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B3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Firmata dal process owner del cliente</w:t>
            </w:r>
          </w:p>
        </w:tc>
      </w:tr>
      <w:tr w:rsidR="00BC774F" w14:paraId="318123B9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B5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S.2</w:t>
            </w:r>
          </w:p>
        </w:tc>
        <w:tc>
          <w:tcPr>
            <w:tcW w:w="3470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B6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Eval set v1 e scheda metriche</w:t>
            </w:r>
          </w:p>
        </w:tc>
        <w:tc>
          <w:tcPr>
            <w:tcW w:w="1157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B7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Evaluate</w:t>
            </w:r>
          </w:p>
        </w:tc>
        <w:tc>
          <w:tcPr>
            <w:tcW w:w="424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B8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Casi forniti dal cliente; soglia di pass rate concordata per iscritto</w:t>
            </w:r>
          </w:p>
        </w:tc>
      </w:tr>
      <w:tr w:rsidR="00BC774F" w14:paraId="318123BE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BA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S.3</w:t>
            </w:r>
          </w:p>
        </w:tc>
        <w:tc>
          <w:tcPr>
            <w:tcW w:w="3470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BB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Connettori da realizzare (se previsti)</w:t>
            </w:r>
          </w:p>
        </w:tc>
        <w:tc>
          <w:tcPr>
            <w:tcW w:w="1157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BC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Build</w:t>
            </w:r>
          </w:p>
        </w:tc>
        <w:tc>
          <w:tcPr>
            <w:tcW w:w="424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BD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Test di contratto superati in ambiente di test</w:t>
            </w:r>
          </w:p>
        </w:tc>
      </w:tr>
      <w:tr w:rsidR="00BC774F" w14:paraId="318123C3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BF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S.4</w:t>
            </w:r>
          </w:p>
        </w:tc>
        <w:tc>
          <w:tcPr>
            <w:tcW w:w="3470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C0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Agente in ambiente di test</w:t>
            </w:r>
          </w:p>
        </w:tc>
        <w:tc>
          <w:tcPr>
            <w:tcW w:w="1157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C1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Build</w:t>
            </w:r>
          </w:p>
        </w:tc>
        <w:tc>
          <w:tcPr>
            <w:tcW w:w="424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C2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Esecuzione end-to-end dell'eval set; nessuna failure mode critica</w:t>
            </w:r>
          </w:p>
        </w:tc>
      </w:tr>
      <w:tr w:rsidR="00BC774F" w14:paraId="318123C8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C4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S.5</w:t>
            </w:r>
          </w:p>
        </w:tc>
        <w:tc>
          <w:tcPr>
            <w:tcW w:w="3470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C5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Agente sopra soglia, eval set v2, note di rilascio</w:t>
            </w:r>
          </w:p>
        </w:tc>
        <w:tc>
          <w:tcPr>
            <w:tcW w:w="1157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C6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Iterate</w:t>
            </w:r>
          </w:p>
        </w:tc>
        <w:tc>
          <w:tcPr>
            <w:tcW w:w="424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C7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Pass rate ≥ soglia in due esecuzioni consecutive</w:t>
            </w:r>
          </w:p>
        </w:tc>
      </w:tr>
      <w:tr w:rsidR="00BC774F" w14:paraId="318123CD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C9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S.6</w:t>
            </w:r>
          </w:p>
        </w:tc>
        <w:tc>
          <w:tcPr>
            <w:tcW w:w="3470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CA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Agente in esercizio in Co-pilot (Pilot)</w:t>
            </w:r>
          </w:p>
        </w:tc>
        <w:tc>
          <w:tcPr>
            <w:tcW w:w="1157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CB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Pilot</w:t>
            </w:r>
          </w:p>
        </w:tc>
        <w:tc>
          <w:tcPr>
            <w:tcW w:w="424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CC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Disponibile agli utenti indicati per almeno 2 settimane; tasso di correzione registrato</w:t>
            </w:r>
          </w:p>
        </w:tc>
      </w:tr>
      <w:tr w:rsidR="00BC774F" w14:paraId="318123D2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CE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S.7</w:t>
            </w:r>
          </w:p>
        </w:tc>
        <w:tc>
          <w:tcPr>
            <w:tcW w:w="3470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CF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Runbook e procedura di rollback</w:t>
            </w:r>
          </w:p>
        </w:tc>
        <w:tc>
          <w:tcPr>
            <w:tcW w:w="1157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D0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Consegna</w:t>
            </w:r>
          </w:p>
        </w:tc>
        <w:tc>
          <w:tcPr>
            <w:tcW w:w="424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D1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Prova di rollback eseguita con il responsabile interno</w:t>
            </w:r>
          </w:p>
        </w:tc>
      </w:tr>
      <w:tr w:rsidR="00BC774F" w14:paraId="318123D7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D3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S.8</w:t>
            </w:r>
          </w:p>
        </w:tc>
        <w:tc>
          <w:tcPr>
            <w:tcW w:w="3470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D4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Sessione di consegna (2 h) e registro aggiornato</w:t>
            </w:r>
          </w:p>
        </w:tc>
        <w:tc>
          <w:tcPr>
            <w:tcW w:w="1157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D5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Consegna</w:t>
            </w:r>
          </w:p>
        </w:tc>
        <w:tc>
          <w:tcPr>
            <w:tcW w:w="424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D6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Il responsabile interno esegue da solo l'eval set e legge le tracce</w:t>
            </w:r>
          </w:p>
        </w:tc>
      </w:tr>
      <w:tr w:rsidR="00BC774F" w14:paraId="318123DC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D8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S.9</w:t>
            </w:r>
          </w:p>
        </w:tc>
        <w:tc>
          <w:tcPr>
            <w:tcW w:w="3470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D9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Report di consegna</w:t>
            </w:r>
          </w:p>
        </w:tc>
        <w:tc>
          <w:tcPr>
            <w:tcW w:w="1157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DA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Consegna</w:t>
            </w:r>
          </w:p>
        </w:tc>
        <w:tc>
          <w:tcPr>
            <w:tcW w:w="424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DB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Pass rate, tasso di correzione, misura contro la baseline fornita dal cliente</w:t>
            </w:r>
          </w:p>
        </w:tc>
      </w:tr>
    </w:tbl>
    <w:p w14:paraId="318123DD" w14:textId="77777777" w:rsidR="00BC774F" w:rsidRDefault="00BC774F">
      <w:pPr>
        <w:spacing w:after="200"/>
      </w:pPr>
    </w:p>
    <w:p w14:paraId="318123DE" w14:textId="77777777" w:rsidR="00BC774F" w:rsidRDefault="00000000">
      <w:pPr>
        <w:spacing w:after="140" w:line="300" w:lineRule="auto"/>
      </w:pPr>
      <w:r>
        <w:t>La consegna di un processo è formalizzata con il gate di consegna (milestone MC-n): accettazione di S.5–S.9 secondo la sezione 9.</w:t>
      </w:r>
    </w:p>
    <w:p w14:paraId="318123DF" w14:textId="77777777" w:rsidR="00BC774F" w:rsidRDefault="00000000">
      <w:pPr>
        <w:pStyle w:val="Titolo1"/>
        <w:spacing w:before="420" w:after="160"/>
      </w:pPr>
      <w:bookmarkStart w:id="7" w:name="_Toc240012726"/>
      <w:r>
        <w:rPr>
          <w:b/>
          <w:bCs/>
          <w:color w:val="5E4F9C"/>
          <w:sz w:val="34"/>
          <w:szCs w:val="34"/>
        </w:rPr>
        <w:t>6. Piano temporale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3"/>
        <w:gridCol w:w="2716"/>
        <w:gridCol w:w="1091"/>
        <w:gridCol w:w="770"/>
        <w:gridCol w:w="957"/>
        <w:gridCol w:w="751"/>
        <w:gridCol w:w="804"/>
        <w:gridCol w:w="743"/>
        <w:gridCol w:w="1043"/>
      </w:tblGrid>
      <w:tr w:rsidR="00BC774F" w14:paraId="318123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E0" w14:textId="77777777" w:rsidR="00BC774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Taglia</w:t>
            </w:r>
          </w:p>
        </w:tc>
        <w:tc>
          <w:tcPr>
            <w:tcW w:w="3084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E1" w14:textId="77777777" w:rsidR="00BC774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Profilo</w:t>
            </w:r>
          </w:p>
        </w:tc>
        <w:tc>
          <w:tcPr>
            <w:tcW w:w="1157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E2" w14:textId="77777777" w:rsidR="00BC774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Durata</w:t>
            </w:r>
          </w:p>
        </w:tc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E3" w14:textId="77777777" w:rsidR="00BC774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Frame</w:t>
            </w:r>
          </w:p>
        </w:tc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E4" w14:textId="77777777" w:rsidR="00BC774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Evaluate</w:t>
            </w:r>
          </w:p>
        </w:tc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E5" w14:textId="77777777" w:rsidR="00BC774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Build</w:t>
            </w:r>
          </w:p>
        </w:tc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E6" w14:textId="77777777" w:rsidR="00BC774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Iterate</w:t>
            </w:r>
          </w:p>
        </w:tc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E7" w14:textId="77777777" w:rsidR="00BC774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Pilot</w:t>
            </w:r>
          </w:p>
        </w:tc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E8" w14:textId="77777777" w:rsidR="00BC774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Consegna</w:t>
            </w:r>
          </w:p>
        </w:tc>
      </w:tr>
      <w:tr w:rsidR="00BC774F" w14:paraId="318123F3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EA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3084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EB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Nativo o ibrido, 1 sistema, connettore esistente</w:t>
            </w:r>
          </w:p>
        </w:tc>
        <w:tc>
          <w:tcPr>
            <w:tcW w:w="1157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EC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3–4 sett.</w:t>
            </w:r>
          </w:p>
        </w:tc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ED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0,5</w:t>
            </w:r>
          </w:p>
        </w:tc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EE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0,5</w:t>
            </w:r>
          </w:p>
        </w:tc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EF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F0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0,5</w:t>
            </w:r>
          </w:p>
        </w:tc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F1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F2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0,5</w:t>
            </w:r>
          </w:p>
        </w:tc>
      </w:tr>
      <w:tr w:rsidR="00BC774F" w14:paraId="318123FD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F4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3084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F5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Custom, 1–2 sistemi con API, dati di media qualità</w:t>
            </w:r>
          </w:p>
        </w:tc>
        <w:tc>
          <w:tcPr>
            <w:tcW w:w="1157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F6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6–8 sett.</w:t>
            </w:r>
          </w:p>
        </w:tc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F7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F8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F9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FA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FB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FC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BC774F" w14:paraId="31812407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FE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3084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3FF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Custom, 2–3 sistemi di cui uno senza API, lavoro sui dati</w:t>
            </w:r>
          </w:p>
        </w:tc>
        <w:tc>
          <w:tcPr>
            <w:tcW w:w="1157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00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10–14 sett.</w:t>
            </w:r>
          </w:p>
        </w:tc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01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02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03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04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05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71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06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</w:t>
            </w:r>
          </w:p>
        </w:tc>
      </w:tr>
    </w:tbl>
    <w:p w14:paraId="31812408" w14:textId="77777777" w:rsidR="00BC774F" w:rsidRDefault="00BC774F">
      <w:pPr>
        <w:spacing w:after="200"/>
      </w:pPr>
    </w:p>
    <w:p w14:paraId="31812409" w14:textId="77777777" w:rsidR="00BC774F" w:rsidRDefault="00000000">
      <w:pPr>
        <w:pStyle w:val="Titolo3"/>
        <w:spacing w:before="220" w:after="80"/>
      </w:pPr>
      <w:r>
        <w:rPr>
          <w:b/>
          <w:bCs/>
          <w:color w:val="5E4F9C"/>
          <w:sz w:val="23"/>
          <w:szCs w:val="23"/>
        </w:rPr>
        <w:lastRenderedPageBreak/>
        <w:t>Esempio: due processi (M + S) in parallelo sfalsato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2"/>
        <w:gridCol w:w="842"/>
        <w:gridCol w:w="842"/>
        <w:gridCol w:w="842"/>
        <w:gridCol w:w="842"/>
        <w:gridCol w:w="842"/>
        <w:gridCol w:w="842"/>
        <w:gridCol w:w="842"/>
        <w:gridCol w:w="842"/>
      </w:tblGrid>
      <w:tr w:rsidR="00BC774F" w14:paraId="318124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0A" w14:textId="77777777" w:rsidR="00BC774F" w:rsidRDefault="00000000">
            <w:r>
              <w:rPr>
                <w:b/>
                <w:bCs/>
                <w:color w:val="FFFFFF"/>
                <w:sz w:val="17"/>
                <w:szCs w:val="17"/>
              </w:rPr>
              <w:t>Settimana</w:t>
            </w: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0B" w14:textId="77777777" w:rsidR="00BC774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</w:t>
            </w: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0C" w14:textId="77777777" w:rsidR="00BC774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2</w:t>
            </w: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0D" w14:textId="77777777" w:rsidR="00BC774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3</w:t>
            </w: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0E" w14:textId="77777777" w:rsidR="00BC774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0F" w14:textId="77777777" w:rsidR="00BC774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10" w14:textId="77777777" w:rsidR="00BC774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11" w14:textId="77777777" w:rsidR="00BC774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12" w14:textId="77777777" w:rsidR="00BC774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8</w:t>
            </w:r>
          </w:p>
        </w:tc>
      </w:tr>
      <w:tr w:rsidR="00BC774F" w14:paraId="3181241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14" w14:textId="77777777" w:rsidR="00BC774F" w:rsidRDefault="00000000">
            <w:r>
              <w:rPr>
                <w:b/>
                <w:bCs/>
                <w:sz w:val="17"/>
                <w:szCs w:val="17"/>
              </w:rPr>
              <w:t>Processo 1 (M) · Frame–Evaluate</w:t>
            </w: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15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16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17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18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19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1A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1B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1C" w14:textId="77777777" w:rsidR="00BC774F" w:rsidRDefault="00BC774F">
            <w:pPr>
              <w:jc w:val="center"/>
            </w:pPr>
          </w:p>
        </w:tc>
      </w:tr>
      <w:tr w:rsidR="00BC774F" w14:paraId="3181242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1E" w14:textId="77777777" w:rsidR="00BC774F" w:rsidRDefault="00000000">
            <w:r>
              <w:rPr>
                <w:b/>
                <w:bCs/>
                <w:sz w:val="17"/>
                <w:szCs w:val="17"/>
              </w:rPr>
              <w:t>Processo 1 (M) · Build–Iterate</w:t>
            </w: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1F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20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3092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21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3092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22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3092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23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24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25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26" w14:textId="77777777" w:rsidR="00BC774F" w:rsidRDefault="00BC774F">
            <w:pPr>
              <w:jc w:val="center"/>
            </w:pPr>
          </w:p>
        </w:tc>
      </w:tr>
      <w:tr w:rsidR="00BC774F" w14:paraId="3181243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28" w14:textId="77777777" w:rsidR="00BC774F" w:rsidRDefault="00000000">
            <w:r>
              <w:rPr>
                <w:b/>
                <w:bCs/>
                <w:sz w:val="17"/>
                <w:szCs w:val="17"/>
              </w:rPr>
              <w:t>Processo 1 (M) · Pilot e consegna</w:t>
            </w: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29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2A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2B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2C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2D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95C3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2E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95C3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2F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95C3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30" w14:textId="77777777" w:rsidR="00BC774F" w:rsidRDefault="00BC774F">
            <w:pPr>
              <w:jc w:val="center"/>
            </w:pPr>
          </w:p>
        </w:tc>
      </w:tr>
      <w:tr w:rsidR="00BC774F" w14:paraId="3181243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32" w14:textId="77777777" w:rsidR="00BC774F" w:rsidRDefault="00000000">
            <w:r>
              <w:rPr>
                <w:b/>
                <w:bCs/>
                <w:sz w:val="17"/>
                <w:szCs w:val="17"/>
              </w:rPr>
              <w:t>Processo 2 (S) · Frame–Evaluate</w:t>
            </w: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33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34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35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36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37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38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39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3A" w14:textId="77777777" w:rsidR="00BC774F" w:rsidRDefault="00BC774F">
            <w:pPr>
              <w:jc w:val="center"/>
            </w:pPr>
          </w:p>
        </w:tc>
      </w:tr>
      <w:tr w:rsidR="00BC774F" w14:paraId="3181244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3C" w14:textId="77777777" w:rsidR="00BC774F" w:rsidRDefault="00000000">
            <w:r>
              <w:rPr>
                <w:b/>
                <w:bCs/>
                <w:sz w:val="17"/>
                <w:szCs w:val="17"/>
              </w:rPr>
              <w:t>Processo 2 (S) · Build–Iterate</w:t>
            </w: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3D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3E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3F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3092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40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3092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41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42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43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44" w14:textId="77777777" w:rsidR="00BC774F" w:rsidRDefault="00BC774F">
            <w:pPr>
              <w:jc w:val="center"/>
            </w:pPr>
          </w:p>
        </w:tc>
      </w:tr>
      <w:tr w:rsidR="00BC774F" w14:paraId="3181244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46" w14:textId="77777777" w:rsidR="00BC774F" w:rsidRDefault="00000000">
            <w:r>
              <w:rPr>
                <w:b/>
                <w:bCs/>
                <w:sz w:val="17"/>
                <w:szCs w:val="17"/>
              </w:rPr>
              <w:t>Processo 2 (S) · Pilot e consegna</w:t>
            </w: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47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48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49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4A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4B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95C3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4C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95C3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4D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4E" w14:textId="77777777" w:rsidR="00BC774F" w:rsidRDefault="00BC774F">
            <w:pPr>
              <w:jc w:val="center"/>
            </w:pPr>
          </w:p>
        </w:tc>
      </w:tr>
      <w:tr w:rsidR="00BC774F" w14:paraId="3181245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50" w14:textId="77777777" w:rsidR="00BC774F" w:rsidRDefault="00000000">
            <w:r>
              <w:rPr>
                <w:b/>
                <w:bCs/>
                <w:sz w:val="17"/>
                <w:szCs w:val="17"/>
              </w:rPr>
              <w:t>Stato con il responsabile interno</w:t>
            </w: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51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83858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52" w14:textId="77777777" w:rsidR="00BC774F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</w:t>
            </w: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53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83858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54" w14:textId="77777777" w:rsidR="00BC774F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</w:t>
            </w: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55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83858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56" w14:textId="77777777" w:rsidR="00BC774F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</w:t>
            </w: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57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83858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58" w14:textId="77777777" w:rsidR="00BC774F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</w:t>
            </w:r>
          </w:p>
        </w:tc>
      </w:tr>
      <w:tr w:rsidR="00BC774F" w14:paraId="3181246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5A" w14:textId="77777777" w:rsidR="00BC774F" w:rsidRDefault="00000000">
            <w:r>
              <w:rPr>
                <w:b/>
                <w:bCs/>
                <w:sz w:val="17"/>
                <w:szCs w:val="17"/>
              </w:rPr>
              <w:t>Dipendenze dal cliente</w:t>
            </w: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4B4D5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5B" w14:textId="77777777" w:rsidR="00BC774F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5C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4B4D5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5D" w14:textId="77777777" w:rsidR="00BC774F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5E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5F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4B4D5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60" w14:textId="77777777" w:rsidR="00BC774F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61" w14:textId="77777777" w:rsidR="00BC774F" w:rsidRDefault="00BC774F">
            <w:pPr>
              <w:jc w:val="center"/>
            </w:pPr>
          </w:p>
        </w:tc>
        <w:tc>
          <w:tcPr>
            <w:tcW w:w="8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2462" w14:textId="77777777" w:rsidR="00BC774F" w:rsidRDefault="00BC774F">
            <w:pPr>
              <w:jc w:val="center"/>
            </w:pPr>
          </w:p>
        </w:tc>
      </w:tr>
    </w:tbl>
    <w:p w14:paraId="31812464" w14:textId="77777777" w:rsidR="00BC774F" w:rsidRDefault="00BC774F">
      <w:pPr>
        <w:spacing w:after="200"/>
      </w:pPr>
    </w:p>
    <w:p w14:paraId="31812465" w14:textId="77777777" w:rsidR="00BC774F" w:rsidRDefault="00000000">
      <w:pPr>
        <w:spacing w:after="140" w:line="300" w:lineRule="auto"/>
      </w:pPr>
      <w:r>
        <w:rPr>
          <w:i/>
          <w:iCs/>
          <w:color w:val="83858F"/>
          <w:sz w:val="19"/>
          <w:szCs w:val="19"/>
        </w:rPr>
        <w:t>Le settimane sono lavorative dalla data di avvio, che coincide con l'esito positivo di S.0. I processi in parallelo condividono il team: il piano definitivo è confermato nel verbale S.0.</w:t>
      </w:r>
    </w:p>
    <w:p w14:paraId="31812466" w14:textId="77777777" w:rsidR="00BC774F" w:rsidRDefault="00000000">
      <w:pPr>
        <w:pStyle w:val="Titolo1"/>
        <w:spacing w:before="420" w:after="160"/>
      </w:pPr>
      <w:bookmarkStart w:id="8" w:name="_Toc240012727"/>
      <w:r>
        <w:rPr>
          <w:b/>
          <w:bCs/>
          <w:color w:val="5E4F9C"/>
          <w:sz w:val="34"/>
          <w:szCs w:val="34"/>
        </w:rPr>
        <w:t>7. Responsabilità del cliente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97"/>
        <w:gridCol w:w="1735"/>
        <w:gridCol w:w="2506"/>
      </w:tblGrid>
      <w:tr w:rsidR="00BC774F" w14:paraId="318124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97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67" w14:textId="77777777" w:rsidR="00BC774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Responsabilità</w:t>
            </w:r>
          </w:p>
        </w:tc>
        <w:tc>
          <w:tcPr>
            <w:tcW w:w="1735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68" w14:textId="77777777" w:rsidR="00BC774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Entro</w:t>
            </w:r>
          </w:p>
        </w:tc>
        <w:tc>
          <w:tcPr>
            <w:tcW w:w="2506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69" w14:textId="77777777" w:rsidR="00BC774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Impatto se mancante</w:t>
            </w:r>
          </w:p>
        </w:tc>
      </w:tr>
      <w:tr w:rsidR="00BC774F" w14:paraId="3181246E" w14:textId="77777777">
        <w:tblPrEx>
          <w:tblCellMar>
            <w:top w:w="0" w:type="dxa"/>
            <w:bottom w:w="0" w:type="dxa"/>
          </w:tblCellMar>
        </w:tblPrEx>
        <w:tc>
          <w:tcPr>
            <w:tcW w:w="5397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6B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Responsabile interno degli agenti e process owner per ogni processo</w:t>
            </w:r>
          </w:p>
        </w:tc>
        <w:tc>
          <w:tcPr>
            <w:tcW w:w="1735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6C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alla firma</w:t>
            </w:r>
          </w:p>
        </w:tc>
        <w:tc>
          <w:tcPr>
            <w:tcW w:w="2506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6D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Avvio posticipato</w:t>
            </w:r>
          </w:p>
        </w:tc>
      </w:tr>
      <w:tr w:rsidR="00BC774F" w14:paraId="31812472" w14:textId="77777777">
        <w:tblPrEx>
          <w:tblCellMar>
            <w:top w:w="0" w:type="dxa"/>
            <w:bottom w:w="0" w:type="dxa"/>
          </w:tblCellMar>
        </w:tblPrEx>
        <w:tc>
          <w:tcPr>
            <w:tcW w:w="5397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6F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Accessi a piattaforma, identità, osservabilità e connettori esistenti (sezione 3)</w:t>
            </w:r>
          </w:p>
        </w:tc>
        <w:tc>
          <w:tcPr>
            <w:tcW w:w="1735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70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5 giorni lavorativi</w:t>
            </w:r>
          </w:p>
        </w:tc>
        <w:tc>
          <w:tcPr>
            <w:tcW w:w="2506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71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S.0 non eseguibile</w:t>
            </w:r>
          </w:p>
        </w:tc>
      </w:tr>
      <w:tr w:rsidR="00BC774F" w14:paraId="31812476" w14:textId="77777777">
        <w:tblPrEx>
          <w:tblCellMar>
            <w:top w:w="0" w:type="dxa"/>
            <w:bottom w:w="0" w:type="dxa"/>
          </w:tblCellMar>
        </w:tblPrEx>
        <w:tc>
          <w:tcPr>
            <w:tcW w:w="5397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73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Credenziali applicative per i sistemi in perimetro, ambiente di test</w:t>
            </w:r>
          </w:p>
        </w:tc>
        <w:tc>
          <w:tcPr>
            <w:tcW w:w="1735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74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10 giorni lavorativi</w:t>
            </w:r>
          </w:p>
        </w:tc>
        <w:tc>
          <w:tcPr>
            <w:tcW w:w="2506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75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Slittamento del Build di pari durata</w:t>
            </w:r>
          </w:p>
        </w:tc>
      </w:tr>
      <w:tr w:rsidR="00BC774F" w14:paraId="3181247A" w14:textId="77777777">
        <w:tblPrEx>
          <w:tblCellMar>
            <w:top w:w="0" w:type="dxa"/>
            <w:bottom w:w="0" w:type="dxa"/>
          </w:tblCellMar>
        </w:tblPrEx>
        <w:tc>
          <w:tcPr>
            <w:tcW w:w="5397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77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20–50 casi reali con esito atteso per processo</w:t>
            </w:r>
          </w:p>
        </w:tc>
        <w:tc>
          <w:tcPr>
            <w:tcW w:w="1735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78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fine dello stage Frame</w:t>
            </w:r>
          </w:p>
        </w:tc>
        <w:tc>
          <w:tcPr>
            <w:tcW w:w="2506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79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Evaluate non chiudibile</w:t>
            </w:r>
          </w:p>
        </w:tc>
      </w:tr>
      <w:tr w:rsidR="00BC774F" w14:paraId="3181247E" w14:textId="77777777">
        <w:tblPrEx>
          <w:tblCellMar>
            <w:top w:w="0" w:type="dxa"/>
            <w:bottom w:w="0" w:type="dxa"/>
          </w:tblCellMar>
        </w:tblPrEx>
        <w:tc>
          <w:tcPr>
            <w:tcW w:w="5397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7B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Baseline per processo (valori e fonte)</w:t>
            </w:r>
          </w:p>
        </w:tc>
        <w:tc>
          <w:tcPr>
            <w:tcW w:w="1735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7C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fine dello stage Frame</w:t>
            </w:r>
          </w:p>
        </w:tc>
        <w:tc>
          <w:tcPr>
            <w:tcW w:w="2506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7D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Report di consegna senza misura di valore</w:t>
            </w:r>
          </w:p>
        </w:tc>
      </w:tr>
      <w:tr w:rsidR="00BC774F" w14:paraId="31812482" w14:textId="77777777">
        <w:tblPrEx>
          <w:tblCellMar>
            <w:top w:w="0" w:type="dxa"/>
            <w:bottom w:w="0" w:type="dxa"/>
          </w:tblCellMar>
        </w:tblPrEx>
        <w:tc>
          <w:tcPr>
            <w:tcW w:w="5397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7F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Utenti del Pilot disponibili; accessi in produzione con permessi limitati</w:t>
            </w:r>
          </w:p>
        </w:tc>
        <w:tc>
          <w:tcPr>
            <w:tcW w:w="1735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80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inizio del Pilot</w:t>
            </w:r>
          </w:p>
        </w:tc>
        <w:tc>
          <w:tcPr>
            <w:tcW w:w="2506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81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Slittamento del Pilot</w:t>
            </w:r>
          </w:p>
        </w:tc>
      </w:tr>
      <w:tr w:rsidR="00BC774F" w14:paraId="31812486" w14:textId="77777777">
        <w:tblPrEx>
          <w:tblCellMar>
            <w:top w:w="0" w:type="dxa"/>
            <w:bottom w:w="0" w:type="dxa"/>
          </w:tblCellMar>
        </w:tblPrEx>
        <w:tc>
          <w:tcPr>
            <w:tcW w:w="5397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83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Osservazioni sui deliverable e decisione al gate di consegna</w:t>
            </w:r>
          </w:p>
        </w:tc>
        <w:tc>
          <w:tcPr>
            <w:tcW w:w="1735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84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5 giorni lavorativi</w:t>
            </w:r>
          </w:p>
        </w:tc>
        <w:tc>
          <w:tcPr>
            <w:tcW w:w="2506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85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Accettazione tacita; sospensione</w:t>
            </w:r>
          </w:p>
        </w:tc>
      </w:tr>
      <w:tr w:rsidR="00BC774F" w14:paraId="3181248A" w14:textId="77777777">
        <w:tblPrEx>
          <w:tblCellMar>
            <w:top w:w="0" w:type="dxa"/>
            <w:bottom w:w="0" w:type="dxa"/>
          </w:tblCellMar>
        </w:tblPrEx>
        <w:tc>
          <w:tcPr>
            <w:tcW w:w="5397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87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Referente privacy se trattati dati personali</w:t>
            </w:r>
          </w:p>
        </w:tc>
        <w:tc>
          <w:tcPr>
            <w:tcW w:w="1735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88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alla firma</w:t>
            </w:r>
          </w:p>
        </w:tc>
        <w:tc>
          <w:tcPr>
            <w:tcW w:w="2506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89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DPIA non eseguibile; processo escluso</w:t>
            </w:r>
          </w:p>
        </w:tc>
      </w:tr>
    </w:tbl>
    <w:p w14:paraId="3181248B" w14:textId="77777777" w:rsidR="00BC774F" w:rsidRDefault="00BC774F">
      <w:pPr>
        <w:spacing w:after="200"/>
      </w:pPr>
    </w:p>
    <w:p w14:paraId="3181248C" w14:textId="77777777" w:rsidR="00BC774F" w:rsidRDefault="00000000">
      <w:pPr>
        <w:pStyle w:val="Titolo1"/>
        <w:spacing w:before="420" w:after="160"/>
      </w:pPr>
      <w:bookmarkStart w:id="9" w:name="_Toc240012728"/>
      <w:r>
        <w:rPr>
          <w:b/>
          <w:bCs/>
          <w:color w:val="5E4F9C"/>
          <w:sz w:val="34"/>
          <w:szCs w:val="34"/>
        </w:rPr>
        <w:t>8. Assunzioni e variazioni</w:t>
      </w:r>
      <w:bookmarkEnd w:id="9"/>
    </w:p>
    <w:p w14:paraId="3181248D" w14:textId="77777777" w:rsidR="00BC774F" w:rsidRDefault="00000000">
      <w:pPr>
        <w:pStyle w:val="Paragrafoelenco"/>
        <w:numPr>
          <w:ilvl w:val="0"/>
          <w:numId w:val="2"/>
        </w:numPr>
        <w:spacing w:after="80" w:line="290" w:lineRule="auto"/>
      </w:pPr>
      <w:r>
        <w:lastRenderedPageBreak/>
        <w:t>I prerequisiti di sezione 3 sono conformi alla data di avvio; le non conformità rilevate in S.0 sono variazioni.</w:t>
      </w:r>
    </w:p>
    <w:p w14:paraId="3181248E" w14:textId="77777777" w:rsidR="00BC774F" w:rsidRDefault="00000000">
      <w:pPr>
        <w:pStyle w:val="Paragrafoelenco"/>
        <w:numPr>
          <w:ilvl w:val="0"/>
          <w:numId w:val="2"/>
        </w:numPr>
        <w:spacing w:after="80" w:line="290" w:lineRule="auto"/>
      </w:pPr>
      <w:r>
        <w:t>I connettori esistenti espongono le operazioni necessarie; se mancano operazioni, la loro realizzazione è una variazione o, se il connettore è di terzi, una responsabilità del cliente.</w:t>
      </w:r>
    </w:p>
    <w:p w14:paraId="3181248F" w14:textId="77777777" w:rsidR="00BC774F" w:rsidRDefault="00000000">
      <w:pPr>
        <w:pStyle w:val="Paragrafoelenco"/>
        <w:numPr>
          <w:ilvl w:val="0"/>
          <w:numId w:val="2"/>
        </w:numPr>
        <w:spacing w:after="80" w:line="290" w:lineRule="auto"/>
      </w:pPr>
      <w:r>
        <w:t>Licenze e consumi di piattaforma e modelli sono a carico del cliente.</w:t>
      </w:r>
    </w:p>
    <w:p w14:paraId="31812490" w14:textId="77777777" w:rsidR="00BC774F" w:rsidRDefault="00000000">
      <w:pPr>
        <w:pStyle w:val="Paragrafoelenco"/>
        <w:numPr>
          <w:ilvl w:val="0"/>
          <w:numId w:val="2"/>
        </w:numPr>
        <w:spacing w:after="80" w:line="290" w:lineRule="auto"/>
      </w:pPr>
      <w:r>
        <w:t>La qualità dei dati è quella dichiarata dal cliente; se lo stage Evaluate rivela dati insufficienti a costruire l'eval set, il processo è sospeso o ridimensionato con variazione.</w:t>
      </w:r>
    </w:p>
    <w:p w14:paraId="31812491" w14:textId="77777777" w:rsidR="00BC774F" w:rsidRDefault="00000000">
      <w:pPr>
        <w:pStyle w:val="Paragrafoelenco"/>
        <w:numPr>
          <w:ilvl w:val="0"/>
          <w:numId w:val="2"/>
        </w:numPr>
        <w:spacing w:after="80" w:line="290" w:lineRule="auto"/>
      </w:pPr>
      <w:r>
        <w:t>Le attività si svolgono in remoto, in italiano; sessioni in presenza solo se indicate in sezione 10.</w:t>
      </w:r>
    </w:p>
    <w:p w14:paraId="31812492" w14:textId="77777777" w:rsidR="00BC774F" w:rsidRDefault="00000000">
      <w:pPr>
        <w:pStyle w:val="Paragrafoelenco"/>
        <w:numPr>
          <w:ilvl w:val="0"/>
          <w:numId w:val="2"/>
        </w:numPr>
        <w:spacing w:after="80" w:line="290" w:lineRule="auto"/>
      </w:pPr>
      <w:r>
        <w:t>Variazioni e sospensioni: richiesta scritta con impatto su durata e investimento, efficace dopo accettazione di entrambe le parti. Dipendenze del cliente mancanti oltre 5 giorni lavorativi: sospensione e slittamento di pari durata; oltre 30 giorni: fatturazione delle attività svolte.</w:t>
      </w:r>
    </w:p>
    <w:p w14:paraId="31812493" w14:textId="77777777" w:rsidR="00BC774F" w:rsidRDefault="00000000">
      <w:pPr>
        <w:pStyle w:val="Paragrafoelenco"/>
        <w:numPr>
          <w:ilvl w:val="0"/>
          <w:numId w:val="2"/>
        </w:numPr>
        <w:spacing w:after="80" w:line="290" w:lineRule="auto"/>
      </w:pPr>
      <w:r>
        <w:t>Se un processo viene escluso dopo l'avvio per cause non imputabili a Hevolus, sono dovuti i corrispettivi degli stage completati e dei deliverable consegnati, pro quota sulle milestone.</w:t>
      </w:r>
    </w:p>
    <w:p w14:paraId="31812494" w14:textId="77777777" w:rsidR="00BC774F" w:rsidRDefault="00000000">
      <w:pPr>
        <w:pStyle w:val="Titolo1"/>
        <w:spacing w:before="420" w:after="160"/>
      </w:pPr>
      <w:bookmarkStart w:id="10" w:name="_Toc240012729"/>
      <w:r>
        <w:rPr>
          <w:b/>
          <w:bCs/>
          <w:color w:val="5E4F9C"/>
          <w:sz w:val="34"/>
          <w:szCs w:val="34"/>
        </w:rPr>
        <w:t>9. Accettazione e garanzia</w:t>
      </w:r>
      <w:bookmarkEnd w:id="10"/>
    </w:p>
    <w:p w14:paraId="31812495" w14:textId="77777777" w:rsidR="00BC774F" w:rsidRDefault="00000000">
      <w:pPr>
        <w:pStyle w:val="Paragrafoelenco"/>
        <w:numPr>
          <w:ilvl w:val="0"/>
          <w:numId w:val="3"/>
        </w:numPr>
        <w:spacing w:after="80" w:line="290" w:lineRule="auto"/>
      </w:pPr>
      <w:r>
        <w:t>Ogni deliverable è consegnato tramite repository o orchestratore con comunicazione al referente del cliente.</w:t>
      </w:r>
    </w:p>
    <w:p w14:paraId="31812496" w14:textId="77777777" w:rsidR="00BC774F" w:rsidRDefault="00000000">
      <w:pPr>
        <w:pStyle w:val="Paragrafoelenco"/>
        <w:numPr>
          <w:ilvl w:val="0"/>
          <w:numId w:val="3"/>
        </w:numPr>
        <w:spacing w:after="80" w:line="290" w:lineRule="auto"/>
      </w:pPr>
      <w:r>
        <w:t>Il cliente formula osservazioni scritte entro 5 giorni lavorativi, riferite ai criteri di sezione 5; Hevolus corregge entro 5 giorni lavorativi; un solo ciclo.</w:t>
      </w:r>
    </w:p>
    <w:p w14:paraId="31812497" w14:textId="77777777" w:rsidR="00BC774F" w:rsidRDefault="00000000">
      <w:pPr>
        <w:pStyle w:val="Paragrafoelenco"/>
        <w:numPr>
          <w:ilvl w:val="0"/>
          <w:numId w:val="3"/>
        </w:numPr>
        <w:spacing w:after="80" w:line="290" w:lineRule="auto"/>
      </w:pPr>
      <w:r>
        <w:t>In assenza di osservazioni nei termini il deliverable è accettato. La milestone MC-n è formalizzata con il verbale del gate di consegna.</w:t>
      </w:r>
    </w:p>
    <w:p w14:paraId="31812498" w14:textId="77777777" w:rsidR="00BC774F" w:rsidRDefault="00000000">
      <w:pPr>
        <w:pStyle w:val="Paragrafoelenco"/>
        <w:numPr>
          <w:ilvl w:val="0"/>
          <w:numId w:val="3"/>
        </w:numPr>
        <w:spacing w:after="80" w:line="290" w:lineRule="auto"/>
      </w:pPr>
      <w:r>
        <w:t>Garanzia: per 30 giorni dal gate di consegna Hevolus corregge senza costi le difformità dell'agente rispetto all'Agent Specification riscontrate sull'eval set consegnato, purché non derivino da modifiche a sistemi, connettori, piattaforma, dati o configurazioni effettuate da terzi o dal cliente. Oltre tale periodo l'evoluzione è oggetto di Membership o di nuovo SOW.</w:t>
      </w:r>
    </w:p>
    <w:p w14:paraId="31812499" w14:textId="77777777" w:rsidR="00BC774F" w:rsidRDefault="00BC774F">
      <w:pPr>
        <w:spacing w:after="200"/>
      </w:pPr>
    </w:p>
    <w:p w14:paraId="3181249A" w14:textId="77777777" w:rsidR="00BC774F" w:rsidRDefault="00000000">
      <w:pPr>
        <w:pStyle w:val="Titolo1"/>
        <w:spacing w:before="420" w:after="160"/>
      </w:pPr>
      <w:bookmarkStart w:id="11" w:name="_Toc240012730"/>
      <w:r>
        <w:rPr>
          <w:b/>
          <w:bCs/>
          <w:color w:val="5E4F9C"/>
          <w:sz w:val="34"/>
          <w:szCs w:val="34"/>
        </w:rPr>
        <w:t>10. Investimento e condizioni economiche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774F" w14:paraId="318124A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5E4F9C"/>
              <w:bottom w:val="none" w:sz="0" w:space="0" w:color="FFFFFF"/>
              <w:right w:val="none" w:sz="0" w:space="0" w:color="FFFFFF"/>
            </w:tcBorders>
            <w:shd w:val="clear" w:color="auto" w:fill="F3F2F8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3181249B" w14:textId="77777777" w:rsidR="00BC774F" w:rsidRDefault="00000000">
            <w:pPr>
              <w:spacing w:after="80"/>
            </w:pPr>
            <w:r>
              <w:rPr>
                <w:b/>
                <w:bCs/>
                <w:color w:val="5E4F9C"/>
              </w:rPr>
              <w:t>Corrispettivi (IVA esclusa), a corpo per processo</w:t>
            </w:r>
          </w:p>
          <w:p w14:paraId="3181249C" w14:textId="77777777" w:rsidR="00BC774F" w:rsidRDefault="00000000">
            <w:pPr>
              <w:spacing w:after="60" w:line="280" w:lineRule="auto"/>
            </w:pPr>
            <w:r>
              <w:rPr>
                <w:b/>
                <w:bCs/>
                <w:color w:val="4B4D57"/>
                <w:sz w:val="21"/>
                <w:szCs w:val="21"/>
              </w:rPr>
              <w:t xml:space="preserve">Processo 1 (taglia </w:t>
            </w:r>
            <w:r>
              <w:rPr>
                <w:i/>
                <w:iCs/>
                <w:color w:val="4B4D57"/>
                <w:sz w:val="21"/>
                <w:szCs w:val="21"/>
              </w:rPr>
              <w:t>[S/M/L]</w:t>
            </w:r>
            <w:r>
              <w:rPr>
                <w:b/>
                <w:bCs/>
                <w:color w:val="4B4D57"/>
                <w:sz w:val="21"/>
                <w:szCs w:val="21"/>
              </w:rPr>
              <w:t xml:space="preserve">): </w:t>
            </w:r>
            <w:r>
              <w:rPr>
                <w:i/>
                <w:iCs/>
                <w:color w:val="4B4D57"/>
                <w:sz w:val="21"/>
                <w:szCs w:val="21"/>
              </w:rPr>
              <w:t>[importo]</w:t>
            </w:r>
          </w:p>
          <w:p w14:paraId="3181249D" w14:textId="77777777" w:rsidR="00BC774F" w:rsidRDefault="00000000">
            <w:pPr>
              <w:spacing w:after="60" w:line="280" w:lineRule="auto"/>
            </w:pPr>
            <w:r>
              <w:rPr>
                <w:b/>
                <w:bCs/>
                <w:color w:val="4B4D57"/>
                <w:sz w:val="21"/>
                <w:szCs w:val="21"/>
              </w:rPr>
              <w:t xml:space="preserve">Processo 2 (taglia </w:t>
            </w:r>
            <w:r>
              <w:rPr>
                <w:i/>
                <w:iCs/>
                <w:color w:val="4B4D57"/>
                <w:sz w:val="21"/>
                <w:szCs w:val="21"/>
              </w:rPr>
              <w:t>[S/M/L]</w:t>
            </w:r>
            <w:r>
              <w:rPr>
                <w:b/>
                <w:bCs/>
                <w:color w:val="4B4D57"/>
                <w:sz w:val="21"/>
                <w:szCs w:val="21"/>
              </w:rPr>
              <w:t xml:space="preserve">): </w:t>
            </w:r>
            <w:r>
              <w:rPr>
                <w:i/>
                <w:iCs/>
                <w:color w:val="4B4D57"/>
                <w:sz w:val="21"/>
                <w:szCs w:val="21"/>
              </w:rPr>
              <w:t>[importo]</w:t>
            </w:r>
          </w:p>
          <w:p w14:paraId="3181249E" w14:textId="77777777" w:rsidR="00BC774F" w:rsidRDefault="00000000">
            <w:pPr>
              <w:spacing w:after="60" w:line="280" w:lineRule="auto"/>
            </w:pPr>
            <w:r>
              <w:rPr>
                <w:b/>
                <w:bCs/>
                <w:color w:val="4B4D57"/>
                <w:sz w:val="21"/>
                <w:szCs w:val="21"/>
              </w:rPr>
              <w:t xml:space="preserve">Connettori da realizzare [opz.]: </w:t>
            </w:r>
            <w:r>
              <w:rPr>
                <w:i/>
                <w:iCs/>
                <w:color w:val="4B4D57"/>
                <w:sz w:val="21"/>
                <w:szCs w:val="21"/>
              </w:rPr>
              <w:t>[importo per connettore]</w:t>
            </w:r>
          </w:p>
          <w:p w14:paraId="3181249F" w14:textId="77777777" w:rsidR="00BC774F" w:rsidRDefault="00000000">
            <w:pPr>
              <w:spacing w:after="60" w:line="280" w:lineRule="auto"/>
            </w:pPr>
            <w:r>
              <w:rPr>
                <w:b/>
                <w:bCs/>
                <w:color w:val="4B4D57"/>
                <w:sz w:val="21"/>
                <w:szCs w:val="21"/>
              </w:rPr>
              <w:t xml:space="preserve">Totale SOW: </w:t>
            </w:r>
            <w:r>
              <w:rPr>
                <w:i/>
                <w:iCs/>
                <w:color w:val="4B4D57"/>
                <w:sz w:val="21"/>
                <w:szCs w:val="21"/>
              </w:rPr>
              <w:t>[importo]</w:t>
            </w:r>
          </w:p>
          <w:p w14:paraId="318124A0" w14:textId="77777777" w:rsidR="00BC774F" w:rsidRDefault="00000000">
            <w:pPr>
              <w:spacing w:after="60" w:line="280" w:lineRule="auto"/>
            </w:pPr>
            <w:r>
              <w:rPr>
                <w:b/>
                <w:bCs/>
                <w:color w:val="4B4D57"/>
                <w:sz w:val="21"/>
                <w:szCs w:val="21"/>
              </w:rPr>
              <w:t xml:space="preserve">Esercizio: </w:t>
            </w:r>
            <w:r>
              <w:rPr>
                <w:color w:val="4B4D57"/>
                <w:sz w:val="21"/>
                <w:szCs w:val="21"/>
              </w:rPr>
              <w:t>consumi di piattaforma e modelli a listino, a carico del cliente</w:t>
            </w:r>
          </w:p>
        </w:tc>
      </w:tr>
    </w:tbl>
    <w:p w14:paraId="318124A2" w14:textId="77777777" w:rsidR="00BC774F" w:rsidRDefault="00BC774F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1542"/>
        <w:gridCol w:w="5590"/>
      </w:tblGrid>
      <w:tr w:rsidR="00BC774F" w14:paraId="318124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6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A3" w14:textId="77777777" w:rsidR="00BC774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Fatturazione</w:t>
            </w:r>
          </w:p>
        </w:tc>
        <w:tc>
          <w:tcPr>
            <w:tcW w:w="15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A4" w14:textId="77777777" w:rsidR="00BC774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Quota</w:t>
            </w:r>
          </w:p>
        </w:tc>
        <w:tc>
          <w:tcPr>
            <w:tcW w:w="5590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5E4F9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A5" w14:textId="77777777" w:rsidR="00BC774F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Evento</w:t>
            </w:r>
          </w:p>
        </w:tc>
      </w:tr>
      <w:tr w:rsidR="00BC774F" w14:paraId="318124AA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A7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Per ogni processo</w:t>
            </w:r>
          </w:p>
        </w:tc>
        <w:tc>
          <w:tcPr>
            <w:tcW w:w="15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A8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5590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A9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All'esito positivo di S.0 (avvio)</w:t>
            </w:r>
          </w:p>
        </w:tc>
      </w:tr>
      <w:tr w:rsidR="00BC774F" w14:paraId="318124AE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AB" w14:textId="77777777" w:rsidR="00BC774F" w:rsidRDefault="00BC774F">
            <w:pPr>
              <w:spacing w:after="40" w:line="260" w:lineRule="auto"/>
            </w:pPr>
          </w:p>
        </w:tc>
        <w:tc>
          <w:tcPr>
            <w:tcW w:w="15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AC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5590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AD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Alla consegna di S.5 (agente sopra soglia)</w:t>
            </w:r>
          </w:p>
        </w:tc>
      </w:tr>
      <w:tr w:rsidR="00BC774F" w14:paraId="318124B2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AF" w14:textId="77777777" w:rsidR="00BC774F" w:rsidRDefault="00BC774F">
            <w:pPr>
              <w:spacing w:after="40" w:line="260" w:lineRule="auto"/>
            </w:pPr>
          </w:p>
        </w:tc>
        <w:tc>
          <w:tcPr>
            <w:tcW w:w="15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B0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5590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B1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Alla milestone MC-n (gate di consegna)</w:t>
            </w:r>
          </w:p>
        </w:tc>
      </w:tr>
      <w:tr w:rsidR="00BC774F" w14:paraId="318124B6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B3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Connettori da realizzare</w:t>
            </w:r>
          </w:p>
        </w:tc>
        <w:tc>
          <w:tcPr>
            <w:tcW w:w="1542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B4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5590" w:type="dxa"/>
            <w:tcBorders>
              <w:top w:val="single" w:sz="4" w:space="0" w:color="DEDCE8"/>
              <w:left w:val="single" w:sz="4" w:space="0" w:color="DEDCE8"/>
              <w:bottom w:val="single" w:sz="4" w:space="0" w:color="DEDCE8"/>
              <w:right w:val="single" w:sz="4" w:space="0" w:color="DEDCE8"/>
            </w:tcBorders>
            <w:shd w:val="clear" w:color="auto" w:fill="F3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24B5" w14:textId="77777777" w:rsidR="00BC774F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Alla consegna di S.3</w:t>
            </w:r>
          </w:p>
        </w:tc>
      </w:tr>
    </w:tbl>
    <w:p w14:paraId="318124B7" w14:textId="77777777" w:rsidR="00BC774F" w:rsidRDefault="00BC774F">
      <w:pPr>
        <w:spacing w:after="200"/>
      </w:pPr>
    </w:p>
    <w:p w14:paraId="318124B8" w14:textId="77777777" w:rsidR="00BC774F" w:rsidRDefault="00000000">
      <w:pPr>
        <w:pStyle w:val="Paragrafoelenco"/>
        <w:numPr>
          <w:ilvl w:val="0"/>
          <w:numId w:val="2"/>
        </w:numPr>
        <w:spacing w:after="80" w:line="290" w:lineRule="auto"/>
      </w:pPr>
      <w:r>
        <w:t>Pagamento a 30 giorni data fattura; interessi di legge in caso di ritardo; sospensione delle attività dopo 15 giorni dal sollecito scritto.</w:t>
      </w:r>
    </w:p>
    <w:p w14:paraId="318124B9" w14:textId="77777777" w:rsidR="00BC774F" w:rsidRDefault="00000000">
      <w:pPr>
        <w:pStyle w:val="Paragrafoelenco"/>
        <w:numPr>
          <w:ilvl w:val="0"/>
          <w:numId w:val="2"/>
        </w:numPr>
        <w:spacing w:after="80" w:line="290" w:lineRule="auto"/>
      </w:pPr>
      <w:r>
        <w:t xml:space="preserve">Spese di trasferta oltre </w:t>
      </w:r>
      <w:r>
        <w:rPr>
          <w:i/>
          <w:iCs/>
        </w:rPr>
        <w:t>[n]</w:t>
      </w:r>
      <w:r>
        <w:t xml:space="preserve"> giornate in presenza incluse: a piè di lista previa approvazione.</w:t>
      </w:r>
    </w:p>
    <w:p w14:paraId="318124BA" w14:textId="77777777" w:rsidR="00BC774F" w:rsidRDefault="00000000">
      <w:pPr>
        <w:pStyle w:val="Paragrafoelenco"/>
        <w:numPr>
          <w:ilvl w:val="0"/>
          <w:numId w:val="2"/>
        </w:numPr>
        <w:spacing w:after="80" w:line="290" w:lineRule="auto"/>
      </w:pPr>
      <w:r>
        <w:t>Validità dei prezzi per taglia: 12 mesi dalla firma, per SOW successivi con prerequisiti invariati.</w:t>
      </w:r>
    </w:p>
    <w:p w14:paraId="318124BB" w14:textId="77777777" w:rsidR="00BC774F" w:rsidRDefault="00000000">
      <w:pPr>
        <w:pStyle w:val="Titolo1"/>
        <w:spacing w:before="420" w:after="160"/>
      </w:pPr>
      <w:bookmarkStart w:id="12" w:name="_Toc240012731"/>
      <w:r>
        <w:rPr>
          <w:b/>
          <w:bCs/>
          <w:color w:val="5E4F9C"/>
          <w:sz w:val="34"/>
          <w:szCs w:val="34"/>
        </w:rPr>
        <w:t>11. Condizioni contrattuali</w:t>
      </w:r>
      <w:bookmarkEnd w:id="12"/>
    </w:p>
    <w:p w14:paraId="318124BC" w14:textId="77777777" w:rsidR="00BC774F" w:rsidRDefault="00000000">
      <w:pPr>
        <w:spacing w:after="140" w:line="300" w:lineRule="auto"/>
      </w:pPr>
      <w:r>
        <w:rPr>
          <w:i/>
          <w:iCs/>
          <w:color w:val="83858F"/>
          <w:sz w:val="19"/>
          <w:szCs w:val="19"/>
        </w:rPr>
        <w:t>Mantenere una sola variante. Base da validare dal consulente legale di Hevolus prima del primo utilizzo del modello.</w:t>
      </w:r>
    </w:p>
    <w:p w14:paraId="318124BD" w14:textId="77777777" w:rsidR="00BC774F" w:rsidRDefault="00000000">
      <w:pPr>
        <w:pStyle w:val="Titolo2"/>
        <w:spacing w:before="300" w:after="120"/>
      </w:pPr>
      <w:bookmarkStart w:id="13" w:name="_Toc240012732"/>
      <w:r>
        <w:rPr>
          <w:b/>
          <w:bCs/>
          <w:color w:val="23242B"/>
        </w:rPr>
        <w:t>11.A In continuità con la proposta di riferimento</w:t>
      </w:r>
      <w:bookmarkEnd w:id="13"/>
    </w:p>
    <w:p w14:paraId="318124BE" w14:textId="77777777" w:rsidR="00BC774F" w:rsidRDefault="00000000">
      <w:pPr>
        <w:spacing w:after="140" w:line="300" w:lineRule="auto"/>
      </w:pPr>
      <w:r>
        <w:t xml:space="preserve">Al presente SOW si applicano le condizioni della proposta </w:t>
      </w:r>
      <w:r>
        <w:rPr>
          <w:i/>
          <w:iCs/>
        </w:rPr>
        <w:t>[HEV-AAAA-nnn]</w:t>
      </w:r>
      <w:r>
        <w:t xml:space="preserve"> sottoscritta tra le parti (proprietà intellettuale, riservatezza e dati, garanzie e responsabilità, durata e recesso, altre condizioni), che si intendono qui integralmente richiamate. In caso di contrasto prevale il presente SOW per il solo perimetro qui descritto.</w:t>
      </w:r>
    </w:p>
    <w:p w14:paraId="318124BF" w14:textId="77777777" w:rsidR="00BC774F" w:rsidRDefault="00000000">
      <w:pPr>
        <w:pStyle w:val="Titolo2"/>
        <w:spacing w:before="300" w:after="120"/>
      </w:pPr>
      <w:bookmarkStart w:id="14" w:name="_Toc240012733"/>
      <w:r>
        <w:rPr>
          <w:b/>
          <w:bCs/>
          <w:color w:val="23242B"/>
        </w:rPr>
        <w:t>11.B Stand-alone</w:t>
      </w:r>
      <w:bookmarkEnd w:id="14"/>
    </w:p>
    <w:p w14:paraId="318124C0" w14:textId="77777777" w:rsidR="00BC774F" w:rsidRDefault="00000000">
      <w:pPr>
        <w:pStyle w:val="Paragrafoelenco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Proprietà intellettuale. </w:t>
      </w:r>
      <w:r>
        <w:t>I deliverable specifici (specifiche, prompt, configurazioni, connettori realizzati da Hevolus, eval set, runbook, report) sono del cliente a pagamento integrale del processo cui si riferiscono. Metodo Atlas, template, strumenti, librerie e know-how preesistente o generico restano di Hevolus SRL, con licenza d'uso interna non esclusiva, non trasferibile e perpetua sui deliverable. Hevolus può riutilizzare tecniche e componenti generici senza informazioni riservate del cliente.</w:t>
      </w:r>
    </w:p>
    <w:p w14:paraId="318124C1" w14:textId="77777777" w:rsidR="00BC774F" w:rsidRDefault="00000000">
      <w:pPr>
        <w:pStyle w:val="Paragrafoelenco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Riservatezza e dati. </w:t>
      </w:r>
      <w:r>
        <w:t>Riservatezza per la durata del SOW e 3 anni oltre. I dati del cliente restano nel suo perimetro e non addestrano modelli. Il cliente è titolare del trattamento e garantisce la liceità dei dati resi accessibili; nomina a responsabile del trattamento se trattati dati personali.</w:t>
      </w:r>
    </w:p>
    <w:p w14:paraId="318124C2" w14:textId="77777777" w:rsidR="00BC774F" w:rsidRDefault="00000000">
      <w:pPr>
        <w:pStyle w:val="Paragrafoelenco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Garanzie e responsabilità. </w:t>
      </w:r>
      <w:r>
        <w:t>Obbligazione di mezzi. Stime di beneficio e misure contro la baseline non costituiscono garanzia di risultato. Gli agenti operano in Co-pilot: le decisioni e le azioni approvate sono del cliente. Responsabilità complessiva di Hevolus limitata ai corrispettivi pagati per il processo in cui si è verificato l'evento; esclusi danni indiretti, perdita di profitto e di dati, salvo dolo o colpa grave. Nessuna responsabilità per piattaforma, identità, osservabilità, connettori e sistemi non realizzati da Hevolus, né per modifiche di terzi o del cliente, né per usi fuori perimetro o oltre il livello di autonomia consegnato.</w:t>
      </w:r>
    </w:p>
    <w:p w14:paraId="318124C3" w14:textId="77777777" w:rsidR="00BC774F" w:rsidRDefault="00000000">
      <w:pPr>
        <w:pStyle w:val="Paragrafoelenco"/>
        <w:numPr>
          <w:ilvl w:val="0"/>
          <w:numId w:val="2"/>
        </w:numPr>
        <w:spacing w:after="80" w:line="290" w:lineRule="auto"/>
      </w:pPr>
      <w:r>
        <w:rPr>
          <w:b/>
          <w:bCs/>
        </w:rPr>
        <w:lastRenderedPageBreak/>
        <w:t xml:space="preserve">Durata e recesso. </w:t>
      </w:r>
      <w:r>
        <w:t>Durata pari al piano di sezione 6. Recesso con preavviso scritto di 30 giorni; dovuti i corrispettivi degli stage completati e dei deliverable consegnati o in corso, pro quota sulle milestone. Forza maggiore: termini sospesi.</w:t>
      </w:r>
    </w:p>
    <w:p w14:paraId="318124C4" w14:textId="77777777" w:rsidR="00BC774F" w:rsidRDefault="00000000">
      <w:pPr>
        <w:pStyle w:val="Paragrafoelenco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Altre condizioni. </w:t>
      </w:r>
    </w:p>
    <w:p w14:paraId="318124C5" w14:textId="77777777" w:rsidR="00BC774F" w:rsidRDefault="00BC774F">
      <w:pPr>
        <w:spacing w:after="200"/>
      </w:pPr>
    </w:p>
    <w:p w14:paraId="318124C6" w14:textId="77777777" w:rsidR="00BC774F" w:rsidRDefault="00000000">
      <w:pPr>
        <w:spacing w:after="140" w:line="300" w:lineRule="auto"/>
      </w:pPr>
      <w:r>
        <w:rPr>
          <w:i/>
          <w:iCs/>
        </w:rPr>
        <w:t>[Luogo e data]</w:t>
      </w:r>
    </w:p>
    <w:p w14:paraId="318124C7" w14:textId="77777777" w:rsidR="00BC774F" w:rsidRDefault="00000000">
      <w:pPr>
        <w:spacing w:after="140" w:line="300" w:lineRule="auto"/>
      </w:pPr>
      <w:r>
        <w:rPr>
          <w:b/>
          <w:bCs/>
        </w:rPr>
        <w:t>Hevolus SRL</w:t>
      </w:r>
    </w:p>
    <w:p w14:paraId="318124C8" w14:textId="77777777" w:rsidR="00BC774F" w:rsidRDefault="00000000">
      <w:pPr>
        <w:spacing w:after="140" w:line="300" w:lineRule="auto"/>
      </w:pPr>
      <w:r>
        <w:rPr>
          <w:i/>
          <w:iCs/>
        </w:rPr>
        <w:t>[Nome e ruolo del firmatario]</w:t>
      </w:r>
    </w:p>
    <w:p w14:paraId="318124C9" w14:textId="77777777" w:rsidR="00BC774F" w:rsidRDefault="00BC774F">
      <w:pPr>
        <w:spacing w:after="120"/>
      </w:pPr>
    </w:p>
    <w:p w14:paraId="318124CA" w14:textId="77777777" w:rsidR="00BC774F" w:rsidRDefault="00000000">
      <w:pPr>
        <w:spacing w:after="140" w:line="300" w:lineRule="auto"/>
      </w:pPr>
      <w:r>
        <w:rPr>
          <w:b/>
          <w:bCs/>
        </w:rPr>
        <w:t>Per accettazione, il cliente</w:t>
      </w:r>
    </w:p>
    <w:p w14:paraId="318124CB" w14:textId="77777777" w:rsidR="00BC774F" w:rsidRDefault="00000000">
      <w:pPr>
        <w:spacing w:after="140" w:line="300" w:lineRule="auto"/>
      </w:pPr>
      <w:r>
        <w:rPr>
          <w:i/>
          <w:iCs/>
        </w:rPr>
        <w:t>[Ragione sociale, nome, ruolo, firma]</w:t>
      </w:r>
    </w:p>
    <w:p w14:paraId="318124CC" w14:textId="77777777" w:rsidR="00BC774F" w:rsidRDefault="00000000">
      <w:pPr>
        <w:spacing w:after="140" w:line="300" w:lineRule="auto"/>
      </w:pPr>
      <w:r>
        <w:rPr>
          <w:color w:val="83858F"/>
          <w:sz w:val="19"/>
          <w:szCs w:val="19"/>
        </w:rPr>
        <w:t>Ai sensi degli artt. 1341 e 1342 c.c. il cliente approva specificamente le clausole 3 (componenti non realizzati da Hevolus), 8, 9, 10 e 11.</w:t>
      </w:r>
    </w:p>
    <w:p w14:paraId="318124CD" w14:textId="77777777" w:rsidR="00BC774F" w:rsidRDefault="00000000">
      <w:pPr>
        <w:spacing w:after="140" w:line="300" w:lineRule="auto"/>
      </w:pPr>
      <w:r>
        <w:rPr>
          <w:i/>
          <w:iCs/>
        </w:rPr>
        <w:t>[Firma]</w:t>
      </w:r>
    </w:p>
    <w:p w14:paraId="318124CE" w14:textId="77777777" w:rsidR="00BC774F" w:rsidRDefault="00BC774F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774F" w14:paraId="318124D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5E4F9C"/>
              <w:bottom w:val="none" w:sz="0" w:space="0" w:color="FFFFFF"/>
              <w:right w:val="none" w:sz="0" w:space="0" w:color="FFFFFF"/>
            </w:tcBorders>
            <w:shd w:val="clear" w:color="auto" w:fill="F3F2F8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318124CF" w14:textId="77777777" w:rsidR="00BC774F" w:rsidRDefault="00000000">
            <w:pPr>
              <w:spacing w:after="80"/>
            </w:pPr>
            <w:r>
              <w:rPr>
                <w:b/>
                <w:bCs/>
                <w:color w:val="5E4F9C"/>
              </w:rPr>
              <w:t>Criterio di uscita</w:t>
            </w:r>
          </w:p>
          <w:p w14:paraId="318124D0" w14:textId="77777777" w:rsidR="00BC774F" w:rsidRDefault="00000000">
            <w:pPr>
              <w:spacing w:after="60" w:line="280" w:lineRule="auto"/>
            </w:pPr>
            <w:r>
              <w:rPr>
                <w:b/>
                <w:bCs/>
                <w:color w:val="4B4D57"/>
                <w:sz w:val="21"/>
                <w:szCs w:val="21"/>
              </w:rPr>
              <w:t xml:space="preserve">✓ </w:t>
            </w:r>
            <w:r>
              <w:rPr>
                <w:color w:val="4B4D57"/>
                <w:sz w:val="21"/>
                <w:szCs w:val="21"/>
              </w:rPr>
              <w:t>Una scheda di perimetro per ogni processo; taglia e durata coerenti con la sezione 6; una sola variante di condizioni.</w:t>
            </w:r>
          </w:p>
          <w:p w14:paraId="318124D1" w14:textId="77777777" w:rsidR="00BC774F" w:rsidRDefault="00000000">
            <w:pPr>
              <w:spacing w:after="60" w:line="280" w:lineRule="auto"/>
            </w:pPr>
            <w:r>
              <w:rPr>
                <w:b/>
                <w:bCs/>
                <w:color w:val="4B4D57"/>
                <w:sz w:val="21"/>
                <w:szCs w:val="21"/>
              </w:rPr>
              <w:t xml:space="preserve">✓ </w:t>
            </w:r>
            <w:r>
              <w:rPr>
                <w:color w:val="4B4D57"/>
                <w:sz w:val="21"/>
                <w:szCs w:val="21"/>
              </w:rPr>
              <w:t>Prerequisiti dichiarati dal cliente riportati in sezione 3 con indicazione di chi li ha realizzati.</w:t>
            </w:r>
          </w:p>
          <w:p w14:paraId="318124D2" w14:textId="77777777" w:rsidR="00BC774F" w:rsidRDefault="00000000">
            <w:pPr>
              <w:spacing w:after="60" w:line="280" w:lineRule="auto"/>
            </w:pPr>
            <w:r>
              <w:rPr>
                <w:b/>
                <w:bCs/>
                <w:color w:val="4B4D57"/>
                <w:sz w:val="21"/>
                <w:szCs w:val="21"/>
              </w:rPr>
              <w:t xml:space="preserve">✓ </w:t>
            </w:r>
            <w:r>
              <w:rPr>
                <w:color w:val="4B4D57"/>
                <w:sz w:val="21"/>
                <w:szCs w:val="21"/>
              </w:rPr>
              <w:t>Nessun riferimento a giorni persona, tariffe o costi di fornitori.</w:t>
            </w:r>
          </w:p>
          <w:p w14:paraId="318124D3" w14:textId="77777777" w:rsidR="00BC774F" w:rsidRDefault="00000000">
            <w:pPr>
              <w:spacing w:after="60" w:line="280" w:lineRule="auto"/>
            </w:pPr>
            <w:r>
              <w:rPr>
                <w:b/>
                <w:bCs/>
                <w:color w:val="4B4D57"/>
                <w:sz w:val="21"/>
                <w:szCs w:val="21"/>
              </w:rPr>
              <w:t xml:space="preserve">✓ </w:t>
            </w:r>
            <w:r>
              <w:rPr>
                <w:color w:val="4B4D57"/>
                <w:sz w:val="21"/>
                <w:szCs w:val="21"/>
              </w:rPr>
              <w:t>SOW firmato: avvio con S.0.</w:t>
            </w:r>
          </w:p>
        </w:tc>
      </w:tr>
    </w:tbl>
    <w:p w14:paraId="318124D5" w14:textId="77777777" w:rsidR="00BC774F" w:rsidRDefault="00BC774F">
      <w:pPr>
        <w:spacing w:after="120"/>
      </w:pPr>
    </w:p>
    <w:p w14:paraId="318124D6" w14:textId="77777777" w:rsidR="00BC774F" w:rsidRDefault="00000000">
      <w:pPr>
        <w:spacing w:after="140" w:line="300" w:lineRule="auto"/>
      </w:pPr>
      <w:r>
        <w:rPr>
          <w:i/>
          <w:iCs/>
          <w:color w:val="83858F"/>
          <w:sz w:val="18"/>
          <w:szCs w:val="18"/>
        </w:rPr>
        <w:t>Atlas Framework è metodologia proprietaria di Hevolus SRL. Documento a uso interno e per i clienti del programma; non è consentita la diffusione a terzi senza autorizzazione scritta.</w:t>
      </w:r>
    </w:p>
    <w:sectPr w:rsidR="00BC774F">
      <w:headerReference w:type="default" r:id="rId8"/>
      <w:footerReference w:type="default" r:id="rId9"/>
      <w:pgSz w:w="11906" w:h="16838"/>
      <w:pgMar w:top="1300" w:right="1134" w:bottom="12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B7095" w14:textId="77777777" w:rsidR="001178D3" w:rsidRDefault="001178D3">
      <w:r>
        <w:separator/>
      </w:r>
    </w:p>
  </w:endnote>
  <w:endnote w:type="continuationSeparator" w:id="0">
    <w:p w14:paraId="49FA1721" w14:textId="77777777" w:rsidR="001178D3" w:rsidRDefault="001178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24DA" w14:textId="071BD3F2" w:rsidR="00BC774F" w:rsidRDefault="00000000">
    <w:pPr>
      <w:pBdr>
        <w:top w:val="single" w:sz="4" w:space="6" w:color="DEDCE8"/>
      </w:pBdr>
      <w:tabs>
        <w:tab w:val="right" w:pos="9638"/>
      </w:tabs>
    </w:pPr>
    <w:r>
      <w:rPr>
        <w:color w:val="83858F"/>
        <w:sz w:val="17"/>
        <w:szCs w:val="17"/>
      </w:rPr>
      <w:t>Atlas Framework · Hevolus SRL</w:t>
    </w:r>
    <w:r>
      <w:rPr>
        <w:color w:val="83858F"/>
        <w:sz w:val="17"/>
        <w:szCs w:val="17"/>
      </w:rPr>
      <w:tab/>
      <w:t xml:space="preserve">Pagina </w:t>
    </w:r>
    <w:r>
      <w:rPr>
        <w:color w:val="83858F"/>
        <w:sz w:val="17"/>
        <w:szCs w:val="17"/>
      </w:rPr>
      <w:fldChar w:fldCharType="begin"/>
    </w:r>
    <w:r>
      <w:rPr>
        <w:color w:val="83858F"/>
        <w:sz w:val="17"/>
        <w:szCs w:val="17"/>
      </w:rPr>
      <w:instrText>PAGE</w:instrText>
    </w:r>
    <w:r>
      <w:rPr>
        <w:color w:val="83858F"/>
        <w:sz w:val="17"/>
        <w:szCs w:val="17"/>
      </w:rPr>
      <w:fldChar w:fldCharType="separate"/>
    </w:r>
    <w:r w:rsidR="008662DF">
      <w:rPr>
        <w:noProof/>
        <w:color w:val="83858F"/>
        <w:sz w:val="17"/>
        <w:szCs w:val="17"/>
      </w:rPr>
      <w:t>1</w:t>
    </w:r>
    <w:r>
      <w:rPr>
        <w:color w:val="83858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1C594" w14:textId="77777777" w:rsidR="001178D3" w:rsidRDefault="001178D3">
      <w:r>
        <w:separator/>
      </w:r>
    </w:p>
  </w:footnote>
  <w:footnote w:type="continuationSeparator" w:id="0">
    <w:p w14:paraId="2B8CAB8E" w14:textId="77777777" w:rsidR="001178D3" w:rsidRDefault="001178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24D9" w14:textId="77777777" w:rsidR="00BC774F" w:rsidRDefault="00000000">
    <w:pPr>
      <w:tabs>
        <w:tab w:val="right" w:pos="9638"/>
      </w:tabs>
    </w:pPr>
    <w:r>
      <w:rPr>
        <w:noProof/>
      </w:rPr>
      <w:drawing>
        <wp:inline distT="0" distB="0" distL="0" distR="0" wp14:anchorId="318124DB" wp14:editId="318124DC">
          <wp:extent cx="809625" cy="342900"/>
          <wp:effectExtent l="0" t="0" r="0" b="0"/>
          <wp:docPr id="2055889726" name="Immagine 20558897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3858F"/>
        <w:sz w:val="17"/>
        <w:szCs w:val="17"/>
      </w:rPr>
      <w:tab/>
      <w:t>S1 — Offerta di implementazione processi (SOW)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44A4"/>
    <w:multiLevelType w:val="hybridMultilevel"/>
    <w:tmpl w:val="214251C0"/>
    <w:lvl w:ilvl="0" w:tplc="B36CD2C8">
      <w:start w:val="1"/>
      <w:numFmt w:val="decimal"/>
      <w:lvlText w:val="%1."/>
      <w:lvlJc w:val="left"/>
      <w:pPr>
        <w:ind w:left="560" w:hanging="280"/>
      </w:pPr>
      <w:rPr>
        <w:b/>
        <w:bCs/>
        <w:color w:val="5E4F9C"/>
      </w:rPr>
    </w:lvl>
    <w:lvl w:ilvl="1" w:tplc="E6AE4D56">
      <w:numFmt w:val="decimal"/>
      <w:lvlText w:val=""/>
      <w:lvlJc w:val="left"/>
    </w:lvl>
    <w:lvl w:ilvl="2" w:tplc="48543AA4">
      <w:numFmt w:val="decimal"/>
      <w:lvlText w:val=""/>
      <w:lvlJc w:val="left"/>
    </w:lvl>
    <w:lvl w:ilvl="3" w:tplc="FB209EC4">
      <w:numFmt w:val="decimal"/>
      <w:lvlText w:val=""/>
      <w:lvlJc w:val="left"/>
    </w:lvl>
    <w:lvl w:ilvl="4" w:tplc="35521094">
      <w:numFmt w:val="decimal"/>
      <w:lvlText w:val=""/>
      <w:lvlJc w:val="left"/>
    </w:lvl>
    <w:lvl w:ilvl="5" w:tplc="39EEB804">
      <w:numFmt w:val="decimal"/>
      <w:lvlText w:val=""/>
      <w:lvlJc w:val="left"/>
    </w:lvl>
    <w:lvl w:ilvl="6" w:tplc="2B26CB0A">
      <w:numFmt w:val="decimal"/>
      <w:lvlText w:val=""/>
      <w:lvlJc w:val="left"/>
    </w:lvl>
    <w:lvl w:ilvl="7" w:tplc="E14827F4">
      <w:numFmt w:val="decimal"/>
      <w:lvlText w:val=""/>
      <w:lvlJc w:val="left"/>
    </w:lvl>
    <w:lvl w:ilvl="8" w:tplc="3D369342">
      <w:numFmt w:val="decimal"/>
      <w:lvlText w:val=""/>
      <w:lvlJc w:val="left"/>
    </w:lvl>
  </w:abstractNum>
  <w:abstractNum w:abstractNumId="1" w15:restartNumberingAfterBreak="0">
    <w:nsid w:val="2C2D6559"/>
    <w:multiLevelType w:val="hybridMultilevel"/>
    <w:tmpl w:val="AA5278B2"/>
    <w:lvl w:ilvl="0" w:tplc="C118629E">
      <w:start w:val="1"/>
      <w:numFmt w:val="decimal"/>
      <w:lvlText w:val="%1."/>
      <w:lvlJc w:val="left"/>
      <w:pPr>
        <w:ind w:left="560" w:hanging="280"/>
      </w:pPr>
      <w:rPr>
        <w:b/>
        <w:bCs/>
        <w:color w:val="5E4F9C"/>
      </w:rPr>
    </w:lvl>
    <w:lvl w:ilvl="1" w:tplc="CC8E0AD0">
      <w:numFmt w:val="decimal"/>
      <w:lvlText w:val=""/>
      <w:lvlJc w:val="left"/>
    </w:lvl>
    <w:lvl w:ilvl="2" w:tplc="4E30DC28">
      <w:numFmt w:val="decimal"/>
      <w:lvlText w:val=""/>
      <w:lvlJc w:val="left"/>
    </w:lvl>
    <w:lvl w:ilvl="3" w:tplc="9F9236B6">
      <w:numFmt w:val="decimal"/>
      <w:lvlText w:val=""/>
      <w:lvlJc w:val="left"/>
    </w:lvl>
    <w:lvl w:ilvl="4" w:tplc="31E814FA">
      <w:numFmt w:val="decimal"/>
      <w:lvlText w:val=""/>
      <w:lvlJc w:val="left"/>
    </w:lvl>
    <w:lvl w:ilvl="5" w:tplc="192A9FB8">
      <w:numFmt w:val="decimal"/>
      <w:lvlText w:val=""/>
      <w:lvlJc w:val="left"/>
    </w:lvl>
    <w:lvl w:ilvl="6" w:tplc="F94A1B06">
      <w:numFmt w:val="decimal"/>
      <w:lvlText w:val=""/>
      <w:lvlJc w:val="left"/>
    </w:lvl>
    <w:lvl w:ilvl="7" w:tplc="34805F6A">
      <w:numFmt w:val="decimal"/>
      <w:lvlText w:val=""/>
      <w:lvlJc w:val="left"/>
    </w:lvl>
    <w:lvl w:ilvl="8" w:tplc="EDCE9FA8">
      <w:numFmt w:val="decimal"/>
      <w:lvlText w:val=""/>
      <w:lvlJc w:val="left"/>
    </w:lvl>
  </w:abstractNum>
  <w:abstractNum w:abstractNumId="2" w15:restartNumberingAfterBreak="0">
    <w:nsid w:val="3FF97368"/>
    <w:multiLevelType w:val="hybridMultilevel"/>
    <w:tmpl w:val="7032AEA6"/>
    <w:lvl w:ilvl="0" w:tplc="BEB835BC">
      <w:start w:val="1"/>
      <w:numFmt w:val="decimal"/>
      <w:lvlText w:val="%1."/>
      <w:lvlJc w:val="left"/>
      <w:pPr>
        <w:ind w:left="560" w:hanging="280"/>
      </w:pPr>
      <w:rPr>
        <w:b/>
        <w:bCs/>
        <w:color w:val="5E4F9C"/>
      </w:rPr>
    </w:lvl>
    <w:lvl w:ilvl="1" w:tplc="D62E62E8">
      <w:numFmt w:val="decimal"/>
      <w:lvlText w:val=""/>
      <w:lvlJc w:val="left"/>
    </w:lvl>
    <w:lvl w:ilvl="2" w:tplc="B3F8C3F8">
      <w:numFmt w:val="decimal"/>
      <w:lvlText w:val=""/>
      <w:lvlJc w:val="left"/>
    </w:lvl>
    <w:lvl w:ilvl="3" w:tplc="769E172C">
      <w:numFmt w:val="decimal"/>
      <w:lvlText w:val=""/>
      <w:lvlJc w:val="left"/>
    </w:lvl>
    <w:lvl w:ilvl="4" w:tplc="40880CE2">
      <w:numFmt w:val="decimal"/>
      <w:lvlText w:val=""/>
      <w:lvlJc w:val="left"/>
    </w:lvl>
    <w:lvl w:ilvl="5" w:tplc="A5EA8716">
      <w:numFmt w:val="decimal"/>
      <w:lvlText w:val=""/>
      <w:lvlJc w:val="left"/>
    </w:lvl>
    <w:lvl w:ilvl="6" w:tplc="F610700A">
      <w:numFmt w:val="decimal"/>
      <w:lvlText w:val=""/>
      <w:lvlJc w:val="left"/>
    </w:lvl>
    <w:lvl w:ilvl="7" w:tplc="B11AB4C8">
      <w:numFmt w:val="decimal"/>
      <w:lvlText w:val=""/>
      <w:lvlJc w:val="left"/>
    </w:lvl>
    <w:lvl w:ilvl="8" w:tplc="F06C24AE">
      <w:numFmt w:val="decimal"/>
      <w:lvlText w:val=""/>
      <w:lvlJc w:val="left"/>
    </w:lvl>
  </w:abstractNum>
  <w:abstractNum w:abstractNumId="3" w15:restartNumberingAfterBreak="0">
    <w:nsid w:val="422669AC"/>
    <w:multiLevelType w:val="hybridMultilevel"/>
    <w:tmpl w:val="09F4412E"/>
    <w:lvl w:ilvl="0" w:tplc="EC1C979A">
      <w:start w:val="1"/>
      <w:numFmt w:val="bullet"/>
      <w:lvlText w:val="●"/>
      <w:lvlJc w:val="left"/>
      <w:pPr>
        <w:ind w:left="720" w:hanging="360"/>
      </w:pPr>
    </w:lvl>
    <w:lvl w:ilvl="1" w:tplc="818C5BCE">
      <w:start w:val="1"/>
      <w:numFmt w:val="bullet"/>
      <w:lvlText w:val="○"/>
      <w:lvlJc w:val="left"/>
      <w:pPr>
        <w:ind w:left="1440" w:hanging="360"/>
      </w:pPr>
    </w:lvl>
    <w:lvl w:ilvl="2" w:tplc="5036A4A4">
      <w:start w:val="1"/>
      <w:numFmt w:val="bullet"/>
      <w:lvlText w:val="■"/>
      <w:lvlJc w:val="left"/>
      <w:pPr>
        <w:ind w:left="2160" w:hanging="360"/>
      </w:pPr>
    </w:lvl>
    <w:lvl w:ilvl="3" w:tplc="AE60225E">
      <w:start w:val="1"/>
      <w:numFmt w:val="bullet"/>
      <w:lvlText w:val="●"/>
      <w:lvlJc w:val="left"/>
      <w:pPr>
        <w:ind w:left="2880" w:hanging="360"/>
      </w:pPr>
    </w:lvl>
    <w:lvl w:ilvl="4" w:tplc="EDB01720">
      <w:start w:val="1"/>
      <w:numFmt w:val="bullet"/>
      <w:lvlText w:val="○"/>
      <w:lvlJc w:val="left"/>
      <w:pPr>
        <w:ind w:left="3600" w:hanging="360"/>
      </w:pPr>
    </w:lvl>
    <w:lvl w:ilvl="5" w:tplc="84A2A328">
      <w:start w:val="1"/>
      <w:numFmt w:val="bullet"/>
      <w:lvlText w:val="■"/>
      <w:lvlJc w:val="left"/>
      <w:pPr>
        <w:ind w:left="4320" w:hanging="360"/>
      </w:pPr>
    </w:lvl>
    <w:lvl w:ilvl="6" w:tplc="E65292C2">
      <w:start w:val="1"/>
      <w:numFmt w:val="bullet"/>
      <w:lvlText w:val="●"/>
      <w:lvlJc w:val="left"/>
      <w:pPr>
        <w:ind w:left="5040" w:hanging="360"/>
      </w:pPr>
    </w:lvl>
    <w:lvl w:ilvl="7" w:tplc="9348B644">
      <w:start w:val="1"/>
      <w:numFmt w:val="bullet"/>
      <w:lvlText w:val="●"/>
      <w:lvlJc w:val="left"/>
      <w:pPr>
        <w:ind w:left="5760" w:hanging="360"/>
      </w:pPr>
    </w:lvl>
    <w:lvl w:ilvl="8" w:tplc="DC6EFFF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6E03706"/>
    <w:multiLevelType w:val="hybridMultilevel"/>
    <w:tmpl w:val="26DE56BA"/>
    <w:lvl w:ilvl="0" w:tplc="847AC59A">
      <w:start w:val="1"/>
      <w:numFmt w:val="decimal"/>
      <w:lvlText w:val="%1."/>
      <w:lvlJc w:val="left"/>
      <w:pPr>
        <w:ind w:left="560" w:hanging="280"/>
      </w:pPr>
      <w:rPr>
        <w:b/>
        <w:bCs/>
        <w:color w:val="5E4F9C"/>
      </w:rPr>
    </w:lvl>
    <w:lvl w:ilvl="1" w:tplc="23D86C68">
      <w:numFmt w:val="decimal"/>
      <w:lvlText w:val=""/>
      <w:lvlJc w:val="left"/>
    </w:lvl>
    <w:lvl w:ilvl="2" w:tplc="6B982054">
      <w:numFmt w:val="decimal"/>
      <w:lvlText w:val=""/>
      <w:lvlJc w:val="left"/>
    </w:lvl>
    <w:lvl w:ilvl="3" w:tplc="7C52DFEA">
      <w:numFmt w:val="decimal"/>
      <w:lvlText w:val=""/>
      <w:lvlJc w:val="left"/>
    </w:lvl>
    <w:lvl w:ilvl="4" w:tplc="A7DC1656">
      <w:numFmt w:val="decimal"/>
      <w:lvlText w:val=""/>
      <w:lvlJc w:val="left"/>
    </w:lvl>
    <w:lvl w:ilvl="5" w:tplc="53F41EB2">
      <w:numFmt w:val="decimal"/>
      <w:lvlText w:val=""/>
      <w:lvlJc w:val="left"/>
    </w:lvl>
    <w:lvl w:ilvl="6" w:tplc="0B1EF01A">
      <w:numFmt w:val="decimal"/>
      <w:lvlText w:val=""/>
      <w:lvlJc w:val="left"/>
    </w:lvl>
    <w:lvl w:ilvl="7" w:tplc="D2602F86">
      <w:numFmt w:val="decimal"/>
      <w:lvlText w:val=""/>
      <w:lvlJc w:val="left"/>
    </w:lvl>
    <w:lvl w:ilvl="8" w:tplc="9A540766">
      <w:numFmt w:val="decimal"/>
      <w:lvlText w:val=""/>
      <w:lvlJc w:val="left"/>
    </w:lvl>
  </w:abstractNum>
  <w:abstractNum w:abstractNumId="5" w15:restartNumberingAfterBreak="0">
    <w:nsid w:val="4CDF5CE3"/>
    <w:multiLevelType w:val="hybridMultilevel"/>
    <w:tmpl w:val="6BFAF41C"/>
    <w:lvl w:ilvl="0" w:tplc="9DCC1B4A">
      <w:start w:val="1"/>
      <w:numFmt w:val="decimal"/>
      <w:lvlText w:val="%1."/>
      <w:lvlJc w:val="left"/>
      <w:pPr>
        <w:ind w:left="560" w:hanging="280"/>
      </w:pPr>
      <w:rPr>
        <w:b/>
        <w:bCs/>
        <w:color w:val="5E4F9C"/>
      </w:rPr>
    </w:lvl>
    <w:lvl w:ilvl="1" w:tplc="656A1BF4">
      <w:numFmt w:val="decimal"/>
      <w:lvlText w:val=""/>
      <w:lvlJc w:val="left"/>
    </w:lvl>
    <w:lvl w:ilvl="2" w:tplc="CFB267BC">
      <w:numFmt w:val="decimal"/>
      <w:lvlText w:val=""/>
      <w:lvlJc w:val="left"/>
    </w:lvl>
    <w:lvl w:ilvl="3" w:tplc="03EA9726">
      <w:numFmt w:val="decimal"/>
      <w:lvlText w:val=""/>
      <w:lvlJc w:val="left"/>
    </w:lvl>
    <w:lvl w:ilvl="4" w:tplc="32DC996C">
      <w:numFmt w:val="decimal"/>
      <w:lvlText w:val=""/>
      <w:lvlJc w:val="left"/>
    </w:lvl>
    <w:lvl w:ilvl="5" w:tplc="74962F30">
      <w:numFmt w:val="decimal"/>
      <w:lvlText w:val=""/>
      <w:lvlJc w:val="left"/>
    </w:lvl>
    <w:lvl w:ilvl="6" w:tplc="C36CBF40">
      <w:numFmt w:val="decimal"/>
      <w:lvlText w:val=""/>
      <w:lvlJc w:val="left"/>
    </w:lvl>
    <w:lvl w:ilvl="7" w:tplc="987E9446">
      <w:numFmt w:val="decimal"/>
      <w:lvlText w:val=""/>
      <w:lvlJc w:val="left"/>
    </w:lvl>
    <w:lvl w:ilvl="8" w:tplc="B568DA20">
      <w:numFmt w:val="decimal"/>
      <w:lvlText w:val=""/>
      <w:lvlJc w:val="left"/>
    </w:lvl>
  </w:abstractNum>
  <w:abstractNum w:abstractNumId="6" w15:restartNumberingAfterBreak="0">
    <w:nsid w:val="71617685"/>
    <w:multiLevelType w:val="hybridMultilevel"/>
    <w:tmpl w:val="2E6AECF6"/>
    <w:lvl w:ilvl="0" w:tplc="626E7768">
      <w:start w:val="1"/>
      <w:numFmt w:val="bullet"/>
      <w:lvlText w:val="•"/>
      <w:lvlJc w:val="left"/>
      <w:pPr>
        <w:ind w:left="560" w:hanging="280"/>
      </w:pPr>
      <w:rPr>
        <w:color w:val="5E4F9C"/>
      </w:rPr>
    </w:lvl>
    <w:lvl w:ilvl="1" w:tplc="6BC0293C">
      <w:numFmt w:val="decimal"/>
      <w:lvlText w:val=""/>
      <w:lvlJc w:val="left"/>
    </w:lvl>
    <w:lvl w:ilvl="2" w:tplc="4AB0B7D8">
      <w:numFmt w:val="decimal"/>
      <w:lvlText w:val=""/>
      <w:lvlJc w:val="left"/>
    </w:lvl>
    <w:lvl w:ilvl="3" w:tplc="72189452">
      <w:numFmt w:val="decimal"/>
      <w:lvlText w:val=""/>
      <w:lvlJc w:val="left"/>
    </w:lvl>
    <w:lvl w:ilvl="4" w:tplc="75F264DA">
      <w:numFmt w:val="decimal"/>
      <w:lvlText w:val=""/>
      <w:lvlJc w:val="left"/>
    </w:lvl>
    <w:lvl w:ilvl="5" w:tplc="8DE63810">
      <w:numFmt w:val="decimal"/>
      <w:lvlText w:val=""/>
      <w:lvlJc w:val="left"/>
    </w:lvl>
    <w:lvl w:ilvl="6" w:tplc="121E56F2">
      <w:numFmt w:val="decimal"/>
      <w:lvlText w:val=""/>
      <w:lvlJc w:val="left"/>
    </w:lvl>
    <w:lvl w:ilvl="7" w:tplc="18025024">
      <w:numFmt w:val="decimal"/>
      <w:lvlText w:val=""/>
      <w:lvlJc w:val="left"/>
    </w:lvl>
    <w:lvl w:ilvl="8" w:tplc="CE005DC0">
      <w:numFmt w:val="decimal"/>
      <w:lvlText w:val=""/>
      <w:lvlJc w:val="left"/>
    </w:lvl>
  </w:abstractNum>
  <w:abstractNum w:abstractNumId="7" w15:restartNumberingAfterBreak="0">
    <w:nsid w:val="77915408"/>
    <w:multiLevelType w:val="hybridMultilevel"/>
    <w:tmpl w:val="18360D36"/>
    <w:lvl w:ilvl="0" w:tplc="4266D296">
      <w:start w:val="1"/>
      <w:numFmt w:val="decimal"/>
      <w:lvlText w:val="%1."/>
      <w:lvlJc w:val="left"/>
      <w:pPr>
        <w:ind w:left="560" w:hanging="280"/>
      </w:pPr>
      <w:rPr>
        <w:b/>
        <w:bCs/>
        <w:color w:val="5E4F9C"/>
      </w:rPr>
    </w:lvl>
    <w:lvl w:ilvl="1" w:tplc="453A124C">
      <w:numFmt w:val="decimal"/>
      <w:lvlText w:val=""/>
      <w:lvlJc w:val="left"/>
    </w:lvl>
    <w:lvl w:ilvl="2" w:tplc="511E4770">
      <w:numFmt w:val="decimal"/>
      <w:lvlText w:val=""/>
      <w:lvlJc w:val="left"/>
    </w:lvl>
    <w:lvl w:ilvl="3" w:tplc="194240C4">
      <w:numFmt w:val="decimal"/>
      <w:lvlText w:val=""/>
      <w:lvlJc w:val="left"/>
    </w:lvl>
    <w:lvl w:ilvl="4" w:tplc="19A06F3A">
      <w:numFmt w:val="decimal"/>
      <w:lvlText w:val=""/>
      <w:lvlJc w:val="left"/>
    </w:lvl>
    <w:lvl w:ilvl="5" w:tplc="8DB6E7AC">
      <w:numFmt w:val="decimal"/>
      <w:lvlText w:val=""/>
      <w:lvlJc w:val="left"/>
    </w:lvl>
    <w:lvl w:ilvl="6" w:tplc="53BE3BEE">
      <w:numFmt w:val="decimal"/>
      <w:lvlText w:val=""/>
      <w:lvlJc w:val="left"/>
    </w:lvl>
    <w:lvl w:ilvl="7" w:tplc="6DC6B3AA">
      <w:numFmt w:val="decimal"/>
      <w:lvlText w:val=""/>
      <w:lvlJc w:val="left"/>
    </w:lvl>
    <w:lvl w:ilvl="8" w:tplc="F374530E">
      <w:numFmt w:val="decimal"/>
      <w:lvlText w:val=""/>
      <w:lvlJc w:val="left"/>
    </w:lvl>
  </w:abstractNum>
  <w:num w:numId="1" w16cid:durableId="191456113">
    <w:abstractNumId w:val="3"/>
    <w:lvlOverride w:ilvl="0">
      <w:startOverride w:val="1"/>
    </w:lvlOverride>
  </w:num>
  <w:num w:numId="2" w16cid:durableId="1656565448">
    <w:abstractNumId w:val="6"/>
    <w:lvlOverride w:ilvl="0">
      <w:startOverride w:val="1"/>
    </w:lvlOverride>
  </w:num>
  <w:num w:numId="3" w16cid:durableId="1887526908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74F"/>
    <w:rsid w:val="001178D3"/>
    <w:rsid w:val="008662DF"/>
    <w:rsid w:val="00BC774F"/>
    <w:rsid w:val="00F0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122F5"/>
  <w15:docId w15:val="{A54F402D-EE10-47B2-9848-0772E33E0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3242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8662DF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662D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2459</Words>
  <Characters>14022</Characters>
  <Application>Microsoft Office Word</Application>
  <DocSecurity>0</DocSecurity>
  <Lines>116</Lines>
  <Paragraphs>32</Paragraphs>
  <ScaleCrop>false</ScaleCrop>
  <Company/>
  <LinksUpToDate>false</LinksUpToDate>
  <CharactersWithSpaces>16449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S1 Offerta di implementazione processi (SOW)</dc:title>
  <dc:creator>Hevolus SRL</dc:creator>
  <cp:lastModifiedBy>Domenico Irilli</cp:lastModifiedBy>
  <cp:revision>2</cp:revision>
  <dcterms:created xsi:type="dcterms:W3CDTF">2026-09-09T06:33:00Z</dcterms:created>
  <dcterms:modified xsi:type="dcterms:W3CDTF">2026-09-11T07:52:00Z</dcterms:modified>
</cp:coreProperties>
</file>