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600"/>
      </w:pPr>
      <w:r>
        <w:drawing>
          <wp:inline distT="0" distB="0" distL="0" distR="0">
            <wp:extent cx="22479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E4F9C"/>
          <w:sz w:val="26"/>
          <w:szCs w:val="26"/>
        </w:rPr>
        <w:t xml:space="preserve">Q1</w:t>
      </w:r>
    </w:p>
    <w:p>
      <w:pPr>
        <w:spacing w:after="240" w:line="240"/>
      </w:pPr>
      <w:r>
        <w:rPr>
          <w:rFonts w:ascii="Calibri" w:cs="Calibri" w:eastAsia="Calibri" w:hAnsi="Calibri"/>
          <w:b/>
          <w:bCs/>
          <w:color w:val="23242B"/>
          <w:sz w:val="52"/>
          <w:szCs w:val="52"/>
        </w:rPr>
        <w:t xml:space="preserve">Playbook ciclo agente</w:t>
      </w:r>
    </w:p>
    <w:p>
      <w:pPr>
        <w:spacing w:after="1800" w:line="300"/>
      </w:pPr>
      <w:r>
        <w:rPr>
          <w:rFonts w:ascii="Calibri" w:cs="Calibri" w:eastAsia="Calibri" w:hAnsi="Calibri"/>
          <w:color w:val="4B4D57"/>
          <w:sz w:val="26"/>
          <w:szCs w:val="26"/>
        </w:rPr>
        <w:t xml:space="preserve">I sei stage con cui ogni agente viene definito, misurato, costruito e portato in esercizio; il kit Evaluate; la ladder di autonomia.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E4F9C"/>
          <w:sz w:val="22"/>
          <w:szCs w:val="22"/>
        </w:rPr>
        <w:t xml:space="preserve">Atlas Framework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Documento di metodo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Fase 2 · Quick Win e Fase 3 · Scale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Versione 0.5 · Settembre 2026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Hevolus SRL</w:t>
      </w:r>
    </w:p>
    <w:p>
      <w:r>
        <w:br w:type="page"/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4F9C" w:sz="24"/>
              <w:bottom w:val="none" w:color="FFFFFF" w:sz="0"/>
              <w:right w:val="none" w:color="FFFFFF" w:sz="0"/>
            </w:tcBorders>
            <w:shd w:fill="F3F2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4F9C"/>
                <w:sz w:val="22"/>
                <w:szCs w:val="22"/>
              </w:rPr>
              <w:t xml:space="preserve">Contesto nel programma Atlas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Da dove veniamo.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Il Quick Win è stato scelto (o il cliente è entrato direttamente) e l'offerta è firmata.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Dove siamo.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Questo playbook descrive come si costruisce e si porta in esercizio ogni singolo agente: sei stage con criteri di ingresso e uscita, il kit Evaluate, la ladder di autonomia. Vale per il Quick Win e per ogni agente della Fase 3.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Dove andiamo.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Un agente che ha percorso i sei stage è in esercizio, misurato, versionato e pronto a guadagnare autonomia.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1. Il ciclo in sintesi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Ogni agente attraversa sei stage. Le durate sono tipiche di un Quick Win; nella Fase 3 cambiano in base alla taglia del SOW, non la sequenza. Tra uno stage e l'altro il passaggio è deciso dal Delivery Manager sui criteri di uscita, non sul calendario.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120"/>
        <w:gridCol w:w="3855"/>
        <w:gridCol w:w="2506"/>
      </w:tblGrid>
      <w:tr>
        <w:trPr>
          <w:tblHeader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Durata tipica</w:t>
            </w:r>
          </w:p>
        </w:tc>
        <w:tc>
          <w:tcPr>
            <w:tcW w:type="dxa" w:w="385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Domanda a cui risponde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 guida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Frame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3–5 giorni (1 settimana se esteso)</w:t>
            </w:r>
          </w:p>
        </w:tc>
        <w:tc>
          <w:tcPr>
            <w:tcW w:type="dxa" w:w="385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Cosa deve fare l'agente, cosa non deve fare, per chi, con quale successo?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Delivery Manager, Senior Architect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Evaluate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3–7 giorni</w:t>
            </w:r>
          </w:p>
        </w:tc>
        <w:tc>
          <w:tcPr>
            <w:tcW w:type="dxa" w:w="385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Come sapremo che funziona? Su quali casi reali? Cosa non deve mai accadere?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 Developer con il process owner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Build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5–10 giorni</w:t>
            </w:r>
          </w:p>
        </w:tc>
        <w:tc>
          <w:tcPr>
            <w:tcW w:type="dxa" w:w="385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Come si costruisce: integrazioni, skill, orchestrazione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 Developer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Iterate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5–10 giorni</w:t>
            </w:r>
          </w:p>
        </w:tc>
        <w:tc>
          <w:tcPr>
            <w:tcW w:type="dxa" w:w="385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Quanto manca alla soglia? Cosa correggere?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 Developer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Pilot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2–4 settimane</w:t>
            </w:r>
          </w:p>
        </w:tc>
        <w:tc>
          <w:tcPr>
            <w:tcW w:type="dxa" w:w="385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Funziona con le persone reali, sul lavoro reale?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Process owner, Delivery Manager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Operate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continuo</w:t>
            </w:r>
          </w:p>
        </w:tc>
        <w:tc>
          <w:tcPr>
            <w:tcW w:type="dxa" w:w="385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Regge nel tempo? Merita più autonomia?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Responsabile interno agenti, Senior Architect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4F9C" w:sz="24"/>
              <w:bottom w:val="none" w:color="FFFFFF" w:sz="0"/>
              <w:right w:val="none" w:color="FFFFFF" w:sz="0"/>
            </w:tcBorders>
            <w:shd w:fill="F3F2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4F9C"/>
                <w:sz w:val="22"/>
                <w:szCs w:val="22"/>
              </w:rPr>
              <w:t xml:space="preserve">Le tre regole non negoziabili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1. Nessun agente custom senza aver superato il gate nativo nel Frame.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2. Nessun Build senza eval set: 20–50 casi reali con esito atteso, costruiti con gli utenti.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3. Ogni agente parte in Co-pilot. L'autonomia si guadagna con l'Autonomy gate (C2).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2. I sei stage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2.1 Frame (3–5 giorni)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Definisce il perimetro dell'agente insieme allo sponsor e al process owner. È qui che si applica il gate nativo e si decide se il caso d'uso diventa un agente custom o una configurazione nativa di XRCopilot.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Ingresso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Uscita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Quick Win scelto (o caso d'uso portato dal cliente nell'ingresso diretto); process owner disponibile.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 Specification firmata; esito del gate nativo; failure mode elencate; baseline confermata.</w:t>
            </w:r>
          </w:p>
        </w:tc>
      </w:tr>
    </w:tbl>
    <w:p>
      <w:pPr>
        <w:spacing w:after="8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Sessione di framing con process owner e utenti: risultato atteso, utenti finali, canale (chat, XR, altro).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Gate nativo con il Senior Architect: si risolve con skill, orchestrator e MCP nativi? Sì → configurazione nativa; in parte → ibrido; no → agente custom. Esito motivato nella specifica.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Elenco esplicito di ciò che l'agente non deve fare (failure mode critiche).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Perimetro dei dati e delle operazioni; classificazione del rischio e supervisione umana (C2).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Criteri di successo collegati alla baseline; soglie proposte per l'Autonomy gate.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Nell'ingresso diretto (Frame esteso, 1 settimana): si aggiungono readiness di dati e integrazioni, baseline e stima con il Calculator. Se la readiness è negativa si torna al workshop.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Agent Specification firmata dal process owner (modello in sezione 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Registrazione nel registro degli agenti.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2.2 Evaluate (3–7 giorni)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Costruisce il metro con cui l'agente sarà misurato prima ancora che esista. Senza eval set non si passa a Build: è la regola più rigida del framework.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Ingresso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Uscita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 Specification firmata.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Eval set completo e validato dal process owner; soglie concordate; script eseguibile.</w:t>
            </w:r>
          </w:p>
        </w:tc>
      </w:tr>
    </w:tbl>
    <w:p>
      <w:pPr>
        <w:spacing w:after="8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Raccolta di 20–50 casi reali dal lavoro quotidiano degli utenti, con esito atteso scritto da loro.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Copertura: casi standard (60–70%), eccezioni note (20–30%), casi avversari e fuori perimetro (10%).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Definizione delle metriche: pass/fail per caso, pass rate complessivo, metriche specifiche del caso d'uso (es. accuratezza dell'estrazione, tempo di risposta).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Soglia di pass rate per il Pilot concordata con il process owner (tipicamente ≥ 90%).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Failure mode critiche tradotte in casi con tolleranza zero.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Eval set versionato nel repository accanto all'agente.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Eval set v1 con esiti attesi.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Scheda metriche e soglie.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Script di valutazione automatica.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2.3 Build (5–10 giorni)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Costruisce l'agente secondo lo standard tecnico di Q2.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Ingresso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Uscita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Eval set pronto; accessi in ambiente di test disponibili.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Agente esegue l'eval set end-to-end; nessuna failure mode critica; codice e configurazioni in repository.</w:t>
            </w:r>
          </w:p>
        </w:tc>
      </w:tr>
    </w:tbl>
    <w:p>
      <w:pPr>
        <w:spacing w:after="8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Server MCP verso i sistemi in perimetro, con operazioni separate in lettura e scrittura.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Skill e orchestrazione su XRCopilot; prompt di sistema con istruzioni e contenuti separati.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Identità dell'agente in Entra ID e permessi minimi.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Osservabilità attiva su Langfuse dal primo giorno.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Tutto versionato; prima esecuzione dell'eval set come baseline tecnica.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Agente funzionante in ambiente di test.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Prima misura sull'eval set.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2.4 Iterate (5–10 giorni)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Chiude la distanza tra la prima misura e la soglia, un ciclo alla volta.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Ingresso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Uscita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Agente che esegue l'eval set.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Pass rate ≥ soglia per due esecuzioni consecutive; zero failure mode critiche; utenti hanno validato un campione.</w:t>
            </w:r>
          </w:p>
        </w:tc>
      </w:tr>
    </w:tbl>
    <w:p>
      <w:pPr>
        <w:spacing w:after="8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Analisi dei casi falliti per categoria: dati, prompt, integrazione, ambiguità della specifica.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Correzione e nuova esecuzione dell'intero eval set (mai solo dei casi corretti).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Estensione dell'eval set con i casi emersi.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Sessione con gli utenti a metà stage per validare le uscite su casi propri.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Registro delle iterazioni: versione, pass rate, cambiamenti.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Agente sopra soglia.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Eval set v2.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Note di rilascio.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2.5 Pilot (2–4 settimane)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Mette l'agente in esercizio in Co-pilot con le persone reali, sul lavoro reale, misurando contro la baseline.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Ingresso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Uscita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Agente sopra soglia; permessi di produzione limitati; comunicazione agli utenti fatta (E1).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Valore misurato; tasso di correzione stabile; runbook consegnato; gate G2 superato.</w:t>
            </w:r>
          </w:p>
        </w:tc>
      </w:tr>
    </w:tbl>
    <w:p>
      <w:pPr>
        <w:spacing w:after="8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Attivazione in Co-pilot sul perimetro concordato. Sotto-stato Shadow se il cliente vuole prima osservare le proposte senza usarle.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Formazione di un'ora agli utenti: cosa fa l'agente, cosa non fa, come correggerlo.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Raccolta delle correzioni umane come nuovi casi di eval.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Misurazione settimanale: tempo per caso, tasso di correzione, soddisfazione degli utenti.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Steering ogni due settimane con lo sponsor.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Misura del valore contro la baseline.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Runbook v1.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Report di fine Quick Win.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2.6 Operate (continuo)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Mantiene l'agente in esercizio, ne segue la deriva e prepara il passaggio di autonomia.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Ingresso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Uscita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Gate G2 superato; responsabile interno nominato.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Non ha uscita: lo stage termina con la dismissione dell'agente o con l'handover completo (Fase 4).</w:t>
            </w:r>
          </w:p>
        </w:tc>
      </w:tr>
    </w:tbl>
    <w:p>
      <w:pPr>
        <w:spacing w:after="8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Monitoraggio su Langfuse: volumi, tasso di correzione, errori, consumi.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Riesecuzione mensile dell'eval set aggiornato per rilevare la deriva.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Gestione degli incidenti secondo C2.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Preparazione dell'Autonomy gate quando i criteri sono soddisfatti.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Trasferimento progressivo delle attività di gestione al responsabile interno.</w:t>
      </w: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Cruscotto di esercizio.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Verbali di Autonomy gate.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Contributo al report trimestrale O1.</w:t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3. Kit Evaluate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Il kit rende ripetibile lo stage Evaluate. Si usa per ogni agente, adattando le metriche al tipo di caso d'uso.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3.1 Struttura dell'eval set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2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ID</w:t>
            </w:r>
          </w:p>
        </w:tc>
        <w:tc>
          <w:tcPr>
            <w:tcW w:type="dxa" w:w="732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Identificativo univoco del caso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Categoria</w:t>
            </w:r>
          </w:p>
        </w:tc>
        <w:tc>
          <w:tcPr>
            <w:tcW w:type="dxa" w:w="732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Standard · Eccezione · Avversario · Fuori perimetro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Input</w:t>
            </w:r>
          </w:p>
        </w:tc>
        <w:tc>
          <w:tcPr>
            <w:tcW w:type="dxa" w:w="732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Dati, documenti o richiesta così come arrivano nel processo reale (anonimizzati se necessario)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Esito atteso</w:t>
            </w:r>
          </w:p>
        </w:tc>
        <w:tc>
          <w:tcPr>
            <w:tcW w:type="dxa" w:w="732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Scritto dall'utente: cosa deve produrre o proporre l'agente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Criterio di pass</w:t>
            </w:r>
          </w:p>
        </w:tc>
        <w:tc>
          <w:tcPr>
            <w:tcW w:type="dxa" w:w="732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Esatto · Equivalente (giudizio) · Contiene elementi obbligatori · Rifiuta correttamente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732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Se il caso verifica una failure mode critica: quale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Fonte e data</w:t>
            </w:r>
          </w:p>
        </w:tc>
        <w:tc>
          <w:tcPr>
            <w:tcW w:type="dxa" w:w="732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Chi ha fornito il caso e quando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3.2 Metriche per tipo di agente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3084"/>
        <w:gridCol w:w="3470"/>
      </w:tblGrid>
      <w:tr>
        <w:trPr>
          <w:tblHeader/>
        </w:trPr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di caso d'uso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Metrica primaria</w:t>
            </w:r>
          </w:p>
        </w:tc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Metriche secondarie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Estrazione e consolidamento dati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Accuratezza per campo</w:t>
            </w:r>
          </w:p>
        </w:tc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Completezza, tempo di elaborazione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Classificazione e instradamento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Precisione e richiamo per classe</w:t>
            </w:r>
          </w:p>
        </w:tc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Tasso di casi rimandati all'umano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Generazione di documenti e risposte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Pass rate a giudizio del process owner</w:t>
            </w:r>
          </w:p>
        </w:tc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Aderenza al formato, elementi obbligatori presenti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Monitoraggio e segnalazione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Segnalazioni corrette / totali</w:t>
            </w:r>
          </w:p>
        </w:tc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Falsi positivi, tempestività</w:t>
            </w:r>
          </w:p>
        </w:tc>
      </w:tr>
      <w:tr>
        <w:trPr>
          <w:tblHeader w:val="false"/>
        </w:trPr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Proposta di decisione (pianificazione, riprogrammazione)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Accettazione delle proposte senza modifica</w:t>
            </w:r>
          </w:p>
        </w:tc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Entità delle modifiche, tempo risparmiato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3.3 Failure mode critiche tipiche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Eseguire un'azione con effetto senza approvazione quando il livello non lo consente.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Inventare un dato assente invece di segnalarlo mancante.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Seguire istruzioni contenute in un documento o in un'email letta.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Accedere a dati fuori perimetro o esporli nel canale sbagliato.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Proseguire su un caso ambiguo invece di rimandarlo all'umano.</w:t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4. Agent Specification (modello)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Sezione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Identità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Nome, versione, responsabile Hevolus, responsabile cliente, data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Scopo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Una frase: cosa fa l'agente e per chi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Utenti e canale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Chi lo usa, dove (chat XRCopilot, XR, altro), quando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Perimetro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Processo, casi in perimetro, casi esclusi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Esito del gate nativo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Nativo / ibrido / custom, con motivazione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Dati e sistemi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Fonti, operazioni consentite (lettura/scrittura), server MCP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Livello di autonomia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Iniziale (Co-pilot) e target; soglie proposte per l'Autonomy gate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Failure mode critiche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Elenco esplicito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Criteri di successo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Metriche, soglie, collegamento alla baseline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Rischio e conformità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Classificazione, dati personali, supervisione umana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Firme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Process owner, Delivery Manager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5. Ladder di autonomia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Tre livelli, decisi dal cliente sui criteri dell'Autonomy gate (C2). Ogni agente parte in Co-pilot; il sotto-stato Shadow, in cui l'agente produce proposte che nessuno usa ancora, è disponibile nel Pilot per i clienti che vogliono osservare prima di adottare.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699"/>
        <w:gridCol w:w="2699"/>
        <w:gridCol w:w="2891"/>
      </w:tblGrid>
      <w:tr>
        <w:trPr>
          <w:tblHeader/>
        </w:trPr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Livello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L'agente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L'umano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per salire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Co-pilot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Propone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Decide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Autonomy gate: 4 settimane, pass rate ≥ 95%, correzioni ≤ 10%, zero failure mode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Assisted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Esegue i casi standard, chiede sulle eccezioni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Approva le eccezioni, controlla a campione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Autonomy gate: 8 settimane, pass rate ≥ 98%, correzioni ≤ 3%, rollback provato</w:t>
            </w:r>
          </w:p>
        </w:tc>
      </w:tr>
      <w:tr>
        <w:trPr>
          <w:tblHeader w:val="false"/>
        </w:trPr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Autonomous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Esegue e segnala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Supervisiona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6. Taglie per la Fase 3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Nella Fase 3 ogni agente è un SOW dimensionato con il Calculator. Le taglie orientano la pianificazione; la stima resta nel Calculator.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783"/>
        <w:gridCol w:w="2891"/>
      </w:tblGrid>
      <w:tr>
        <w:trPr>
          <w:tblHeader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Taglia</w:t>
            </w:r>
          </w:p>
        </w:tc>
        <w:tc>
          <w:tcPr>
            <w:tcW w:type="dxa" w:w="578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Profilo tipico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Durata indicativa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</w:t>
            </w:r>
          </w:p>
        </w:tc>
        <w:tc>
          <w:tcPr>
            <w:tcW w:type="dxa" w:w="578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Caso nativo o ibrido, un sistema, dati pronti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3–4 settimane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M</w:t>
            </w:r>
          </w:p>
        </w:tc>
        <w:tc>
          <w:tcPr>
            <w:tcW w:type="dxa" w:w="578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Agente custom, 1–2 sistemi con API, dati di media qualità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6–8 settimane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L</w:t>
            </w:r>
          </w:p>
        </w:tc>
        <w:tc>
          <w:tcPr>
            <w:tcW w:type="dxa" w:w="578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Agente custom, 2–3 sistemi di cui uno senza API, lavoro preparatorio sui dati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10–14 settimane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XL</w:t>
            </w:r>
          </w:p>
        </w:tc>
        <w:tc>
          <w:tcPr>
            <w:tcW w:type="dxa" w:w="578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Più agenti coordinati, data platform, integrazioni complesse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oltre 14 settimane, in più rilasci</w:t>
            </w:r>
          </w:p>
        </w:tc>
      </w:tr>
    </w:tbl>
    <w:p>
      <w:pPr>
        <w:spacing w:after="200"/>
      </w:pP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4F9C" w:sz="24"/>
              <w:bottom w:val="none" w:color="FFFFFF" w:sz="0"/>
              <w:right w:val="none" w:color="FFFFFF" w:sz="0"/>
            </w:tcBorders>
            <w:shd w:fill="F3F2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4F9C"/>
                <w:sz w:val="22"/>
                <w:szCs w:val="22"/>
              </w:rPr>
              <w:t xml:space="preserve">Criterio di uscita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Agent Specification firmata ed eval set validato prima del Build.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Agente in esercizio in Co-pilot con valore misurato contro la baseline.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Runbook consegnato; responsabile interno formato; registro degli agenti aggiornato.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3858F"/>
          <w:sz w:val="18"/>
          <w:szCs w:val="18"/>
        </w:rPr>
        <w:t xml:space="preserve">Atlas Framework è metodologia proprietaria di Hevolus SRL. Documento a uso interno e per i clienti del programma; non è consentita la diffusione a terzi senza autorizzazione scritta.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CE8" w:sz="4" w:space="6"/>
      </w:pBdr>
      <w:tabs>
        <w:tab w:val="right" w:pos="9638"/>
      </w:tabs>
    </w:pPr>
    <w:r>
      <w:rPr>
        <w:rFonts w:ascii="Calibri" w:cs="Calibri" w:eastAsia="Calibri" w:hAnsi="Calibri"/>
        <w:color w:val="83858F"/>
        <w:sz w:val="17"/>
        <w:szCs w:val="17"/>
      </w:rPr>
      <w:t xml:space="preserve">Atlas Framework · Hevolus SRL</w:t>
    </w:r>
    <w:r>
      <w:rPr>
        <w:rFonts w:ascii="Calibri" w:cs="Calibri" w:eastAsia="Calibri" w:hAnsi="Calibri"/>
        <w:color w:val="83858F"/>
        <w:sz w:val="17"/>
        <w:szCs w:val="17"/>
      </w:rPr>
      <w:t xml:space="preserve">	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  <w:spacing w:after="0"/>
    </w:pPr>
    <w:r>
      <w:drawing>
        <wp:inline distT="0" distB="0" distL="0" distR="0">
          <wp:extent cx="809625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83858F"/>
        <w:sz w:val="17"/>
        <w:szCs w:val="17"/>
      </w:rPr>
      <w:t xml:space="preserve">	Q1 — Playbook ciclo agente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5E4F9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4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55d13c8eecf1159e39108e0f6f833fc65bf1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755d13c8eecf1159e39108e0f6f833fc65bf1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 Playbook ciclo agente</dc:title>
  <dc:creator>Hevolus SRL</dc:creator>
  <cp:lastModifiedBy>Un-named</cp:lastModifiedBy>
  <cp:revision>1</cp:revision>
  <dcterms:created xsi:type="dcterms:W3CDTF">2026-09-04T21:34:53.172Z</dcterms:created>
  <dcterms:modified xsi:type="dcterms:W3CDTF">2026-09-04T21:34:53.175Z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