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This structural description uses the “label_name: </w:t>
      </w:r>
      <w:r w:rsidDel="00000000" w:rsidR="00000000" w:rsidRPr="00000000">
        <w:rPr>
          <w:b w:val="1"/>
          <w:rtl w:val="0"/>
        </w:rPr>
        <w:t xml:space="preserve">entity</w:t>
      </w:r>
      <w:r w:rsidDel="00000000" w:rsidR="00000000" w:rsidRPr="00000000">
        <w:rPr>
          <w:rtl w:val="0"/>
        </w:rPr>
        <w:t xml:space="preserve"> work.entity_name(arch)” statement to instantiate the lower level blocks (dec2to4).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123.2" w:right="1123.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