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shows substantial prognostic heterogeneity. We screened GSE122482 (10 paired HBV-related tumour and peritumour tissues), identified 103 differentially expressed circRNAs, and evaluated their </w:t>
      </w:r>
      <w:r>
        <w:rPr>
          <w:rFonts w:ascii="Times New Roman" w:hAnsi="Times New Roman"/>
          <w:b/>
          <w:i w:val="0"/>
          <w:sz w:val="24"/>
        </w:rPr>
        <w:t>host-gene mRNAs</w:t>
      </w:r>
      <w:r>
        <w:rPr>
          <w:rFonts w:ascii="Times New Roman" w:hAnsi="Times New Roman"/>
          <w:b w:val="0"/>
          <w:i w:val="0"/>
          <w:sz w:val="24"/>
        </w:rPr>
        <w:t xml:space="preserve"> in TCGA-LIHC (377 primary tumours) and GSE14520 (247 tumours). The circRNA–miRNA network comprised 15,479 deduplicated edges, 2,378 miRNAs, 79 circRNAs and 73 genes. Of the host genes, 40 were significant in TCGA and 34 of the 45 evaluable in both cohorts showed concordant direction (76%); six met the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1.39, P = 0.0004; 1.27, P = 0.018); HSD17B6 reached significance in GSE14520 (0.80, P = 0.033) but not TCGA (P = 0.052); the remaining four were not significant. Neither cohort contains circRNA data and GSE122482 provides no matched mRNA quantification, so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of 103 candidates at FDR &lt; 0.05, against 5,649 of 92,204 at uncorrected P &lt; 0.05. ENCORI/starBase comparison showed minimal overlap between prediction sources (Jaccard 0.000–0.035), so connectivity-based support reflects internal consistency of one resource, not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internal-consistency grade for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40 host genes was significantly associated with overall survival (Cox regression P &lt; 0.05), of which 26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and LRCH1 did not reach significance by Cox regression in TCGA (P = 0.074, 0.143 and 0.120 respectively); these were included on the basis of significant Cox regression in the validation cohort with concordant direction. CD5 was also significant by Cox regression in TCGA (P = 0.045) and, independently, by the log-rank test (P = 0.0016). Figure 3 shows the scatter distribution of hazard ratios in the two cohorts; of the 45 genes evaluable in both, 34 fall on the same side of HR = 1 in each cohort.</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BCLAF1 and SREBF2 expression was associated with poorer outcome (adjusted HR &gt; 1 in each; SREBF2 HR 1.09 in TCGA-LIHC and 1.25 in GSE14520, the latter sitting exactly at the significance boundary). Direction is therefore consistent across cohorts for all six genes after adjustment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232 male and 109 female among the 341 TCGA-LIHC cases analysed — so sex entered every model as a covariate. Only primary tumours were included in TCGA-LIHC (see Section 4.1); in TCGA-LIHC (n = 341, 117 events) and GSE14520 (n = 219, 84 events) the adjusted results were as follows (the same values appear in the adjusted columns of Table 1):</w:t>
      </w:r>
    </w:p>
    <w:p>
      <w:pPr>
        <w:spacing w:line="240" w:lineRule="auto" w:before="0" w:after="120"/>
      </w:pPr>
      <w:r>
        <w:rPr>
          <w:rFonts w:ascii="Times New Roman" w:hAnsi="Times New Roman"/>
          <w:b w:val="0"/>
          <w:i w:val="0"/>
          <w:sz w:val="24"/>
        </w:rPr>
        <w:t xml:space="preserve">Stage was a strong prognostic factor in both cohorts (adjusted HR 1.74, P = 0.0053 in TCGA; 3.14, P = 1.2 × 10⁻⁶ in GSE14520), confirming that adjustment was informative; sex was not a significant covariate in either cohort (TCGA P = 0.838;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is if anything strengthened relative to the unadjusted estimate (1.25 to adjusted 1.39 in TCGA; 1.37 to adjusted 1.27 in GSE14520). HSD17B6 in TCGA and SREBF2 in GSE14520 lie close to the significance boundary (P = 0.052 and P = 0.050 respectively) and are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reached significance by Cox regression in both cohorts and by the log-rank test in TCGA before adjustment, while its high expression correlated positively with several T-cell populations. Notably, CD5 has HR &lt; 1 in both cohorts (unadjusted 0.865 and 0.818; adjusted 0.88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Table 2 and Fig. 7:</w:t>
      </w:r>
    </w:p>
    <w:p>
      <w:pPr>
        <w:spacing w:line="240" w:lineRule="auto" w:before="200" w:after="80"/>
      </w:pPr>
      <w:r>
        <w:rPr>
          <w:rFonts w:ascii="Times New Roman" w:hAnsi="Times New Roman"/>
          <w:b/>
          <w:i w:val="0"/>
          <w:sz w:val="24"/>
        </w:rPr>
        <w:t>Table 2 | Quality stratification of the circRNA–miRNA network</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40 prognostic genes in TCGA, 34 of the 45 evaluable in both cohorts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with an effect size slightly larger than the unadjusted estimate, making it the only independently prognostic host gene in this study. HSD17B6 retained significance in GSE14520 but fell just short of significance in TCGA (P = 0.052); CD5 was significant in TCGA before adjustment (P = 0.045) but not after it; BCLAF1, SREBF2 and LRCH1 were not significant in TCGA at either step.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p>
      <w:pPr>
        <w:spacing w:line="240" w:lineRule="auto" w:before="200" w:after="80"/>
      </w:pPr>
      <w:r>
        <w:rPr>
          <w:rFonts w:ascii="Times New Roman" w:hAnsi="Times New Roman"/>
          <w:b/>
          <w:i w:val="0"/>
          <w:sz w:val="24"/>
        </w:rPr>
        <w:t>Table 3 | Data sources</w:t>
      </w:r>
    </w:p>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(Illumina HiSeq 3000,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w:t>
      </w:r>
    </w:p>
    <w:p>
      <w:pPr>
        <w:spacing w:line="240" w:lineRule="auto" w:before="0" w:after="120"/>
      </w:pPr>
      <w:r>
        <w:rPr>
          <w:rFonts w:ascii="Times New Roman" w:hAnsi="Times New Roman"/>
          <w:b/>
          <w:i w:val="0"/>
          <w:sz w:val="24"/>
        </w:rPr>
        <w:t>Sample accounting for TCGA-LIHC (all figures refer to primary tumours only).</w:t>
      </w:r>
      <w:r>
        <w:rPr>
          <w:rFonts w:ascii="Times New Roman" w:hAnsi="Times New Roman"/>
          <w:b w:val="0"/>
          <w:i w:val="0"/>
          <w:sz w:val="24"/>
        </w:rPr>
        <w:t xml:space="preserve"> The GDC clinical table for this cohort lists 439 samples: 377 primary tumours (sample type 01), 59 solid tissue normals (11) and 3 recurrent tumours (02). The FPKM matrix has 424 columns, of which 371 are primary tumours and 53 are non-tumour; the survival table covers 433 samples. Restricting to primary tumours at every step gives the following funnel: </w:t>
      </w:r>
      <w:r>
        <w:rPr>
          <w:rFonts w:ascii="Times New Roman" w:hAnsi="Times New Roman"/>
          <w:b/>
          <w:i w:val="0"/>
          <w:sz w:val="24"/>
        </w:rPr>
        <w:t>377 primary tumours → 371 with expression data → 365 with survival data → 347 with complete stage, age and sex → 341 also present in the expression matrix</w:t>
      </w:r>
      <w:r>
        <w:rPr>
          <w:rFonts w:ascii="Times New Roman" w:hAnsi="Times New Roman"/>
          <w:b w:val="0"/>
          <w:i w:val="0"/>
          <w:sz w:val="24"/>
        </w:rPr>
        <w:t>, and those 341 are the samples entering the multivariable models (117 events). The univariable Cox and log-rank analyses reported in Table 1 and Fig. 3 use 364 tumours (130 events). This is one fewer than the 365 with survival data because the univariable models rebuild survival time per sample from `days_to_death` or `days_to_last_follow_up` and exclude cases whose vital status is not reported or whose corresponding time field is missing, rather than using the pre-computed overall-survival field directly. Adjacent normal tissue and recurrent tumours were excluded throughout: normal tissue is not a prognostic observation, and recurrence samples do not share the initial-diagnosis survival structure of the discovery cohort. For GSE14520 the corresponding counts are 247 annotated tumour samples, of which 225 have complete clinical and survival data and 219 enter the multivariable models (84 events); the 445-sample expression matrix includes both tumour and non-tumour samples, and only tumour samples enter any analysis.</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NT5DC2, HSD17B6 and CD5 among the six validated genes achieved Cox significance in both cohorts, while the TCGA Cox P values for BCLAF1, LRCH1 and SREBF2 ranged from 0.074 to 0.143. CD5 is the one gene whose TCGA Cox significance is lost rather than retained after adjustment.</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341 (117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364 primary tumours) and GSE14520 (n = 219 tumours).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Lineage signature association matrix.</w:t>
      </w:r>
      <w:r>
        <w:rPr>
          <w:rFonts w:ascii="Times New Roman" w:hAnsi="Times New Roman"/>
          <w:b w:val="0"/>
          <w:i w:val="0"/>
          <w:sz w:val="24"/>
        </w:rPr>
        <w:t xml:space="preserve"> Pearson correlation between five genes and 21 lineage signatures,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0.0076; GSE14520 P = 0.0053). Higher HSD17B6 expression was associated with better survival in GSE14520 (log-rank P = 0.0066) but not significantly in TCGA (P = 0.075), consistent with its borderline multivariable result there. CD5 is significant by log-rank in TCGA (P = 0.0016) but not in GSE14520 (P = 0.066); its Cox P values are 0.045 and 0.030, so it reaches significance by Cox regression in both cohorts before adjustment. LRCH1 is not significant by log-rank in either cohort (0.320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200" w:after="8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200" w:after="8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200" w:after="8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200" w:after="8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200" w:after="8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Only primary tumours are counted in the TCGA-LIHC column; solid tissue normals and recurrent tumours are excluded at the first step, and the GSE14520 column likewise counts tumour samples only (the 445-sample expression matrix there contains both tumour and non-tumour samples). Sex and stage distributions were verified directly against the source clinical files: GSE14520 codes sex as `M`/`F` (211 male and 31 female among all 247 tumour samples) and stage in the `TNM staging` column (I, II, IIIA, IIIB, IIIC and IV grouped as I/II versus III/IV); TCGA-LIHC sample type comes from the GDC `sample_type.samples` field.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characterizing circular RNAs. </w:t>
      </w:r>
      <w:r>
        <w:rPr>
          <w:rFonts w:ascii="Times New Roman" w:hAnsi="Times New Roman"/>
          <w:b w:val="0"/>
          <w:i/>
          <w:sz w:val="24"/>
        </w:rPr>
        <w:t>Nat Biotechnol.</w:t>
      </w:r>
      <w:r>
        <w:rPr>
          <w:rFonts w:ascii="Times New Roman" w:hAnsi="Times New Roman"/>
          <w:b w:val="0"/>
          <w:i w:val="0"/>
          <w:sz w:val="24"/>
        </w:rPr>
        <w:t xml:space="preserve"> 2014;32(5):453–461. doi:10.1038/nbt.2890</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Chen G, Shi Y, Liu M, Sun J. circHIPK3 regulates cell proliferation and migration by sponging miR-124 and regulating AQP3 expression in hepatocellular carcinoma. </w:t>
      </w:r>
      <w:r>
        <w:rPr>
          <w:rFonts w:ascii="Times New Roman" w:hAnsi="Times New Roman"/>
          <w:b w:val="0"/>
          <w:i/>
          <w:sz w:val="24"/>
        </w:rPr>
        <w:t>Cell Death Dis.</w:t>
      </w:r>
      <w:r>
        <w:rPr>
          <w:rFonts w:ascii="Times New Roman" w:hAnsi="Times New Roman"/>
          <w:b w:val="0"/>
          <w:i w:val="0"/>
          <w:sz w:val="24"/>
        </w:rPr>
        <w:t xml:space="preserve"> 2018;9:175. doi:10.1038/s41419-017-0204-3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2,100 words (limit 4,500). </w:t>
      </w:r>
      <w:r>
        <w:rPr>
          <w:rFonts w:ascii="Times New Roman" w:hAnsi="Times New Roman"/>
          <w:b/>
          <w:i w:val="0"/>
          <w:sz w:val="24"/>
        </w:rPr>
        <w:t>Abstract</w:t>
      </w:r>
      <w:r>
        <w:rPr>
          <w:rFonts w:ascii="Times New Roman" w:hAnsi="Times New Roman"/>
          <w:b w:val="0"/>
          <w:i w:val="0"/>
          <w:sz w:val="24"/>
        </w:rPr>
        <w:t xml:space="preserve">: 194 words (limit 200). </w:t>
      </w:r>
      <w:r>
        <w:rPr>
          <w:rFonts w:ascii="Times New Roman" w:hAnsi="Times New Roman"/>
          <w:b/>
          <w:i w:val="0"/>
          <w:sz w:val="24"/>
        </w:rPr>
        <w:t>Display items</w:t>
      </w:r>
      <w:r>
        <w:rPr>
          <w:rFonts w:ascii="Times New Roman" w:hAnsi="Times New Roman"/>
          <w:b w:val="0"/>
          <w:i w:val="0"/>
          <w:sz w:val="24"/>
        </w:rPr>
        <w:t xml:space="preserve">: 7 figures and 3 tables (Tables 1–3), plus 6 supplementary tables (S1–S6).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w:t>
            </w:r>
          </w:p>
        </w:tc>
        <w:tc>
          <w:tcPr>
            <w:tcW w:type="dxa" w:w="1040"/>
          </w:tcPr>
          <w:p>
            <w:pPr>
              <w:spacing w:line="240" w:lineRule="auto" w:after="40"/>
            </w:pPr>
            <w:r/>
            <w:r>
              <w:rPr>
                <w:rFonts w:ascii="Times New Roman" w:hAnsi="Times New Roman"/>
                <w:b/>
                <w:sz w:val="20"/>
              </w:rPr>
              <w:t>P_cox (TCGA)</w:t>
            </w:r>
          </w:p>
        </w:tc>
        <w:tc>
          <w:tcPr>
            <w:tcW w:type="dxa" w:w="1040"/>
          </w:tcPr>
          <w:p>
            <w:pPr>
              <w:spacing w:line="240" w:lineRule="auto" w:after="40"/>
            </w:pPr>
            <w:r/>
            <w:r>
              <w:rPr>
                <w:rFonts w:ascii="Times New Roman" w:hAnsi="Times New Roman"/>
                <w:b/>
                <w:sz w:val="20"/>
              </w:rPr>
              <w:t>P_logrank (TCGA)</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(14520)</w:t>
            </w:r>
          </w:p>
        </w:tc>
        <w:tc>
          <w:tcPr>
            <w:tcW w:type="dxa" w:w="1040"/>
          </w:tcPr>
          <w:p>
            <w:pPr>
              <w:spacing w:line="240" w:lineRule="auto" w:after="40"/>
            </w:pPr>
            <w:r/>
            <w:r>
              <w:rPr>
                <w:rFonts w:ascii="Times New Roman" w:hAnsi="Times New Roman"/>
                <w:b/>
                <w:sz w:val="20"/>
              </w:rPr>
              <w:t>Adjusted HR (TCGA), P</w:t>
            </w:r>
          </w:p>
        </w:tc>
        <w:tc>
          <w:tcPr>
            <w:tcW w:type="dxa" w:w="1040"/>
          </w:tcPr>
          <w:p>
            <w:pPr>
              <w:spacing w:line="240" w:lineRule="auto" w:after="40"/>
            </w:pPr>
            <w:r/>
            <w:r>
              <w:rPr>
                <w:rFonts w:ascii="Times New Roman" w:hAnsi="Times New Roman"/>
                <w:b/>
                <w:sz w:val="20"/>
              </w:rPr>
              <w:t>Adjusted HR (14520),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1.536</w:t>
            </w:r>
          </w:p>
        </w:tc>
        <w:tc>
          <w:tcPr>
            <w:tcW w:type="dxa" w:w="1040"/>
          </w:tcPr>
          <w:p>
            <w:pPr>
              <w:spacing w:line="240" w:lineRule="auto" w:after="40"/>
            </w:pPr>
            <w:r/>
            <w:r>
              <w:rPr>
                <w:rFonts w:ascii="Times New Roman" w:hAnsi="Times New Roman"/>
                <w:b w:val="0"/>
                <w:sz w:val="20"/>
              </w:rPr>
              <w:t>7.49 × 10⁻⁶</w:t>
            </w:r>
          </w:p>
        </w:tc>
        <w:tc>
          <w:tcPr>
            <w:tcW w:type="dxa" w:w="1040"/>
          </w:tcPr>
          <w:p>
            <w:pPr>
              <w:spacing w:line="240" w:lineRule="auto" w:after="40"/>
            </w:pPr>
            <w:r/>
            <w:r>
              <w:rPr>
                <w:rFonts w:ascii="Times New Roman" w:hAnsi="Times New Roman"/>
                <w:b w:val="0"/>
                <w:sz w:val="20"/>
              </w:rPr>
              <w:t>0.0076</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1.388, 0.0004</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0.762</w:t>
            </w:r>
          </w:p>
        </w:tc>
        <w:tc>
          <w:tcPr>
            <w:tcW w:type="dxa" w:w="1040"/>
          </w:tcPr>
          <w:p>
            <w:pPr>
              <w:spacing w:line="240" w:lineRule="auto" w:after="40"/>
            </w:pPr>
            <w:r/>
            <w:r>
              <w:rPr>
                <w:rFonts w:ascii="Times New Roman" w:hAnsi="Times New Roman"/>
                <w:b w:val="0"/>
                <w:sz w:val="20"/>
              </w:rPr>
              <w:t>1.58 × 10⁻³</w:t>
            </w:r>
          </w:p>
        </w:tc>
        <w:tc>
          <w:tcPr>
            <w:tcW w:type="dxa" w:w="1040"/>
          </w:tcPr>
          <w:p>
            <w:pPr>
              <w:spacing w:line="240" w:lineRule="auto" w:after="40"/>
            </w:pPr>
            <w:r/>
            <w:r>
              <w:rPr>
                <w:rFonts w:ascii="Times New Roman" w:hAnsi="Times New Roman"/>
                <w:b w:val="0"/>
                <w:sz w:val="20"/>
              </w:rPr>
              <w:t>0.075</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0.847, 0.052</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1.141</w:t>
            </w:r>
          </w:p>
        </w:tc>
        <w:tc>
          <w:tcPr>
            <w:tcW w:type="dxa" w:w="1040"/>
          </w:tcPr>
          <w:p>
            <w:pPr>
              <w:spacing w:line="240" w:lineRule="auto" w:after="40"/>
            </w:pPr>
            <w:r/>
            <w:r>
              <w:rPr>
                <w:rFonts w:ascii="Times New Roman" w:hAnsi="Times New Roman"/>
                <w:b w:val="0"/>
                <w:sz w:val="20"/>
              </w:rPr>
              <w:t>0.074</w:t>
            </w:r>
          </w:p>
        </w:tc>
        <w:tc>
          <w:tcPr>
            <w:tcW w:type="dxa" w:w="1040"/>
          </w:tcPr>
          <w:p>
            <w:pPr>
              <w:spacing w:line="240" w:lineRule="auto" w:after="40"/>
            </w:pPr>
            <w:r/>
            <w:r>
              <w:rPr>
                <w:rFonts w:ascii="Times New Roman" w:hAnsi="Times New Roman"/>
                <w:b w:val="0"/>
                <w:sz w:val="20"/>
              </w:rPr>
              <w:t>0.225</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1.100, 0.330</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1.100</w:t>
            </w:r>
          </w:p>
        </w:tc>
        <w:tc>
          <w:tcPr>
            <w:tcW w:type="dxa" w:w="1040"/>
          </w:tcPr>
          <w:p>
            <w:pPr>
              <w:spacing w:line="240" w:lineRule="auto" w:after="40"/>
            </w:pPr>
            <w:r/>
            <w:r>
              <w:rPr>
                <w:rFonts w:ascii="Times New Roman" w:hAnsi="Times New Roman"/>
                <w:b w:val="0"/>
                <w:sz w:val="20"/>
              </w:rPr>
              <w:t>0.143</w:t>
            </w:r>
          </w:p>
        </w:tc>
        <w:tc>
          <w:tcPr>
            <w:tcW w:type="dxa" w:w="1040"/>
          </w:tcPr>
          <w:p>
            <w:pPr>
              <w:spacing w:line="240" w:lineRule="auto" w:after="40"/>
            </w:pPr>
            <w:r/>
            <w:r>
              <w:rPr>
                <w:rFonts w:ascii="Times New Roman" w:hAnsi="Times New Roman"/>
                <w:b w:val="0"/>
                <w:sz w:val="20"/>
              </w:rPr>
              <w:t>0.289</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1.088, 0.378</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0.904</w:t>
            </w:r>
          </w:p>
        </w:tc>
        <w:tc>
          <w:tcPr>
            <w:tcW w:type="dxa" w:w="1040"/>
          </w:tcPr>
          <w:p>
            <w:pPr>
              <w:spacing w:line="240" w:lineRule="auto" w:after="40"/>
            </w:pPr>
            <w:r/>
            <w:r>
              <w:rPr>
                <w:rFonts w:ascii="Times New Roman" w:hAnsi="Times New Roman"/>
                <w:b w:val="0"/>
                <w:sz w:val="20"/>
              </w:rPr>
              <w:t>0.120</w:t>
            </w:r>
          </w:p>
        </w:tc>
        <w:tc>
          <w:tcPr>
            <w:tcW w:type="dxa" w:w="1040"/>
          </w:tcPr>
          <w:p>
            <w:pPr>
              <w:spacing w:line="240" w:lineRule="auto" w:after="40"/>
            </w:pPr>
            <w:r/>
            <w:r>
              <w:rPr>
                <w:rFonts w:ascii="Times New Roman" w:hAnsi="Times New Roman"/>
                <w:b w:val="0"/>
                <w:sz w:val="20"/>
              </w:rPr>
              <w:t>0.320</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0.894, 0.235</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0.865</w:t>
            </w:r>
          </w:p>
        </w:tc>
        <w:tc>
          <w:tcPr>
            <w:tcW w:type="dxa" w:w="1040"/>
          </w:tcPr>
          <w:p>
            <w:pPr>
              <w:spacing w:line="240" w:lineRule="auto" w:after="40"/>
            </w:pPr>
            <w:r/>
            <w:r>
              <w:rPr>
                <w:rFonts w:ascii="Times New Roman" w:hAnsi="Times New Roman"/>
                <w:b w:val="0"/>
                <w:sz w:val="20"/>
              </w:rPr>
              <w:t>0.045</w:t>
            </w:r>
          </w:p>
        </w:tc>
        <w:tc>
          <w:tcPr>
            <w:tcW w:type="dxa" w:w="1040"/>
          </w:tcPr>
          <w:p>
            <w:pPr>
              <w:spacing w:line="240" w:lineRule="auto" w:after="40"/>
            </w:pPr>
            <w:r/>
            <w:r>
              <w:rPr>
                <w:rFonts w:ascii="Times New Roman" w:hAnsi="Times New Roman"/>
                <w:b w:val="0"/>
                <w:sz w:val="20"/>
              </w:rPr>
              <w:t>0.0016</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0.883, 0.228</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2 | Quality stratification of the circRNA–miRNA network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3 |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RNA-seq, Illumina HiSeq 3000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377 primary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247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NT5DC2 miRNAs with the highest internal-consistency grades, and their status under independent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ENCORI/starBase predictions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S4 | FDR-adjusted differential circRNA expression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S5 | Multivariable Cox regression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1.388 (1.156–1.666)</w:t>
            </w:r>
          </w:p>
        </w:tc>
        <w:tc>
          <w:tcPr>
            <w:tcW w:type="dxa" w:w="1872"/>
          </w:tcPr>
          <w:p>
            <w:pPr>
              <w:spacing w:line="240" w:lineRule="auto" w:after="40"/>
            </w:pPr>
            <w:r/>
            <w:r>
              <w:rPr>
                <w:rFonts w:ascii="Times New Roman" w:hAnsi="Times New Roman"/>
                <w:b w:val="0"/>
                <w:sz w:val="20"/>
              </w:rPr>
              <w:t>0.00045</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1.738 (1.179–2.562)</w:t>
            </w:r>
          </w:p>
        </w:tc>
        <w:tc>
          <w:tcPr>
            <w:tcW w:type="dxa" w:w="1872"/>
          </w:tcPr>
          <w:p>
            <w:pPr>
              <w:spacing w:line="240" w:lineRule="auto" w:after="40"/>
            </w:pPr>
            <w:r/>
            <w:r>
              <w:rPr>
                <w:rFonts w:ascii="Times New Roman" w:hAnsi="Times New Roman"/>
                <w:b w:val="0"/>
                <w:sz w:val="20"/>
              </w:rPr>
              <w:t>0.0053</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1.012 (0.997–1.027)</w:t>
            </w:r>
          </w:p>
        </w:tc>
        <w:tc>
          <w:tcPr>
            <w:tcW w:type="dxa" w:w="1872"/>
          </w:tcPr>
          <w:p>
            <w:pPr>
              <w:spacing w:line="240" w:lineRule="auto" w:after="40"/>
            </w:pPr>
            <w:r/>
            <w:r>
              <w:rPr>
                <w:rFonts w:ascii="Times New Roman" w:hAnsi="Times New Roman"/>
                <w:b w:val="0"/>
                <w:sz w:val="20"/>
              </w:rPr>
              <w:t>0.106</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0.960 (0.651–1.416)</w:t>
            </w:r>
          </w:p>
        </w:tc>
        <w:tc>
          <w:tcPr>
            <w:tcW w:type="dxa" w:w="1872"/>
          </w:tcPr>
          <w:p>
            <w:pPr>
              <w:spacing w:line="240" w:lineRule="auto" w:after="40"/>
            </w:pPr>
            <w:r/>
            <w:r>
              <w:rPr>
                <w:rFonts w:ascii="Times New Roman" w:hAnsi="Times New Roman"/>
                <w:b w:val="0"/>
                <w:sz w:val="20"/>
              </w:rPr>
              <w:t>0.838</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S6 | Clinical characteristics of the two validation cohorts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Annotated samples in the source cohort</w:t>
            </w:r>
          </w:p>
        </w:tc>
        <w:tc>
          <w:tcPr>
            <w:tcW w:type="dxa" w:w="3120"/>
          </w:tcPr>
          <w:p>
            <w:pPr>
              <w:spacing w:line="240" w:lineRule="auto" w:after="40"/>
            </w:pPr>
            <w:r/>
            <w:r>
              <w:rPr>
                <w:rFonts w:ascii="Times New Roman" w:hAnsi="Times New Roman"/>
                <w:b w:val="0"/>
                <w:sz w:val="20"/>
              </w:rPr>
              <w:t>439 (377 tumour, 59 normal, 3 recurrent)</w:t>
            </w:r>
          </w:p>
        </w:tc>
        <w:tc>
          <w:tcPr>
            <w:tcW w:type="dxa" w:w="3120"/>
          </w:tcPr>
          <w:p>
            <w:pPr>
              <w:spacing w:line="240" w:lineRule="auto" w:after="40"/>
            </w:pPr>
            <w:r/>
            <w:r>
              <w:rPr>
                <w:rFonts w:ascii="Times New Roman" w:hAnsi="Times New Roman"/>
                <w:b w:val="0"/>
                <w:sz w:val="20"/>
              </w:rPr>
              <w:t>247 tumour</w:t>
            </w:r>
          </w:p>
        </w:tc>
      </w:tr>
      <w:tr>
        <w:tc>
          <w:tcPr>
            <w:tcW w:type="dxa" w:w="3120"/>
          </w:tcPr>
          <w:p>
            <w:pPr>
              <w:spacing w:line="240" w:lineRule="auto" w:after="40"/>
            </w:pPr>
            <w:r/>
            <w:r>
              <w:rPr>
                <w:rFonts w:ascii="Times New Roman" w:hAnsi="Times New Roman"/>
                <w:b w:val="0"/>
                <w:sz w:val="20"/>
              </w:rPr>
              <w:t>Primary tumours with expression data</w:t>
            </w:r>
          </w:p>
        </w:tc>
        <w:tc>
          <w:tcPr>
            <w:tcW w:type="dxa" w:w="3120"/>
          </w:tcPr>
          <w:p>
            <w:pPr>
              <w:spacing w:line="240" w:lineRule="auto" w:after="40"/>
            </w:pPr>
            <w:r/>
            <w:r>
              <w:rPr>
                <w:rFonts w:ascii="Times New Roman" w:hAnsi="Times New Roman"/>
                <w:b w:val="0"/>
                <w:sz w:val="20"/>
              </w:rPr>
              <w:t>371</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survival data</w:t>
            </w:r>
          </w:p>
        </w:tc>
        <w:tc>
          <w:tcPr>
            <w:tcW w:type="dxa" w:w="3120"/>
          </w:tcPr>
          <w:p>
            <w:pPr>
              <w:spacing w:line="240" w:lineRule="auto" w:after="40"/>
            </w:pPr>
            <w:r/>
            <w:r>
              <w:rPr>
                <w:rFonts w:ascii="Times New Roman" w:hAnsi="Times New Roman"/>
                <w:b w:val="0"/>
                <w:sz w:val="20"/>
              </w:rPr>
              <w:t>365</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complete stage, age and sex</w:t>
            </w:r>
          </w:p>
        </w:tc>
        <w:tc>
          <w:tcPr>
            <w:tcW w:type="dxa" w:w="3120"/>
          </w:tcPr>
          <w:p>
            <w:pPr>
              <w:spacing w:line="240" w:lineRule="auto" w:after="40"/>
            </w:pPr>
            <w:r/>
            <w:r>
              <w:rPr>
                <w:rFonts w:ascii="Times New Roman" w:hAnsi="Times New Roman"/>
                <w:b w:val="0"/>
                <w:sz w:val="20"/>
              </w:rPr>
              <w:t>347</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Entering univariable Cox / log-rank analyses</w:t>
            </w:r>
          </w:p>
        </w:tc>
        <w:tc>
          <w:tcPr>
            <w:tcW w:type="dxa" w:w="3120"/>
          </w:tcPr>
          <w:p>
            <w:pPr>
              <w:spacing w:line="240" w:lineRule="auto" w:after="40"/>
            </w:pPr>
            <w:r/>
            <w:r>
              <w:rPr>
                <w:rFonts w:ascii="Times New Roman" w:hAnsi="Times New Roman"/>
                <w:b w:val="0"/>
                <w:sz w:val="20"/>
              </w:rPr>
              <w:t>364 (130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Entering multivariable models</w:t>
            </w:r>
          </w:p>
        </w:tc>
        <w:tc>
          <w:tcPr>
            <w:tcW w:type="dxa" w:w="3120"/>
          </w:tcPr>
          <w:p>
            <w:pPr>
              <w:spacing w:line="240" w:lineRule="auto" w:after="40"/>
            </w:pPr>
            <w:r/>
            <w:r>
              <w:rPr>
                <w:rFonts w:ascii="Times New Roman" w:hAnsi="Times New Roman"/>
                <w:b w:val="0"/>
                <w:sz w:val="20"/>
              </w:rPr>
              <w:t>341 (117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232 / 109</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170 / 171</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